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3.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14.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15.xml" ContentType="application/vnd.openxmlformats-officedocument.wordprocessingml.footer+xml"/>
  <Override PartName="/word/header23.xml" ContentType="application/vnd.openxmlformats-officedocument.wordprocessingml.header+xml"/>
  <Override PartName="/word/footer16.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5C0681E" w14:textId="74B95DAA" w:rsidR="00EE62F5" w:rsidRDefault="00FA2699" w:rsidP="00FA2699">
      <w:pPr>
        <w:pStyle w:val="BodyText"/>
        <w:jc w:val="center"/>
      </w:pPr>
      <w:r>
        <w:rPr>
          <w:noProof/>
        </w:rPr>
        <w:drawing>
          <wp:inline distT="0" distB="0" distL="0" distR="0" wp14:anchorId="38506CA4" wp14:editId="0064B3FC">
            <wp:extent cx="4165200" cy="1839600"/>
            <wp:effectExtent l="0" t="0" r="6985" b="825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BA Logo wth partners - DAWE_RGB.png"/>
                    <pic:cNvPicPr/>
                  </pic:nvPicPr>
                  <pic:blipFill>
                    <a:blip r:embed="rId12"/>
                    <a:stretch>
                      <a:fillRect/>
                    </a:stretch>
                  </pic:blipFill>
                  <pic:spPr>
                    <a:xfrm>
                      <a:off x="0" y="0"/>
                      <a:ext cx="4165200" cy="1839600"/>
                    </a:xfrm>
                    <a:prstGeom prst="rect">
                      <a:avLst/>
                    </a:prstGeom>
                  </pic:spPr>
                </pic:pic>
              </a:graphicData>
            </a:graphic>
          </wp:inline>
        </w:drawing>
      </w:r>
    </w:p>
    <w:p w14:paraId="3F33B1A0" w14:textId="1E9EF702" w:rsidR="00721FA3" w:rsidRPr="00B82278" w:rsidRDefault="00721FA3" w:rsidP="00721FA3">
      <w:pPr>
        <w:pStyle w:val="CoverTitle"/>
      </w:pPr>
      <w:r>
        <w:rPr>
          <w:noProof/>
        </w:rPr>
        <w:drawing>
          <wp:anchor distT="0" distB="0" distL="114300" distR="114300" simplePos="0" relativeHeight="251658241" behindDoc="0" locked="1" layoutInCell="1" allowOverlap="1" wp14:anchorId="468C5364" wp14:editId="26B18734">
            <wp:simplePos x="0" y="0"/>
            <wp:positionH relativeFrom="page">
              <wp:align>left</wp:align>
            </wp:positionH>
            <wp:positionV relativeFrom="page">
              <wp:posOffset>-951230</wp:posOffset>
            </wp:positionV>
            <wp:extent cx="7595870" cy="2220595"/>
            <wp:effectExtent l="0" t="0" r="5080" b="8255"/>
            <wp:wrapTopAndBottom/>
            <wp:docPr id="3" name="Picture 3"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ckground image"/>
                    <pic:cNvPicPr>
                      <a:picLocks noChangeAspect="1" noChangeArrowheads="1"/>
                    </pic:cNvPicPr>
                  </pic:nvPicPr>
                  <pic:blipFill rotWithShape="1">
                    <a:blip r:embed="rId13" cstate="screen">
                      <a:extLst>
                        <a:ext uri="{28A0092B-C50C-407E-A947-70E740481C1C}">
                          <a14:useLocalDpi xmlns:a14="http://schemas.microsoft.com/office/drawing/2010/main"/>
                        </a:ext>
                      </a:extLst>
                    </a:blip>
                    <a:srcRect/>
                    <a:stretch/>
                  </pic:blipFill>
                  <pic:spPr bwMode="auto">
                    <a:xfrm>
                      <a:off x="0" y="0"/>
                      <a:ext cx="7595870" cy="2220595"/>
                    </a:xfrm>
                    <a:prstGeom prst="rect">
                      <a:avLst/>
                    </a:prstGeom>
                    <a:noFill/>
                    <a:ln>
                      <a:noFill/>
                    </a:ln>
                    <a:extLst>
                      <a:ext uri="{53640926-AAD7-44D8-BBD7-CCE9431645EC}">
                        <a14:shadowObscured xmlns:a14="http://schemas.microsoft.com/office/drawing/2010/main"/>
                      </a:ext>
                    </a:extLst>
                  </pic:spPr>
                </pic:pic>
              </a:graphicData>
            </a:graphic>
          </wp:anchor>
        </w:drawing>
      </w:r>
      <w:r>
        <w:t>Hydrogeology</w:t>
      </w:r>
      <w:r w:rsidRPr="55381A09">
        <w:t xml:space="preserve"> </w:t>
      </w:r>
      <w:r w:rsidR="008907A1">
        <w:t>of</w:t>
      </w:r>
      <w:r>
        <w:t xml:space="preserve"> the Beetaloo</w:t>
      </w:r>
      <w:r w:rsidRPr="55381A09">
        <w:t xml:space="preserve"> </w:t>
      </w:r>
      <w:r w:rsidR="00064580">
        <w:t>GBA region</w:t>
      </w:r>
    </w:p>
    <w:p w14:paraId="3D321CEC" w14:textId="4693E465" w:rsidR="00721FA3" w:rsidRPr="008907A1" w:rsidRDefault="406391F3" w:rsidP="406391F3">
      <w:pPr>
        <w:pStyle w:val="CoverSubtitle"/>
        <w:rPr>
          <w:sz w:val="31"/>
          <w:szCs w:val="31"/>
        </w:rPr>
      </w:pPr>
      <w:r w:rsidRPr="406391F3">
        <w:rPr>
          <w:sz w:val="31"/>
          <w:szCs w:val="31"/>
        </w:rPr>
        <w:t>Technical appendix for the Geological and Bioregional Assessment: Stage 2</w:t>
      </w:r>
    </w:p>
    <w:p w14:paraId="3952092B" w14:textId="71D9085A" w:rsidR="00EE62F5" w:rsidRDefault="00A1583F" w:rsidP="00EE62F5">
      <w:pPr>
        <w:pStyle w:val="CoverDate"/>
      </w:pPr>
      <w:r>
        <w:rPr>
          <w:rFonts w:cs="Calibri"/>
          <w:sz w:val="24"/>
        </w:rPr>
        <w:t>2020</w:t>
      </w:r>
    </w:p>
    <w:p w14:paraId="7FE6BB35" w14:textId="4A61D3B5" w:rsidR="00FA2699" w:rsidRDefault="00FA2699" w:rsidP="00EE62F5">
      <w:pPr>
        <w:pStyle w:val="CoverDate"/>
      </w:pPr>
      <w:r>
        <w:rPr>
          <w:noProof/>
        </w:rPr>
        <w:drawing>
          <wp:anchor distT="0" distB="0" distL="114300" distR="114300" simplePos="0" relativeHeight="251658247" behindDoc="0" locked="1" layoutInCell="1" allowOverlap="1" wp14:anchorId="2603A0E5" wp14:editId="1853227D">
            <wp:simplePos x="0" y="0"/>
            <wp:positionH relativeFrom="margin">
              <wp:posOffset>924560</wp:posOffset>
            </wp:positionH>
            <wp:positionV relativeFrom="page">
              <wp:posOffset>8265795</wp:posOffset>
            </wp:positionV>
            <wp:extent cx="5207000" cy="645160"/>
            <wp:effectExtent l="0" t="0" r="0" b="2540"/>
            <wp:wrapNone/>
            <wp:docPr id="932846817" name="Picture 932846817"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screen">
                      <a:extLst>
                        <a:ext uri="{28A0092B-C50C-407E-A947-70E740481C1C}">
                          <a14:useLocalDpi xmlns:a14="http://schemas.microsoft.com/office/drawing/2010/main" val="0"/>
                        </a:ext>
                      </a:extLst>
                    </a:blip>
                    <a:srcRect/>
                    <a:stretch>
                      <a:fillRect/>
                    </a:stretch>
                  </pic:blipFill>
                  <pic:spPr bwMode="auto">
                    <a:xfrm>
                      <a:off x="0" y="0"/>
                      <a:ext cx="5207000" cy="645160"/>
                    </a:xfrm>
                    <a:prstGeom prst="rect">
                      <a:avLst/>
                    </a:prstGeom>
                    <a:noFill/>
                  </pic:spPr>
                </pic:pic>
              </a:graphicData>
            </a:graphic>
          </wp:anchor>
        </w:drawing>
      </w:r>
      <w:r>
        <w:rPr>
          <w:noProof/>
        </w:rPr>
        <w:drawing>
          <wp:anchor distT="0" distB="0" distL="114300" distR="114300" simplePos="0" relativeHeight="251658246" behindDoc="0" locked="1" layoutInCell="1" allowOverlap="1" wp14:anchorId="14B77544" wp14:editId="5D1A7E94">
            <wp:simplePos x="0" y="0"/>
            <wp:positionH relativeFrom="margin">
              <wp:posOffset>-3810</wp:posOffset>
            </wp:positionH>
            <wp:positionV relativeFrom="page">
              <wp:posOffset>4823460</wp:posOffset>
            </wp:positionV>
            <wp:extent cx="6110605" cy="578485"/>
            <wp:effectExtent l="0" t="0" r="4445" b="0"/>
            <wp:wrapNone/>
            <wp:docPr id="932846816" name="Picture 932846816"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ckground image"/>
                    <pic:cNvPicPr>
                      <a:picLocks noChangeAspect="1" noChangeArrowheads="1"/>
                    </pic:cNvPicPr>
                  </pic:nvPicPr>
                  <pic:blipFill>
                    <a:blip r:embed="rId15" cstate="screen">
                      <a:extLst>
                        <a:ext uri="{28A0092B-C50C-407E-A947-70E740481C1C}">
                          <a14:useLocalDpi xmlns:a14="http://schemas.microsoft.com/office/drawing/2010/main" val="0"/>
                        </a:ext>
                      </a:extLst>
                    </a:blip>
                    <a:srcRect/>
                    <a:stretch>
                      <a:fillRect/>
                    </a:stretch>
                  </pic:blipFill>
                  <pic:spPr bwMode="auto">
                    <a:xfrm>
                      <a:off x="0" y="0"/>
                      <a:ext cx="6110605" cy="578485"/>
                    </a:xfrm>
                    <a:prstGeom prst="rect">
                      <a:avLst/>
                    </a:prstGeom>
                    <a:noFill/>
                  </pic:spPr>
                </pic:pic>
              </a:graphicData>
            </a:graphic>
            <wp14:sizeRelH relativeFrom="margin">
              <wp14:pctWidth>0</wp14:pctWidth>
            </wp14:sizeRelH>
          </wp:anchor>
        </w:drawing>
      </w:r>
      <w:r>
        <w:rPr>
          <w:noProof/>
        </w:rPr>
        <w:drawing>
          <wp:anchor distT="0" distB="0" distL="114300" distR="114300" simplePos="0" relativeHeight="251658245" behindDoc="0" locked="0" layoutInCell="1" allowOverlap="1" wp14:anchorId="7450744C" wp14:editId="453D4874">
            <wp:simplePos x="716280" y="4823460"/>
            <wp:positionH relativeFrom="column">
              <wp:align>left</wp:align>
            </wp:positionH>
            <wp:positionV relativeFrom="paragraph">
              <wp:align>top</wp:align>
            </wp:positionV>
            <wp:extent cx="6120130" cy="4079875"/>
            <wp:effectExtent l="0" t="0" r="0" b="0"/>
            <wp:wrapSquare wrapText="bothSides"/>
            <wp:docPr id="1885514126" name="Picture 26079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79908"/>
                    <pic:cNvPicPr/>
                  </pic:nvPicPr>
                  <pic:blipFill>
                    <a:blip r:embed="rId16" cstate="screen">
                      <a:extLst>
                        <a:ext uri="{28A0092B-C50C-407E-A947-70E740481C1C}">
                          <a14:useLocalDpi xmlns:a14="http://schemas.microsoft.com/office/drawing/2010/main" val="0"/>
                        </a:ext>
                      </a:extLst>
                    </a:blip>
                    <a:stretch>
                      <a:fillRect/>
                    </a:stretch>
                  </pic:blipFill>
                  <pic:spPr>
                    <a:xfrm>
                      <a:off x="0" y="0"/>
                      <a:ext cx="6120130" cy="4079875"/>
                    </a:xfrm>
                    <a:prstGeom prst="rect">
                      <a:avLst/>
                    </a:prstGeom>
                  </pic:spPr>
                </pic:pic>
              </a:graphicData>
            </a:graphic>
          </wp:anchor>
        </w:drawing>
      </w:r>
      <w:r>
        <w:br w:type="textWrapping" w:clear="all"/>
      </w:r>
    </w:p>
    <w:p w14:paraId="1B3680E1" w14:textId="47F360D9" w:rsidR="00583D53" w:rsidRPr="00F170E9" w:rsidRDefault="00EE62F5" w:rsidP="00EE62F5">
      <w:pPr>
        <w:pStyle w:val="CoverImage"/>
      </w:pPr>
      <w:r>
        <w:rPr>
          <w:noProof/>
        </w:rPr>
        <w:drawing>
          <wp:anchor distT="0" distB="0" distL="114300" distR="114300" simplePos="0" relativeHeight="251658244" behindDoc="0" locked="1" layoutInCell="1" allowOverlap="1" wp14:anchorId="20C453DA" wp14:editId="039C9522">
            <wp:simplePos x="0" y="0"/>
            <wp:positionH relativeFrom="column">
              <wp:posOffset>-27940</wp:posOffset>
            </wp:positionH>
            <wp:positionV relativeFrom="page">
              <wp:posOffset>4679950</wp:posOffset>
            </wp:positionV>
            <wp:extent cx="6161405" cy="578485"/>
            <wp:effectExtent l="0" t="0" r="0" b="0"/>
            <wp:wrapNone/>
            <wp:docPr id="48" name="Picture 48"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ckground image"/>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6161405" cy="578485"/>
                    </a:xfrm>
                    <a:prstGeom prst="rect">
                      <a:avLst/>
                    </a:prstGeom>
                    <a:noFill/>
                  </pic:spPr>
                </pic:pic>
              </a:graphicData>
            </a:graphic>
          </wp:anchor>
        </w:drawing>
      </w:r>
      <w:r>
        <w:rPr>
          <w:noProof/>
        </w:rPr>
        <w:drawing>
          <wp:anchor distT="0" distB="0" distL="114300" distR="114300" simplePos="0" relativeHeight="251658240" behindDoc="0" locked="1" layoutInCell="1" allowOverlap="1" wp14:anchorId="51BF499A" wp14:editId="11864913">
            <wp:simplePos x="0" y="0"/>
            <wp:positionH relativeFrom="column">
              <wp:posOffset>909320</wp:posOffset>
            </wp:positionH>
            <wp:positionV relativeFrom="page">
              <wp:posOffset>8269605</wp:posOffset>
            </wp:positionV>
            <wp:extent cx="5207000" cy="645160"/>
            <wp:effectExtent l="0" t="0" r="0" b="2540"/>
            <wp:wrapNone/>
            <wp:docPr id="47" name="Picture 47"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5207000" cy="645160"/>
                    </a:xfrm>
                    <a:prstGeom prst="rect">
                      <a:avLst/>
                    </a:prstGeom>
                    <a:noFill/>
                  </pic:spPr>
                </pic:pic>
              </a:graphicData>
            </a:graphic>
          </wp:anchor>
        </w:drawing>
      </w:r>
      <w:r w:rsidRPr="5BAB6C8E">
        <w:t xml:space="preserve"> </w:t>
      </w:r>
      <w:r w:rsidR="00583D53">
        <w:br w:type="page"/>
      </w:r>
    </w:p>
    <w:p w14:paraId="14FAEB71" w14:textId="77777777" w:rsidR="007D7EEA" w:rsidRPr="00381B74" w:rsidRDefault="7AD8E2CC" w:rsidP="007D7EEA">
      <w:pPr>
        <w:pStyle w:val="VersoPageHeading"/>
      </w:pPr>
      <w:r>
        <w:lastRenderedPageBreak/>
        <w:t>The Geological and Bioregional Assessment Program</w:t>
      </w:r>
    </w:p>
    <w:p w14:paraId="30974E93" w14:textId="77777777" w:rsidR="00FB15D3" w:rsidRPr="00382741" w:rsidRDefault="00FB15D3" w:rsidP="00FB15D3">
      <w:pPr>
        <w:pStyle w:val="VersoPageHeading"/>
        <w:rPr>
          <w:b w:val="0"/>
          <w:color w:val="auto"/>
        </w:rPr>
      </w:pPr>
      <w:r w:rsidRPr="00382741">
        <w:rPr>
          <w:b w:val="0"/>
          <w:color w:val="auto"/>
        </w:rPr>
        <w:t xml:space="preserve">The Geological and Bioregional Assessment Program will provide independent scientific advice on the potential impacts from </w:t>
      </w:r>
      <w:r w:rsidRPr="00EE5145">
        <w:rPr>
          <w:b w:val="0"/>
          <w:color w:val="auto"/>
        </w:rPr>
        <w:t xml:space="preserve">development of selected unconventional hydrocarbon plays </w:t>
      </w:r>
      <w:r w:rsidRPr="00382741">
        <w:rPr>
          <w:b w:val="0"/>
          <w:color w:val="auto"/>
        </w:rPr>
        <w:t xml:space="preserve">on </w:t>
      </w:r>
      <w:r>
        <w:rPr>
          <w:b w:val="0"/>
          <w:color w:val="auto"/>
        </w:rPr>
        <w:t xml:space="preserve">water and </w:t>
      </w:r>
      <w:r w:rsidRPr="00382741">
        <w:rPr>
          <w:b w:val="0"/>
          <w:color w:val="auto"/>
        </w:rPr>
        <w:t xml:space="preserve">the environment. The geological and environmental data and tools produced by the </w:t>
      </w:r>
      <w:r>
        <w:rPr>
          <w:b w:val="0"/>
          <w:color w:val="auto"/>
        </w:rPr>
        <w:t>P</w:t>
      </w:r>
      <w:r w:rsidRPr="00382741">
        <w:rPr>
          <w:b w:val="0"/>
          <w:color w:val="auto"/>
        </w:rPr>
        <w:t>rogram will assist governments, industry, landowners and the community to help inform decision</w:t>
      </w:r>
      <w:r>
        <w:rPr>
          <w:b w:val="0"/>
          <w:color w:val="auto"/>
        </w:rPr>
        <w:t xml:space="preserve"> </w:t>
      </w:r>
      <w:r w:rsidRPr="00382741">
        <w:rPr>
          <w:b w:val="0"/>
          <w:color w:val="auto"/>
        </w:rPr>
        <w:t xml:space="preserve">making and enhance the coordinated management of potential impacts. </w:t>
      </w:r>
    </w:p>
    <w:p w14:paraId="37AE349F" w14:textId="524EEB61" w:rsidR="00FB15D3" w:rsidRDefault="00FB15D3" w:rsidP="00FB15D3">
      <w:pPr>
        <w:pStyle w:val="VersoPageHeading"/>
        <w:rPr>
          <w:b w:val="0"/>
          <w:color w:val="auto"/>
        </w:rPr>
      </w:pPr>
      <w:r w:rsidRPr="00382741">
        <w:rPr>
          <w:b w:val="0"/>
          <w:color w:val="auto"/>
        </w:rPr>
        <w:t xml:space="preserve">The Program is funded by the Australian Government Department of the Environment and Energy. The Department of the Environment and Energy, Bureau of Meteorology, CSIRO and Geoscience Australia are collaborating to undertake geological and bioregional assessments. For more information, visit </w:t>
      </w:r>
      <w:hyperlink r:id="rId18" w:history="1">
        <w:r w:rsidRPr="007A6E9A">
          <w:rPr>
            <w:rStyle w:val="Hyperlink"/>
            <w:rFonts w:cs="Arial"/>
            <w:b w:val="0"/>
          </w:rPr>
          <w:t>http://www.bioregionalassessments.gov.au</w:t>
        </w:r>
      </w:hyperlink>
      <w:r w:rsidRPr="00382741">
        <w:rPr>
          <w:b w:val="0"/>
          <w:color w:val="auto"/>
        </w:rPr>
        <w:t xml:space="preserve">. </w:t>
      </w:r>
    </w:p>
    <w:p w14:paraId="31257BB9" w14:textId="77777777" w:rsidR="00FB15D3" w:rsidRPr="00381B74" w:rsidRDefault="00FB15D3" w:rsidP="00FB15D3">
      <w:pPr>
        <w:pStyle w:val="VersoPageHeading"/>
      </w:pPr>
      <w:r>
        <w:t>Department of the Environment and Energy</w:t>
      </w:r>
    </w:p>
    <w:p w14:paraId="06083862" w14:textId="38A8C8AC" w:rsidR="00FB15D3" w:rsidRDefault="00FB15D3" w:rsidP="00FB15D3">
      <w:pPr>
        <w:pStyle w:val="VersoPageHeading"/>
        <w:rPr>
          <w:b w:val="0"/>
          <w:color w:val="auto"/>
        </w:rPr>
      </w:pPr>
      <w:r w:rsidRPr="00024E91">
        <w:rPr>
          <w:b w:val="0"/>
          <w:color w:val="auto"/>
          <w:kern w:val="0"/>
        </w:rPr>
        <w:t xml:space="preserve">The Department designs and implements Australian Government policy and programs to protect and conserve the environment, water and heritage, promote climate action, and provide adequate, reliable and affordable energy. For more information visit </w:t>
      </w:r>
      <w:hyperlink r:id="rId19" w:history="1">
        <w:r w:rsidRPr="1960DDE0">
          <w:rPr>
            <w:rStyle w:val="Hyperlink"/>
            <w:b w:val="0"/>
            <w:kern w:val="0"/>
          </w:rPr>
          <w:t>http://www.environment.gov.au</w:t>
        </w:r>
      </w:hyperlink>
      <w:r w:rsidRPr="00024E91">
        <w:rPr>
          <w:b w:val="0"/>
          <w:color w:val="auto"/>
          <w:kern w:val="0"/>
        </w:rPr>
        <w:t>.</w:t>
      </w:r>
    </w:p>
    <w:p w14:paraId="0467C8B8" w14:textId="77777777" w:rsidR="00FB15D3" w:rsidRPr="00381B74" w:rsidRDefault="00FB15D3" w:rsidP="00FB15D3">
      <w:pPr>
        <w:pStyle w:val="VersoPageHeading"/>
      </w:pPr>
      <w:r>
        <w:t>Bureau of Meteorology</w:t>
      </w:r>
    </w:p>
    <w:p w14:paraId="1C8BE867" w14:textId="3E273F8F" w:rsidR="00FB15D3" w:rsidRPr="007676A5" w:rsidRDefault="00FB15D3" w:rsidP="00FB15D3">
      <w:pPr>
        <w:pStyle w:val="VersoPageText"/>
      </w:pPr>
      <w:r>
        <w:t xml:space="preserve">The Bureau of Meteorology is Australia’s national weather, climate and water agency. Under the </w:t>
      </w:r>
      <w:r w:rsidRPr="006B68BA">
        <w:rPr>
          <w:rStyle w:val="Italic"/>
        </w:rPr>
        <w:t>Water Act 2007</w:t>
      </w:r>
      <w:r>
        <w:t xml:space="preserve">, the Bureau is responsible for compiling and disseminating Australia's water information. The Bureau is committed to increasing access to water information to support informed decision making about the management of water resources. For more information, visit </w:t>
      </w:r>
      <w:hyperlink r:id="rId20">
        <w:r w:rsidRPr="6FAB5192">
          <w:rPr>
            <w:rStyle w:val="Hyperlink"/>
          </w:rPr>
          <w:t>http://www.bom.gov.au/water/</w:t>
        </w:r>
      </w:hyperlink>
      <w:r>
        <w:t>.</w:t>
      </w:r>
    </w:p>
    <w:p w14:paraId="3E5F7BAE" w14:textId="77777777" w:rsidR="00FB15D3" w:rsidRPr="00381B74" w:rsidRDefault="00FB15D3" w:rsidP="00FB15D3">
      <w:pPr>
        <w:pStyle w:val="VersoPageHeading"/>
      </w:pPr>
      <w:r>
        <w:t>CSIRO</w:t>
      </w:r>
    </w:p>
    <w:p w14:paraId="701887E4" w14:textId="02BE18F6" w:rsidR="00FB15D3" w:rsidRPr="007676A5" w:rsidRDefault="00FB15D3" w:rsidP="00FB15D3">
      <w:pPr>
        <w:pStyle w:val="VersoPageText"/>
      </w:pPr>
      <w:r>
        <w:t xml:space="preserve">Australia is founding its future on science and innovation. Its national science agency, CSIRO, is a powerhouse of ideas, technologies and skills for building prosperity, growth, health and sustainability. It serves governments, industries, business and communities across the nation. For more information, visit </w:t>
      </w:r>
      <w:hyperlink r:id="rId21">
        <w:r w:rsidRPr="6FAB5192">
          <w:rPr>
            <w:rStyle w:val="Hyperlink"/>
          </w:rPr>
          <w:t>http://www.csiro.au</w:t>
        </w:r>
      </w:hyperlink>
      <w:r>
        <w:t>.</w:t>
      </w:r>
    </w:p>
    <w:p w14:paraId="7822332E" w14:textId="77777777" w:rsidR="00FB15D3" w:rsidRPr="00381B74" w:rsidRDefault="00FB15D3" w:rsidP="00FB15D3">
      <w:pPr>
        <w:pStyle w:val="VersoPageHeading"/>
      </w:pPr>
      <w:r>
        <w:t>Geoscience Australia</w:t>
      </w:r>
    </w:p>
    <w:p w14:paraId="53126791" w14:textId="51D037D5" w:rsidR="00FB15D3" w:rsidRDefault="00FB15D3" w:rsidP="00FB15D3">
      <w:pPr>
        <w:pStyle w:val="VersoPageHeading"/>
        <w:rPr>
          <w:b w:val="0"/>
          <w:color w:val="auto"/>
        </w:rPr>
      </w:pPr>
      <w:r w:rsidRPr="00BD2189">
        <w:rPr>
          <w:b w:val="0"/>
          <w:color w:val="auto"/>
          <w:kern w:val="0"/>
        </w:rPr>
        <w:t xml:space="preserve">Geoscience Australia is Australia’s national geoscience agency and exists to apply geoscience to Australia’s most important challenges. Geoscience Australia provides geoscientific advice and information to the Australian Government to support current priorities. These include contributing to responsible resource development; cleaner and low emission energy technologies; community safety; and improving marine planning and protection. The outcome of Geoscience Australia’s work is an enhanced potential for the Australian community to obtain economic, social and environmental benefits through the application of first-class research and information. For more information, visit </w:t>
      </w:r>
      <w:hyperlink r:id="rId22" w:history="1">
        <w:r w:rsidRPr="1960DDE0">
          <w:rPr>
            <w:rStyle w:val="Hyperlink"/>
            <w:b w:val="0"/>
            <w:kern w:val="0"/>
          </w:rPr>
          <w:t>http://www.ga.gov.au</w:t>
        </w:r>
      </w:hyperlink>
      <w:r w:rsidRPr="00BD2189">
        <w:rPr>
          <w:b w:val="0"/>
          <w:color w:val="auto"/>
          <w:kern w:val="0"/>
        </w:rPr>
        <w:t>.</w:t>
      </w:r>
    </w:p>
    <w:p w14:paraId="3C566484" w14:textId="6A5B158E" w:rsidR="007D7EEA" w:rsidRPr="00F53018" w:rsidRDefault="7AD8E2CC" w:rsidP="007D7EEA">
      <w:pPr>
        <w:pStyle w:val="VersoPageHeading"/>
      </w:pPr>
      <w:r w:rsidRPr="009F5F31">
        <w:t xml:space="preserve">ISBN-PDF </w:t>
      </w:r>
      <w:r w:rsidR="009F5F31">
        <w:t>978-1-76003-277-7</w:t>
      </w:r>
    </w:p>
    <w:p w14:paraId="595AFC16" w14:textId="77777777" w:rsidR="007D7EEA" w:rsidRPr="00F53018" w:rsidRDefault="7AD8E2CC" w:rsidP="007D7EEA">
      <w:pPr>
        <w:pStyle w:val="VersoPageHeading"/>
      </w:pPr>
      <w:r>
        <w:t>Citation</w:t>
      </w:r>
    </w:p>
    <w:p w14:paraId="1285B38F" w14:textId="7E930C59" w:rsidR="007D7EEA" w:rsidRPr="00F53018" w:rsidRDefault="007130AE" w:rsidP="007D7EEA">
      <w:pPr>
        <w:pStyle w:val="VersoPageText"/>
      </w:pPr>
      <w:bookmarkStart w:id="0" w:name="Citation"/>
      <w:r w:rsidRPr="007130AE">
        <w:t>Evans TJ, Radke BM, Martinez J, Buchanan S, Cook SB, Raiber M, Ransley TR, Lai ÉCS, Skeers N, Woods M, Evenden C, Cassel R and Dunn B (20</w:t>
      </w:r>
      <w:r w:rsidR="00812495">
        <w:t>20</w:t>
      </w:r>
      <w:r w:rsidRPr="007130AE">
        <w:t>) Hydrogeology of the Beetaloo GBA region</w:t>
      </w:r>
      <w:r w:rsidR="00726D8A">
        <w:t xml:space="preserve">. </w:t>
      </w:r>
      <w:bookmarkEnd w:id="0"/>
      <w:r w:rsidR="00765EEA" w:rsidRPr="00002953">
        <w:t>Technical appendix for </w:t>
      </w:r>
      <w:r w:rsidR="008907A1">
        <w:t xml:space="preserve">the </w:t>
      </w:r>
      <w:r w:rsidR="00765EEA" w:rsidRPr="00002953">
        <w:t xml:space="preserve">Geological and Bioregional Assessment: Stage 2. </w:t>
      </w:r>
      <w:r w:rsidR="00765EEA">
        <w:t>Department of the Environment and Energy, Bureau of Meteorology, CSIRO and Geoscience Australia, Australia.</w:t>
      </w:r>
    </w:p>
    <w:p w14:paraId="2E462714" w14:textId="10474218" w:rsidR="007D7EEA" w:rsidRDefault="7AD8E2CC" w:rsidP="007D7EEA">
      <w:pPr>
        <w:pStyle w:val="VersoPageText"/>
      </w:pPr>
      <w:r>
        <w:t>Authorship is listed in relative order of contribution.</w:t>
      </w:r>
    </w:p>
    <w:p w14:paraId="18BF3B72" w14:textId="6F82F4B3" w:rsidR="00FA2699" w:rsidRPr="00381B74" w:rsidRDefault="00FA2699" w:rsidP="007D7EEA">
      <w:pPr>
        <w:pStyle w:val="VersoPageText"/>
      </w:pPr>
      <w:r w:rsidRPr="00E63653">
        <w:t>On 1 February 2020 the Department of the Environment and Energy and the Department of Agriculture merged to form the Department of Agriculture, Water and the Environment. Work for this document was carried out under the then Department of the Environment and Energy. Therefore, references to both departments are retained in this report.</w:t>
      </w:r>
    </w:p>
    <w:p w14:paraId="5455F199" w14:textId="77777777" w:rsidR="007D7EEA" w:rsidRPr="00381B74" w:rsidRDefault="7AD8E2CC" w:rsidP="007D7EEA">
      <w:pPr>
        <w:pStyle w:val="VersoPageHeading"/>
      </w:pPr>
      <w:r>
        <w:t>Copyright</w:t>
      </w:r>
    </w:p>
    <w:p w14:paraId="4F768748" w14:textId="20DD684B" w:rsidR="00EB720C" w:rsidRDefault="007D7EEA" w:rsidP="00EB720C">
      <w:pPr>
        <w:pStyle w:val="VersoPageText"/>
        <w:tabs>
          <w:tab w:val="left" w:pos="5568"/>
        </w:tabs>
      </w:pPr>
      <w:r w:rsidRPr="00381B74">
        <w:rPr>
          <w:noProof/>
        </w:rPr>
        <w:drawing>
          <wp:inline distT="0" distB="0" distL="0" distR="0" wp14:anchorId="33DECA69" wp14:editId="3177BE84">
            <wp:extent cx="965888" cy="375833"/>
            <wp:effectExtent l="19050" t="0" r="5662" b="0"/>
            <wp:docPr id="4" name="Picture 4" descr="Creative Common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screen">
                      <a:extLst>
                        <a:ext uri="{28A0092B-C50C-407E-A947-70E740481C1C}">
                          <a14:useLocalDpi xmlns:a14="http://schemas.microsoft.com/office/drawing/2010/main"/>
                        </a:ext>
                      </a:extLst>
                    </a:blip>
                    <a:srcRect t="-5968"/>
                    <a:stretch>
                      <a:fillRect/>
                    </a:stretch>
                  </pic:blipFill>
                  <pic:spPr bwMode="auto">
                    <a:xfrm>
                      <a:off x="0" y="0"/>
                      <a:ext cx="965888" cy="375833"/>
                    </a:xfrm>
                    <a:prstGeom prst="rect">
                      <a:avLst/>
                    </a:prstGeom>
                    <a:noFill/>
                    <a:ln w="9525">
                      <a:noFill/>
                      <a:miter lim="800000"/>
                      <a:headEnd/>
                      <a:tailEnd/>
                    </a:ln>
                  </pic:spPr>
                </pic:pic>
              </a:graphicData>
            </a:graphic>
          </wp:inline>
        </w:drawing>
      </w:r>
      <w:r w:rsidRPr="5BAB6C8E">
        <w:t xml:space="preserve"> </w:t>
      </w:r>
      <w:r w:rsidR="00EB720C">
        <w:t>© Commonwealth of Australia 20</w:t>
      </w:r>
      <w:r w:rsidR="00812495">
        <w:t>20</w:t>
      </w:r>
      <w:r w:rsidR="00EB720C" w:rsidRPr="00381B74">
        <w:br/>
      </w:r>
      <w:r w:rsidR="00EB720C" w:rsidRPr="00FB4859">
        <w:t xml:space="preserve">With the exception of the Commonwealth Coat of Arms and where otherwise noted, all material in this publication is provided under a Creative Commons Attribution 4.0 International Licence </w:t>
      </w:r>
      <w:hyperlink r:id="rId24" w:history="1">
        <w:r w:rsidR="00EB720C" w:rsidRPr="1960DDE0">
          <w:rPr>
            <w:rStyle w:val="Hyperlink"/>
          </w:rPr>
          <w:t>https://creativecommons.org/licenses/by/4.0/</w:t>
        </w:r>
      </w:hyperlink>
      <w:r w:rsidR="00EB720C" w:rsidRPr="00FB4859">
        <w:t xml:space="preserve">. The Geological and Bioregional Assessment Program requests attribution as ‘© Commonwealth of Australia (Geological and Bioregional Assessment Program </w:t>
      </w:r>
      <w:hyperlink r:id="rId25" w:history="1">
        <w:r w:rsidR="00EB720C" w:rsidRPr="1960DDE0">
          <w:rPr>
            <w:rStyle w:val="Hyperlink"/>
          </w:rPr>
          <w:t>http://www.bioregionalassessments.gov.au</w:t>
        </w:r>
      </w:hyperlink>
      <w:r w:rsidR="00EB720C" w:rsidRPr="5808EE4F">
        <w:t>)</w:t>
      </w:r>
      <w:r w:rsidR="00EB720C">
        <w:t>’</w:t>
      </w:r>
      <w:r w:rsidR="00EB720C" w:rsidRPr="5808EE4F">
        <w:t>.</w:t>
      </w:r>
    </w:p>
    <w:p w14:paraId="1130B538" w14:textId="77777777" w:rsidR="00EB720C" w:rsidRPr="00381B74" w:rsidRDefault="00EB720C" w:rsidP="00EB720C">
      <w:pPr>
        <w:pStyle w:val="VersoPageHeading"/>
      </w:pPr>
      <w:r>
        <w:t>Disclaimer</w:t>
      </w:r>
    </w:p>
    <w:p w14:paraId="26B0060C" w14:textId="68F6C216" w:rsidR="007D7EEA" w:rsidRPr="00381B74" w:rsidRDefault="00EB720C" w:rsidP="00EB720C">
      <w:pPr>
        <w:pStyle w:val="VersoPageText"/>
      </w:pPr>
      <w:r>
        <w:t>The information contained in this report is based on the best available information at the time of publication. The reader is advised that such information may be incomplete or unable to be used in any specific situation. Therefore, decisions should not be made based solely on this information or without seeking prior expert professional, scientific and technical advice.</w:t>
      </w:r>
      <w:r>
        <w:br/>
        <w:t xml:space="preserve">The Geological and Bioregional Assessment Program is committed to providing web accessible content wherever possible. If you are having difficulties with accessing this document please contact </w:t>
      </w:r>
      <w:hyperlink r:id="rId26" w:history="1">
        <w:r w:rsidR="00FA2699">
          <w:rPr>
            <w:rStyle w:val="Hyperlink"/>
            <w:rFonts w:cs="Arial"/>
          </w:rPr>
          <w:t>bioregionalassessments@awe.gov.au</w:t>
        </w:r>
      </w:hyperlink>
      <w:r>
        <w:t>.</w:t>
      </w:r>
    </w:p>
    <w:p w14:paraId="49E4C7FC" w14:textId="77777777" w:rsidR="007D7EEA" w:rsidRDefault="7AD8E2CC" w:rsidP="007D7EEA">
      <w:pPr>
        <w:pStyle w:val="VersoPageHeading"/>
      </w:pPr>
      <w:r>
        <w:t>Cover photograph</w:t>
      </w:r>
    </w:p>
    <w:p w14:paraId="1DBFF9E3" w14:textId="77777777" w:rsidR="0065616F" w:rsidRDefault="008D38A1" w:rsidP="00FE2FF7">
      <w:pPr>
        <w:pStyle w:val="VersoPageText"/>
      </w:pPr>
      <w:r w:rsidRPr="008D38A1">
        <w:rPr>
          <w:noProof/>
        </w:rPr>
        <w:t xml:space="preserve">Mataranka </w:t>
      </w:r>
      <w:r w:rsidR="00525209">
        <w:rPr>
          <w:noProof/>
        </w:rPr>
        <w:t>Thermal Pools</w:t>
      </w:r>
      <w:r w:rsidRPr="008D38A1">
        <w:rPr>
          <w:noProof/>
        </w:rPr>
        <w:t>, Beetaloo GBA extended region, October 2018</w:t>
      </w:r>
      <w:r w:rsidR="00A5099F">
        <w:rPr>
          <w:noProof/>
        </w:rPr>
        <w:t>.</w:t>
      </w:r>
      <w:r w:rsidR="00A5099F">
        <w:rPr>
          <w:noProof/>
        </w:rPr>
        <w:br/>
      </w:r>
      <w:r w:rsidR="007D7EEA">
        <w:rPr>
          <w:noProof/>
        </w:rPr>
        <w:t xml:space="preserve">Credit: </w:t>
      </w:r>
      <w:r w:rsidR="00C2771A">
        <w:t>Alf Larcher</w:t>
      </w:r>
      <w:r w:rsidR="00A5099F">
        <w:t xml:space="preserve"> (CSIRO)</w:t>
      </w:r>
      <w:r w:rsidR="00FA0D2E">
        <w:br/>
      </w:r>
      <w:r w:rsidR="00FA0D2E" w:rsidRPr="00E84F7E">
        <w:t>Element:</w:t>
      </w:r>
      <w:r w:rsidR="00FA0D2E">
        <w:t xml:space="preserve"> </w:t>
      </w:r>
      <w:r w:rsidR="00E84F7E" w:rsidRPr="33579D82">
        <w:rPr>
          <w:noProof/>
        </w:rPr>
        <w:t>GBA-BEE-2-381</w:t>
      </w:r>
    </w:p>
    <w:p w14:paraId="60BC14AC" w14:textId="77777777" w:rsidR="00A2041A" w:rsidRDefault="00A2041A" w:rsidP="00A2041A">
      <w:pPr>
        <w:rPr>
          <w:rFonts w:asciiTheme="minorHAnsi" w:eastAsia="Times" w:hAnsiTheme="minorHAnsi" w:cs="Arial"/>
          <w:color w:val="auto"/>
          <w:sz w:val="18"/>
          <w:szCs w:val="20"/>
        </w:rPr>
      </w:pPr>
    </w:p>
    <w:p w14:paraId="10B3374D" w14:textId="445DE236" w:rsidR="00A2041A" w:rsidRPr="00A2041A" w:rsidRDefault="00A2041A" w:rsidP="00A2041A">
      <w:pPr>
        <w:sectPr w:rsidR="00A2041A" w:rsidRPr="00A2041A" w:rsidSect="00B65F93">
          <w:headerReference w:type="even" r:id="rId27"/>
          <w:headerReference w:type="default" r:id="rId28"/>
          <w:footerReference w:type="even" r:id="rId29"/>
          <w:footerReference w:type="default" r:id="rId30"/>
          <w:headerReference w:type="first" r:id="rId31"/>
          <w:footerReference w:type="first" r:id="rId32"/>
          <w:pgSz w:w="11906" w:h="16838" w:code="9"/>
          <w:pgMar w:top="1077" w:right="1134" w:bottom="709" w:left="1134" w:header="510" w:footer="794" w:gutter="0"/>
          <w:pgNumType w:fmt="lowerRoman" w:start="1"/>
          <w:cols w:space="284"/>
          <w:titlePg/>
          <w:docGrid w:linePitch="360"/>
        </w:sectPr>
      </w:pPr>
    </w:p>
    <w:p w14:paraId="7093AAF6" w14:textId="2DB8A754" w:rsidR="008625B9" w:rsidRDefault="0070099A" w:rsidP="00FA0D2E">
      <w:pPr>
        <w:pStyle w:val="Heading2notnumbered"/>
      </w:pPr>
      <w:bookmarkStart w:id="1" w:name="_Toc4072453"/>
      <w:bookmarkStart w:id="2" w:name="_Toc5020783"/>
      <w:bookmarkStart w:id="3" w:name="_Toc5021590"/>
      <w:bookmarkStart w:id="4" w:name="_Toc5808351"/>
      <w:bookmarkStart w:id="5" w:name="_Toc5895043"/>
      <w:bookmarkStart w:id="6" w:name="_Toc6308931"/>
      <w:bookmarkStart w:id="7" w:name="_Toc6327595"/>
      <w:bookmarkStart w:id="8" w:name="_Toc38990430"/>
      <w:r>
        <w:rPr>
          <w:noProof/>
        </w:rPr>
        <w:t>Executive summary</w:t>
      </w:r>
      <w:bookmarkEnd w:id="1"/>
      <w:bookmarkEnd w:id="2"/>
      <w:bookmarkEnd w:id="3"/>
      <w:bookmarkEnd w:id="4"/>
      <w:bookmarkEnd w:id="5"/>
      <w:bookmarkEnd w:id="6"/>
      <w:bookmarkEnd w:id="7"/>
      <w:bookmarkEnd w:id="8"/>
    </w:p>
    <w:p w14:paraId="6FA1B071" w14:textId="4070DB1B" w:rsidR="00291C57" w:rsidRPr="00561F54" w:rsidRDefault="00FC4D96" w:rsidP="707F0F66">
      <w:pPr>
        <w:pStyle w:val="SummaryWaterresources"/>
      </w:pPr>
      <w:bookmarkStart w:id="9" w:name="_Hlk34913050"/>
      <w:r>
        <w:t xml:space="preserve">This investigation reviews the existing datasets and literature to develop a regional hydrogeological conceptualisation of the Beetaloo Geological and Bioregional </w:t>
      </w:r>
      <w:r w:rsidR="2E5467B3">
        <w:t xml:space="preserve">Assessment </w:t>
      </w:r>
      <w:r>
        <w:t xml:space="preserve"> region. The region is located approximately 500 km south-east of Darwin, in the Northern Territory, Australia, and covers approximately 28,000 km2.</w:t>
      </w:r>
      <w:bookmarkEnd w:id="9"/>
    </w:p>
    <w:p w14:paraId="28FAE121" w14:textId="5633BFCD" w:rsidR="00291C57" w:rsidRPr="00561F54" w:rsidRDefault="00FC4D96" w:rsidP="707F0F66">
      <w:pPr>
        <w:pStyle w:val="SummaryWaterresources"/>
      </w:pPr>
      <w:r>
        <w:t xml:space="preserve">The hydrogeology is characterised by a complex series of stacked sedimentary basins </w:t>
      </w:r>
      <w:r w:rsidR="2FE1F631">
        <w:t>that</w:t>
      </w:r>
      <w:r>
        <w:t xml:space="preserve"> include the Beetaloo Sub-basin (Roper Group); the Georgina, Wiso, and Daly basins; and the Carpentaria Basin. Within these basins, four primary groundwater and aquitard sub-systems have been identified. A brief summary of these is provided below. </w:t>
      </w:r>
    </w:p>
    <w:p w14:paraId="3B9B6F0D" w14:textId="306A0D96" w:rsidR="00291C57" w:rsidRDefault="00FC4D96" w:rsidP="707F0F66">
      <w:pPr>
        <w:pStyle w:val="SummaryWaterresources"/>
      </w:pPr>
      <w:r w:rsidRPr="006E0CDA">
        <w:rPr>
          <w:b/>
        </w:rPr>
        <w:t>Mesoproterozoic Roper Group</w:t>
      </w:r>
      <w:r>
        <w:t>: The group is host to the main hydrocarbon plays of the Velkerri and Kyalla formations. While the Roper Group typically exhibits aquitard properties, the Moroak Sandstone can locally act as a fractured rock aquifer near structures. It has produced groundwater inflows to petroleum wells during drilling. Due to depth and hypersaline conditions, the Moroak Sandstone is not utilised as a groundwater resource within the Beetaloo GBA region. Outside the Beetaloo GBA region</w:t>
      </w:r>
      <w:r w:rsidR="279ACC6C">
        <w:t>,</w:t>
      </w:r>
      <w:r>
        <w:t xml:space="preserve"> however, where these rocks occur near surface, the Moroak and other sandstones in the Roper Group are utilised and may also be a source aquifer for some springs.</w:t>
      </w:r>
    </w:p>
    <w:p w14:paraId="55002B2D" w14:textId="77A3C8D1" w:rsidR="00291C57" w:rsidRDefault="00FC4D96" w:rsidP="707F0F66">
      <w:pPr>
        <w:pStyle w:val="SummaryWaterresources"/>
      </w:pPr>
      <w:r w:rsidRPr="006E0CDA">
        <w:rPr>
          <w:b/>
        </w:rPr>
        <w:t>Neoproterozoic units</w:t>
      </w:r>
      <w:r>
        <w:t>: Overlying the Roper Group are the Jamison sandstone aquifer, Hayfield mudstone and Kiana Group. Outside the region the Jamison sandstone is utilised as a groundwater source. Whil</w:t>
      </w:r>
      <w:r w:rsidR="3334BCEA">
        <w:t>e</w:t>
      </w:r>
      <w:r>
        <w:t xml:space="preserve"> </w:t>
      </w:r>
      <w:r w:rsidR="279ACC6C">
        <w:t xml:space="preserve">this </w:t>
      </w:r>
      <w:r>
        <w:t xml:space="preserve">unit </w:t>
      </w:r>
      <w:r w:rsidR="279ACC6C">
        <w:t>is being</w:t>
      </w:r>
      <w:r>
        <w:t xml:space="preserve"> considered as an option </w:t>
      </w:r>
      <w:r w:rsidR="279ACC6C">
        <w:t>for</w:t>
      </w:r>
      <w:r>
        <w:t xml:space="preserve"> water supply for future petroleum drilling operations </w:t>
      </w:r>
      <w:r w:rsidR="2E5467B3">
        <w:t>within</w:t>
      </w:r>
      <w:r>
        <w:t xml:space="preserve"> the region, a couple of water quality samples suggest at least parts of it could be highly saline. </w:t>
      </w:r>
    </w:p>
    <w:p w14:paraId="028534F1" w14:textId="5CE77C9B" w:rsidR="00291C57" w:rsidRDefault="00FC4D96" w:rsidP="707F0F66">
      <w:pPr>
        <w:pStyle w:val="SummaryWaterresources"/>
      </w:pPr>
      <w:r>
        <w:t xml:space="preserve">The overlying Hayfield mudstone is a regional aquitard found across the majority of the Beetaloo GBA region, except for small regions in the extreme north and south. The Kiana Group </w:t>
      </w:r>
      <w:r w:rsidR="2E5467B3">
        <w:t>consists</w:t>
      </w:r>
      <w:r>
        <w:t xml:space="preserve"> of Bukalara Sandstone and Cox Formation. The Bukalara Sandstone has a discontinuous distribution, within and adjacent to, the Beetaloo GBA region. This unit is a good local aquifer where it outcrops to the north of the region. The Bukalara Sandstone is be</w:t>
      </w:r>
      <w:r w:rsidR="279ACC6C">
        <w:t>ing</w:t>
      </w:r>
      <w:r>
        <w:t xml:space="preserve"> considered as </w:t>
      </w:r>
      <w:r w:rsidR="279ACC6C">
        <w:t xml:space="preserve">an </w:t>
      </w:r>
      <w:r>
        <w:t>option for future water supplies. Limited information from petroleum wells drilled within the Beetaloo GBA region suggests that parts of the Bukalara Sandstone have potential</w:t>
      </w:r>
      <w:r w:rsidR="279ACC6C">
        <w:t>ly</w:t>
      </w:r>
      <w:r>
        <w:t xml:space="preserve"> relatively good hydraulic conductivity and porosity. There is no information on water quality. </w:t>
      </w:r>
    </w:p>
    <w:p w14:paraId="4B4CC1FD" w14:textId="37B8A365" w:rsidR="00291C57" w:rsidRDefault="00FC4D96" w:rsidP="707F0F66">
      <w:pPr>
        <w:pStyle w:val="SummaryWaterresources"/>
        <w:rPr>
          <w:rStyle w:val="Bold"/>
        </w:rPr>
      </w:pPr>
      <w:r w:rsidRPr="006E0CDA">
        <w:rPr>
          <w:b/>
        </w:rPr>
        <w:t>Antrim Plateau Volcanics</w:t>
      </w:r>
      <w:r>
        <w:t>: Whil</w:t>
      </w:r>
      <w:r w:rsidR="3334BCEA">
        <w:t>e</w:t>
      </w:r>
      <w:r>
        <w:t xml:space="preserve"> considered to be a regional aquitard across much of the Beetaloo GBA region, it is used as a local aquifer where groundwater supply from the Cambrian Limestone Aquifer is not sufficient.</w:t>
      </w:r>
    </w:p>
    <w:p w14:paraId="5ABAE8D8" w14:textId="77777777" w:rsidR="00291C57" w:rsidRDefault="00FC4D96" w:rsidP="707F0F66">
      <w:pPr>
        <w:pStyle w:val="SummaryWaterresources"/>
      </w:pPr>
      <w:r w:rsidRPr="006E0CDA">
        <w:rPr>
          <w:b/>
        </w:rPr>
        <w:t>Cambrian Limestone Aquifer</w:t>
      </w:r>
      <w:r>
        <w:t xml:space="preserve">: The Cambrian Limestone Aquifer (CLA) is the most important aquifer in the Beetaloo GBA region, due to its relatively shallow nature, high yields and good water quality. The CLA stratigraphy is complex, karstic in nature and includes a number of variably hydraulically connected sequences: The Cambrian Antrim Plateau Volcanics underlies the CLA. </w:t>
      </w:r>
    </w:p>
    <w:p w14:paraId="4F838075" w14:textId="127AA37D" w:rsidR="00291C57" w:rsidRDefault="00FC4D96" w:rsidP="707F0F66">
      <w:pPr>
        <w:pStyle w:val="SummaryWaterresources"/>
      </w:pPr>
      <w:r>
        <w:t xml:space="preserve">There are two regional groundwater flow systems recognised in the CLA: </w:t>
      </w:r>
      <w:r w:rsidR="2AC512A4">
        <w:t>g</w:t>
      </w:r>
      <w:r>
        <w:t>roundwater flow from the Wiso Basin into the Daly Basin, and groundwater flow from the Georgina Basin into the Daly Basin. Inferred regional groundwater flow for both systems are north-westward, across the Beetaloo GBA region, into the Daly Basin and discharg</w:t>
      </w:r>
      <w:r w:rsidR="2AC512A4">
        <w:t>es</w:t>
      </w:r>
      <w:r>
        <w:t xml:space="preserve"> at spring complexes such as Mataranka and Flora River Springs located outside the GBA region. Groundwater flow on </w:t>
      </w:r>
      <w:r w:rsidR="2AC512A4">
        <w:t xml:space="preserve">a </w:t>
      </w:r>
      <w:r>
        <w:t>more local scale is</w:t>
      </w:r>
      <w:r w:rsidR="2AC512A4">
        <w:t>,</w:t>
      </w:r>
      <w:r>
        <w:t xml:space="preserve"> however, poorly defined. Within the CLA, the velocity of groundwater flow can be highly variable and is in part dependent on the degree of connectivity and size of karst porosity.</w:t>
      </w:r>
    </w:p>
    <w:p w14:paraId="02E3E81E" w14:textId="2C38820C" w:rsidR="00291C57" w:rsidRDefault="00FC4D96" w:rsidP="707F0F66">
      <w:pPr>
        <w:pStyle w:val="SummaryWaterresources"/>
      </w:pPr>
      <w:r w:rsidRPr="006E0CDA">
        <w:rPr>
          <w:b/>
        </w:rPr>
        <w:t>Cretaceous Carp</w:t>
      </w:r>
      <w:r w:rsidR="6C111E06" w:rsidRPr="006E0CDA">
        <w:rPr>
          <w:b/>
        </w:rPr>
        <w:t xml:space="preserve">entaria Basin </w:t>
      </w:r>
      <w:r w:rsidRPr="006E0CDA">
        <w:rPr>
          <w:b/>
        </w:rPr>
        <w:t>and Cenozoic sediments</w:t>
      </w:r>
      <w:r>
        <w:t>: These are generally unsaturated and provide only limited quantities of low to moderately saline groundwater. Within the Beetaloo GBA region, local perched aquifers in the Cenozoic could potentially be used as a water source by vegetation.</w:t>
      </w:r>
    </w:p>
    <w:p w14:paraId="7C4C71AE" w14:textId="723AA6E2" w:rsidR="00291C57" w:rsidRDefault="00FC4D96" w:rsidP="707F0F66">
      <w:pPr>
        <w:pStyle w:val="SummaryWaterresources"/>
      </w:pPr>
      <w:r w:rsidRPr="006E0CDA">
        <w:rPr>
          <w:b/>
        </w:rPr>
        <w:t>Hydraulic connectivity</w:t>
      </w:r>
      <w:r>
        <w:t xml:space="preserve">: </w:t>
      </w:r>
      <w:r w:rsidR="2AC512A4">
        <w:t>Hydraulic connectivity and</w:t>
      </w:r>
      <w:r>
        <w:t xml:space="preserve"> potential impact propagation between the prospective Roper Group units and the upper aquifers </w:t>
      </w:r>
      <w:r w:rsidR="2AC512A4">
        <w:t>are</w:t>
      </w:r>
      <w:r>
        <w:t xml:space="preserve"> expected to be limited by variably extensive and thick aquitards, particularly the Hayfield mudstone and Antrim Plateau Volcanics. The degree of inter-aquifer connectivity is not well characterised.</w:t>
      </w:r>
    </w:p>
    <w:p w14:paraId="1BB2158E" w14:textId="21370610" w:rsidR="00291C57" w:rsidRPr="00561F54" w:rsidRDefault="00FC4D96" w:rsidP="707F0F66">
      <w:pPr>
        <w:pStyle w:val="SummaryWaterresources"/>
      </w:pPr>
      <w:r>
        <w:t>The thickness of Carpentaria Basin sedimentary rocks and distribution of near</w:t>
      </w:r>
      <w:r w:rsidR="0961A22E">
        <w:t>-</w:t>
      </w:r>
      <w:r>
        <w:t>surface karst have a bearing on degree of leakage/recharge that can reach the underlying CLA</w:t>
      </w:r>
      <w:r w:rsidR="2E5467B3">
        <w:t>.</w:t>
      </w:r>
      <w:r>
        <w:t xml:space="preserve"> This has implications for hazards such as spills, </w:t>
      </w:r>
      <w:r w:rsidR="2AC512A4">
        <w:t>because recharge/leakage is impeded</w:t>
      </w:r>
      <w:r>
        <w:t xml:space="preserve"> where overlying Carpentaria Basin sedimentary </w:t>
      </w:r>
      <w:r w:rsidR="2AC512A4">
        <w:t xml:space="preserve">is </w:t>
      </w:r>
      <w:r>
        <w:t xml:space="preserve">thick. </w:t>
      </w:r>
    </w:p>
    <w:p w14:paraId="19F19E03" w14:textId="1DA9CF4D" w:rsidR="00291C57" w:rsidRPr="00561F54" w:rsidRDefault="00FC4D96" w:rsidP="707F0F66">
      <w:pPr>
        <w:pStyle w:val="SummaryWaterresources"/>
      </w:pPr>
      <w:r>
        <w:t>A number of groundwater-dependent ecosystems have been identified within the Beetaloo GBA region</w:t>
      </w:r>
      <w:r w:rsidR="2AC512A4">
        <w:t>;</w:t>
      </w:r>
      <w:r>
        <w:t xml:space="preserve"> however, due to depth these are expected to be related to shallow perched aquifers, rather than the regional watertable.</w:t>
      </w:r>
    </w:p>
    <w:p w14:paraId="6547A01F" w14:textId="46F23D1F" w:rsidR="00291C57" w:rsidRDefault="00FC4D96" w:rsidP="707F0F66">
      <w:pPr>
        <w:pStyle w:val="SummaryWaterresources"/>
      </w:pPr>
      <w:r w:rsidRPr="006E0CDA">
        <w:rPr>
          <w:b/>
        </w:rPr>
        <w:t>Beetaloo GBA Stage 3</w:t>
      </w:r>
      <w:r w:rsidR="2AC512A4">
        <w:t xml:space="preserve">: Stage 3 will include </w:t>
      </w:r>
      <w:r>
        <w:t>further work on the stratigraphic model and fault interpretation</w:t>
      </w:r>
      <w:r w:rsidR="2AC512A4">
        <w:t>;</w:t>
      </w:r>
      <w:r>
        <w:t xml:space="preserve"> updating </w:t>
      </w:r>
      <w:r w:rsidR="2AC512A4">
        <w:t xml:space="preserve">the </w:t>
      </w:r>
      <w:r>
        <w:t xml:space="preserve">thickness map of the Carpentaria Basin in the Beetaloo GBA region aims to improve the understanding of groundwater connectivity, recharge pathways and processes. A field study will be conducted to investigate the potential of any deeper water sources discharging at Mataranka and whether this potential causal pathway presents a greater risk to Mataranka Thermal Pools and the CLA aquifer in general from </w:t>
      </w:r>
      <w:r w:rsidR="2AC512A4">
        <w:t>petroleum resource</w:t>
      </w:r>
      <w:r>
        <w:t xml:space="preserve"> development.</w:t>
      </w:r>
    </w:p>
    <w:p w14:paraId="14937100" w14:textId="14A4CB93" w:rsidR="008625B9" w:rsidRDefault="2AC512A4" w:rsidP="707F0F66">
      <w:pPr>
        <w:pStyle w:val="SummaryWaterresources"/>
      </w:pPr>
      <w:r>
        <w:t>In future exploration programs b</w:t>
      </w:r>
      <w:r w:rsidR="00FC4D96">
        <w:t xml:space="preserve">eyond </w:t>
      </w:r>
      <w:r>
        <w:t xml:space="preserve">the </w:t>
      </w:r>
      <w:r w:rsidR="00FC4D96">
        <w:t xml:space="preserve">GBA </w:t>
      </w:r>
      <w:r>
        <w:t>Program</w:t>
      </w:r>
      <w:r w:rsidR="00FC4D96">
        <w:t xml:space="preserve">, consideration should be given to include activities that improve the knowledge base and understanding of the hydrogeology and geology of sequences that overlie the Roper </w:t>
      </w:r>
      <w:r w:rsidR="2E5467B3">
        <w:t xml:space="preserve">Group. </w:t>
      </w:r>
      <w:r w:rsidR="00FC4D96">
        <w:t xml:space="preserve">These could include running </w:t>
      </w:r>
      <w:r w:rsidR="3243E4D9">
        <w:t xml:space="preserve">at </w:t>
      </w:r>
      <w:r w:rsidR="00FC4D96">
        <w:t>relatively shallow depths (e.g. CLA or Antrim Plateau Volcanics) suites of well logs or pressure surveys, undertaking geological seismic interpretation, or collecting water samples from prospective deep aquifers, such as Jamison or Bukalara sandstones. Dedicated monitoring bores in Jamison and Bukalara sandstones would provide valuable information on waterlevels, water quality and degree of inter-aquifer connectivity.</w:t>
      </w:r>
    </w:p>
    <w:p w14:paraId="60E7EA39" w14:textId="521C6273" w:rsidR="00490578" w:rsidRPr="00490578" w:rsidRDefault="00490578" w:rsidP="00490578">
      <w:pPr>
        <w:pStyle w:val="BodyText"/>
        <w:sectPr w:rsidR="00490578" w:rsidRPr="00490578" w:rsidSect="00B65F93">
          <w:headerReference w:type="even" r:id="rId33"/>
          <w:footerReference w:type="even" r:id="rId34"/>
          <w:footerReference w:type="default" r:id="rId35"/>
          <w:headerReference w:type="first" r:id="rId36"/>
          <w:footerReference w:type="first" r:id="rId37"/>
          <w:pgSz w:w="11906" w:h="16838" w:code="9"/>
          <w:pgMar w:top="1077" w:right="1134" w:bottom="709" w:left="1134" w:header="510" w:footer="794" w:gutter="0"/>
          <w:pgNumType w:fmt="lowerRoman" w:start="1"/>
          <w:cols w:space="284"/>
          <w:docGrid w:linePitch="360"/>
        </w:sectPr>
      </w:pPr>
    </w:p>
    <w:p w14:paraId="53DDD80C" w14:textId="04E5168E" w:rsidR="00A943B2" w:rsidRDefault="7AD8E2CC" w:rsidP="7AD8E2CC">
      <w:pPr>
        <w:pStyle w:val="TOCHeading"/>
      </w:pPr>
      <w:r>
        <w:t>Contents</w:t>
      </w:r>
      <w:r w:rsidR="00B47612">
        <w:t xml:space="preserve"> </w:t>
      </w:r>
    </w:p>
    <w:p w14:paraId="54BDCC44" w14:textId="75F7A23C" w:rsidR="00873D87" w:rsidRDefault="00FD4B2A">
      <w:pPr>
        <w:pStyle w:val="TOC2"/>
        <w:rPr>
          <w:rFonts w:asciiTheme="minorHAnsi" w:eastAsiaTheme="minorEastAsia" w:hAnsiTheme="minorHAnsi" w:cstheme="minorBidi"/>
          <w:b w:val="0"/>
          <w:sz w:val="22"/>
          <w:szCs w:val="22"/>
          <w:lang w:val="en-US" w:eastAsia="en-US"/>
        </w:rPr>
      </w:pPr>
      <w:r w:rsidRPr="748F35FD">
        <w:fldChar w:fldCharType="begin"/>
      </w:r>
      <w:r>
        <w:rPr>
          <w:b w:val="0"/>
        </w:rPr>
        <w:instrText xml:space="preserve"> TOC \o "2-3" \h \z \t "Heading 1,1,Heading 1 not numbered,1,Heading 1 no TOC,1,Heading 1 + 22 pt Before:  0 pt After:  48 pt,1" </w:instrText>
      </w:r>
      <w:r w:rsidRPr="748F35FD">
        <w:rPr>
          <w:b w:val="0"/>
        </w:rPr>
        <w:fldChar w:fldCharType="separate"/>
      </w:r>
      <w:hyperlink w:anchor="_Toc38990430" w:history="1">
        <w:r w:rsidR="00873D87" w:rsidRPr="00153974">
          <w:rPr>
            <w:rStyle w:val="Hyperlink"/>
          </w:rPr>
          <w:t>Executive summary</w:t>
        </w:r>
        <w:r w:rsidR="00873D87">
          <w:rPr>
            <w:webHidden/>
          </w:rPr>
          <w:tab/>
        </w:r>
        <w:r w:rsidR="00873D87">
          <w:rPr>
            <w:webHidden/>
          </w:rPr>
          <w:fldChar w:fldCharType="begin"/>
        </w:r>
        <w:r w:rsidR="00873D87">
          <w:rPr>
            <w:webHidden/>
          </w:rPr>
          <w:instrText xml:space="preserve"> PAGEREF _Toc38990430 \h </w:instrText>
        </w:r>
        <w:r w:rsidR="00873D87">
          <w:rPr>
            <w:webHidden/>
          </w:rPr>
        </w:r>
        <w:r w:rsidR="00873D87">
          <w:rPr>
            <w:webHidden/>
          </w:rPr>
          <w:fldChar w:fldCharType="separate"/>
        </w:r>
        <w:r w:rsidR="00B177F5">
          <w:rPr>
            <w:webHidden/>
          </w:rPr>
          <w:t>i</w:t>
        </w:r>
        <w:r w:rsidR="00873D87">
          <w:rPr>
            <w:webHidden/>
          </w:rPr>
          <w:fldChar w:fldCharType="end"/>
        </w:r>
      </w:hyperlink>
    </w:p>
    <w:p w14:paraId="10523109" w14:textId="60110168" w:rsidR="00873D87" w:rsidRDefault="00C761B1">
      <w:pPr>
        <w:pStyle w:val="TOC1"/>
        <w:rPr>
          <w:rFonts w:asciiTheme="minorHAnsi" w:eastAsiaTheme="minorEastAsia" w:hAnsiTheme="minorHAnsi" w:cstheme="minorBidi"/>
          <w:b w:val="0"/>
          <w:color w:val="auto"/>
          <w:sz w:val="22"/>
          <w:szCs w:val="22"/>
          <w:lang w:val="en-US" w:eastAsia="en-US"/>
        </w:rPr>
      </w:pPr>
      <w:hyperlink w:anchor="_Toc38990431" w:history="1">
        <w:r w:rsidR="00873D87" w:rsidRPr="00153974">
          <w:rPr>
            <w:rStyle w:val="Hyperlink"/>
          </w:rPr>
          <w:t>Contributors to the Program</w:t>
        </w:r>
        <w:r w:rsidR="00873D87">
          <w:rPr>
            <w:webHidden/>
          </w:rPr>
          <w:tab/>
        </w:r>
        <w:r w:rsidR="00873D87">
          <w:rPr>
            <w:webHidden/>
          </w:rPr>
          <w:fldChar w:fldCharType="begin"/>
        </w:r>
        <w:r w:rsidR="00873D87">
          <w:rPr>
            <w:webHidden/>
          </w:rPr>
          <w:instrText xml:space="preserve"> PAGEREF _Toc38990431 \h </w:instrText>
        </w:r>
        <w:r w:rsidR="00873D87">
          <w:rPr>
            <w:webHidden/>
          </w:rPr>
        </w:r>
        <w:r w:rsidR="00873D87">
          <w:rPr>
            <w:webHidden/>
          </w:rPr>
          <w:fldChar w:fldCharType="separate"/>
        </w:r>
        <w:r w:rsidR="00B177F5">
          <w:rPr>
            <w:webHidden/>
          </w:rPr>
          <w:t>ix</w:t>
        </w:r>
        <w:r w:rsidR="00873D87">
          <w:rPr>
            <w:webHidden/>
          </w:rPr>
          <w:fldChar w:fldCharType="end"/>
        </w:r>
      </w:hyperlink>
    </w:p>
    <w:p w14:paraId="3C2FE210" w14:textId="69A1C38F" w:rsidR="00873D87" w:rsidRDefault="00C761B1">
      <w:pPr>
        <w:pStyle w:val="TOC1"/>
        <w:rPr>
          <w:rFonts w:asciiTheme="minorHAnsi" w:eastAsiaTheme="minorEastAsia" w:hAnsiTheme="minorHAnsi" w:cstheme="minorBidi"/>
          <w:b w:val="0"/>
          <w:color w:val="auto"/>
          <w:sz w:val="22"/>
          <w:szCs w:val="22"/>
          <w:lang w:val="en-US" w:eastAsia="en-US"/>
        </w:rPr>
      </w:pPr>
      <w:hyperlink w:anchor="_Toc38990432" w:history="1">
        <w:r w:rsidR="00873D87" w:rsidRPr="00153974">
          <w:rPr>
            <w:rStyle w:val="Hyperlink"/>
          </w:rPr>
          <w:t>Acknowledgements</w:t>
        </w:r>
        <w:r w:rsidR="00873D87">
          <w:rPr>
            <w:webHidden/>
          </w:rPr>
          <w:tab/>
        </w:r>
        <w:r w:rsidR="00873D87">
          <w:rPr>
            <w:webHidden/>
          </w:rPr>
          <w:fldChar w:fldCharType="begin"/>
        </w:r>
        <w:r w:rsidR="00873D87">
          <w:rPr>
            <w:webHidden/>
          </w:rPr>
          <w:instrText xml:space="preserve"> PAGEREF _Toc38990432 \h </w:instrText>
        </w:r>
        <w:r w:rsidR="00873D87">
          <w:rPr>
            <w:webHidden/>
          </w:rPr>
        </w:r>
        <w:r w:rsidR="00873D87">
          <w:rPr>
            <w:webHidden/>
          </w:rPr>
          <w:fldChar w:fldCharType="separate"/>
        </w:r>
        <w:r w:rsidR="00B177F5">
          <w:rPr>
            <w:webHidden/>
          </w:rPr>
          <w:t>x</w:t>
        </w:r>
        <w:r w:rsidR="00873D87">
          <w:rPr>
            <w:webHidden/>
          </w:rPr>
          <w:fldChar w:fldCharType="end"/>
        </w:r>
      </w:hyperlink>
    </w:p>
    <w:p w14:paraId="140057B5" w14:textId="6821D18B" w:rsidR="00873D87" w:rsidRDefault="00C761B1">
      <w:pPr>
        <w:pStyle w:val="TOC1"/>
        <w:rPr>
          <w:rFonts w:asciiTheme="minorHAnsi" w:eastAsiaTheme="minorEastAsia" w:hAnsiTheme="minorHAnsi" w:cstheme="minorBidi"/>
          <w:b w:val="0"/>
          <w:color w:val="auto"/>
          <w:sz w:val="22"/>
          <w:szCs w:val="22"/>
          <w:lang w:val="en-US" w:eastAsia="en-US"/>
        </w:rPr>
      </w:pPr>
      <w:hyperlink w:anchor="_Toc38990433" w:history="1">
        <w:r w:rsidR="00873D87" w:rsidRPr="00153974">
          <w:rPr>
            <w:rStyle w:val="Hyperlink"/>
          </w:rPr>
          <w:t>Abbreviations and acronyms</w:t>
        </w:r>
        <w:r w:rsidR="00873D87">
          <w:rPr>
            <w:webHidden/>
          </w:rPr>
          <w:tab/>
        </w:r>
        <w:r w:rsidR="00873D87">
          <w:rPr>
            <w:webHidden/>
          </w:rPr>
          <w:fldChar w:fldCharType="begin"/>
        </w:r>
        <w:r w:rsidR="00873D87">
          <w:rPr>
            <w:webHidden/>
          </w:rPr>
          <w:instrText xml:space="preserve"> PAGEREF _Toc38990433 \h </w:instrText>
        </w:r>
        <w:r w:rsidR="00873D87">
          <w:rPr>
            <w:webHidden/>
          </w:rPr>
        </w:r>
        <w:r w:rsidR="00873D87">
          <w:rPr>
            <w:webHidden/>
          </w:rPr>
          <w:fldChar w:fldCharType="separate"/>
        </w:r>
        <w:r w:rsidR="00B177F5">
          <w:rPr>
            <w:webHidden/>
          </w:rPr>
          <w:t>xi</w:t>
        </w:r>
        <w:r w:rsidR="00873D87">
          <w:rPr>
            <w:webHidden/>
          </w:rPr>
          <w:fldChar w:fldCharType="end"/>
        </w:r>
      </w:hyperlink>
    </w:p>
    <w:p w14:paraId="6C3170B3" w14:textId="217C6777" w:rsidR="00873D87" w:rsidRDefault="00C761B1">
      <w:pPr>
        <w:pStyle w:val="TOC2"/>
        <w:rPr>
          <w:rFonts w:asciiTheme="minorHAnsi" w:eastAsiaTheme="minorEastAsia" w:hAnsiTheme="minorHAnsi" w:cstheme="minorBidi"/>
          <w:b w:val="0"/>
          <w:sz w:val="22"/>
          <w:szCs w:val="22"/>
          <w:lang w:val="en-US" w:eastAsia="en-US"/>
        </w:rPr>
      </w:pPr>
      <w:hyperlink w:anchor="_Toc38990434" w:history="1">
        <w:r w:rsidR="00873D87" w:rsidRPr="00153974">
          <w:rPr>
            <w:rStyle w:val="Hyperlink"/>
          </w:rPr>
          <w:t>The Geological and Bioregional Assessment Program</w:t>
        </w:r>
        <w:r w:rsidR="00873D87">
          <w:rPr>
            <w:webHidden/>
          </w:rPr>
          <w:tab/>
        </w:r>
        <w:r w:rsidR="00873D87">
          <w:rPr>
            <w:webHidden/>
          </w:rPr>
          <w:fldChar w:fldCharType="begin"/>
        </w:r>
        <w:r w:rsidR="00873D87">
          <w:rPr>
            <w:webHidden/>
          </w:rPr>
          <w:instrText xml:space="preserve"> PAGEREF _Toc38990434 \h </w:instrText>
        </w:r>
        <w:r w:rsidR="00873D87">
          <w:rPr>
            <w:webHidden/>
          </w:rPr>
        </w:r>
        <w:r w:rsidR="00873D87">
          <w:rPr>
            <w:webHidden/>
          </w:rPr>
          <w:fldChar w:fldCharType="separate"/>
        </w:r>
        <w:r w:rsidR="00B177F5">
          <w:rPr>
            <w:webHidden/>
          </w:rPr>
          <w:t>xii</w:t>
        </w:r>
        <w:r w:rsidR="00873D87">
          <w:rPr>
            <w:webHidden/>
          </w:rPr>
          <w:fldChar w:fldCharType="end"/>
        </w:r>
      </w:hyperlink>
    </w:p>
    <w:p w14:paraId="3FBD7AD7" w14:textId="7B3820A0" w:rsidR="00873D87" w:rsidRDefault="00C761B1">
      <w:pPr>
        <w:pStyle w:val="TOC2"/>
        <w:rPr>
          <w:rFonts w:asciiTheme="minorHAnsi" w:eastAsiaTheme="minorEastAsia" w:hAnsiTheme="minorHAnsi" w:cstheme="minorBidi"/>
          <w:b w:val="0"/>
          <w:sz w:val="22"/>
          <w:szCs w:val="22"/>
          <w:lang w:val="en-US" w:eastAsia="en-US"/>
        </w:rPr>
      </w:pPr>
      <w:hyperlink w:anchor="_Toc38990435" w:history="1">
        <w:r w:rsidR="00873D87" w:rsidRPr="00153974">
          <w:rPr>
            <w:rStyle w:val="Hyperlink"/>
          </w:rPr>
          <w:t>1</w:t>
        </w:r>
        <w:r w:rsidR="00873D87">
          <w:rPr>
            <w:rFonts w:asciiTheme="minorHAnsi" w:eastAsiaTheme="minorEastAsia" w:hAnsiTheme="minorHAnsi" w:cstheme="minorBidi"/>
            <w:b w:val="0"/>
            <w:sz w:val="22"/>
            <w:szCs w:val="22"/>
            <w:lang w:val="en-US" w:eastAsia="en-US"/>
          </w:rPr>
          <w:tab/>
        </w:r>
        <w:r w:rsidR="00873D87" w:rsidRPr="00153974">
          <w:rPr>
            <w:rStyle w:val="Hyperlink"/>
          </w:rPr>
          <w:t>Introduction</w:t>
        </w:r>
        <w:r w:rsidR="00873D87">
          <w:rPr>
            <w:webHidden/>
          </w:rPr>
          <w:tab/>
        </w:r>
        <w:r w:rsidR="00873D87">
          <w:rPr>
            <w:webHidden/>
          </w:rPr>
          <w:fldChar w:fldCharType="begin"/>
        </w:r>
        <w:r w:rsidR="00873D87">
          <w:rPr>
            <w:webHidden/>
          </w:rPr>
          <w:instrText xml:space="preserve"> PAGEREF _Toc38990435 \h </w:instrText>
        </w:r>
        <w:r w:rsidR="00873D87">
          <w:rPr>
            <w:webHidden/>
          </w:rPr>
        </w:r>
        <w:r w:rsidR="00873D87">
          <w:rPr>
            <w:webHidden/>
          </w:rPr>
          <w:fldChar w:fldCharType="separate"/>
        </w:r>
        <w:r w:rsidR="00B177F5">
          <w:rPr>
            <w:webHidden/>
          </w:rPr>
          <w:t>1</w:t>
        </w:r>
        <w:r w:rsidR="00873D87">
          <w:rPr>
            <w:webHidden/>
          </w:rPr>
          <w:fldChar w:fldCharType="end"/>
        </w:r>
      </w:hyperlink>
    </w:p>
    <w:p w14:paraId="631E4EAA" w14:textId="049D0B86" w:rsidR="00873D87" w:rsidRDefault="00C761B1">
      <w:pPr>
        <w:pStyle w:val="TOC3"/>
        <w:rPr>
          <w:rFonts w:asciiTheme="minorHAnsi" w:eastAsiaTheme="minorEastAsia" w:hAnsiTheme="minorHAnsi" w:cstheme="minorBidi"/>
          <w:sz w:val="22"/>
          <w:szCs w:val="22"/>
          <w:lang w:val="en-US" w:eastAsia="en-US"/>
        </w:rPr>
      </w:pPr>
      <w:hyperlink w:anchor="_Toc38990436" w:history="1">
        <w:r w:rsidR="00873D87" w:rsidRPr="00153974">
          <w:rPr>
            <w:rStyle w:val="Hyperlink"/>
          </w:rPr>
          <w:t>1.1</w:t>
        </w:r>
        <w:r w:rsidR="00873D87">
          <w:rPr>
            <w:rFonts w:asciiTheme="minorHAnsi" w:eastAsiaTheme="minorEastAsia" w:hAnsiTheme="minorHAnsi" w:cstheme="minorBidi"/>
            <w:sz w:val="22"/>
            <w:szCs w:val="22"/>
            <w:lang w:val="en-US" w:eastAsia="en-US"/>
          </w:rPr>
          <w:tab/>
        </w:r>
        <w:r w:rsidR="00873D87" w:rsidRPr="00153974">
          <w:rPr>
            <w:rStyle w:val="Hyperlink"/>
          </w:rPr>
          <w:t>Beetaloo GBA region</w:t>
        </w:r>
        <w:r w:rsidR="00873D87">
          <w:rPr>
            <w:webHidden/>
          </w:rPr>
          <w:tab/>
        </w:r>
        <w:r w:rsidR="00873D87">
          <w:rPr>
            <w:webHidden/>
          </w:rPr>
          <w:fldChar w:fldCharType="begin"/>
        </w:r>
        <w:r w:rsidR="00873D87">
          <w:rPr>
            <w:webHidden/>
          </w:rPr>
          <w:instrText xml:space="preserve"> PAGEREF _Toc38990436 \h </w:instrText>
        </w:r>
        <w:r w:rsidR="00873D87">
          <w:rPr>
            <w:webHidden/>
          </w:rPr>
        </w:r>
        <w:r w:rsidR="00873D87">
          <w:rPr>
            <w:webHidden/>
          </w:rPr>
          <w:fldChar w:fldCharType="separate"/>
        </w:r>
        <w:r w:rsidR="00B177F5">
          <w:rPr>
            <w:webHidden/>
          </w:rPr>
          <w:t>1</w:t>
        </w:r>
        <w:r w:rsidR="00873D87">
          <w:rPr>
            <w:webHidden/>
          </w:rPr>
          <w:fldChar w:fldCharType="end"/>
        </w:r>
      </w:hyperlink>
    </w:p>
    <w:p w14:paraId="1CBCB151" w14:textId="18A80040" w:rsidR="00873D87" w:rsidRDefault="00C761B1">
      <w:pPr>
        <w:pStyle w:val="TOC2"/>
        <w:rPr>
          <w:rFonts w:asciiTheme="minorHAnsi" w:eastAsiaTheme="minorEastAsia" w:hAnsiTheme="minorHAnsi" w:cstheme="minorBidi"/>
          <w:b w:val="0"/>
          <w:sz w:val="22"/>
          <w:szCs w:val="22"/>
          <w:lang w:val="en-US" w:eastAsia="en-US"/>
        </w:rPr>
      </w:pPr>
      <w:hyperlink w:anchor="_Toc38990437" w:history="1">
        <w:r w:rsidR="00873D87" w:rsidRPr="00153974">
          <w:rPr>
            <w:rStyle w:val="Hyperlink"/>
          </w:rPr>
          <w:t>2</w:t>
        </w:r>
        <w:r w:rsidR="00873D87">
          <w:rPr>
            <w:rFonts w:asciiTheme="minorHAnsi" w:eastAsiaTheme="minorEastAsia" w:hAnsiTheme="minorHAnsi" w:cstheme="minorBidi"/>
            <w:b w:val="0"/>
            <w:sz w:val="22"/>
            <w:szCs w:val="22"/>
            <w:lang w:val="en-US" w:eastAsia="en-US"/>
          </w:rPr>
          <w:tab/>
        </w:r>
        <w:r w:rsidR="00873D87" w:rsidRPr="00153974">
          <w:rPr>
            <w:rStyle w:val="Hyperlink"/>
          </w:rPr>
          <w:t>Groundwater data inventory</w:t>
        </w:r>
        <w:r w:rsidR="00873D87">
          <w:rPr>
            <w:webHidden/>
          </w:rPr>
          <w:tab/>
        </w:r>
        <w:r w:rsidR="00873D87">
          <w:rPr>
            <w:webHidden/>
          </w:rPr>
          <w:fldChar w:fldCharType="begin"/>
        </w:r>
        <w:r w:rsidR="00873D87">
          <w:rPr>
            <w:webHidden/>
          </w:rPr>
          <w:instrText xml:space="preserve"> PAGEREF _Toc38990437 \h </w:instrText>
        </w:r>
        <w:r w:rsidR="00873D87">
          <w:rPr>
            <w:webHidden/>
          </w:rPr>
        </w:r>
        <w:r w:rsidR="00873D87">
          <w:rPr>
            <w:webHidden/>
          </w:rPr>
          <w:fldChar w:fldCharType="separate"/>
        </w:r>
        <w:r w:rsidR="00B177F5">
          <w:rPr>
            <w:webHidden/>
          </w:rPr>
          <w:t>5</w:t>
        </w:r>
        <w:r w:rsidR="00873D87">
          <w:rPr>
            <w:webHidden/>
          </w:rPr>
          <w:fldChar w:fldCharType="end"/>
        </w:r>
      </w:hyperlink>
    </w:p>
    <w:p w14:paraId="0DEB36F0" w14:textId="262B277A" w:rsidR="00873D87" w:rsidRDefault="00C761B1">
      <w:pPr>
        <w:pStyle w:val="TOC3"/>
        <w:rPr>
          <w:rFonts w:asciiTheme="minorHAnsi" w:eastAsiaTheme="minorEastAsia" w:hAnsiTheme="minorHAnsi" w:cstheme="minorBidi"/>
          <w:sz w:val="22"/>
          <w:szCs w:val="22"/>
          <w:lang w:val="en-US" w:eastAsia="en-US"/>
        </w:rPr>
      </w:pPr>
      <w:hyperlink w:anchor="_Toc38990438" w:history="1">
        <w:r w:rsidR="00873D87" w:rsidRPr="00153974">
          <w:rPr>
            <w:rStyle w:val="Hyperlink"/>
          </w:rPr>
          <w:t>2.1</w:t>
        </w:r>
        <w:r w:rsidR="00873D87">
          <w:rPr>
            <w:rFonts w:asciiTheme="minorHAnsi" w:eastAsiaTheme="minorEastAsia" w:hAnsiTheme="minorHAnsi" w:cstheme="minorBidi"/>
            <w:sz w:val="22"/>
            <w:szCs w:val="22"/>
            <w:lang w:val="en-US" w:eastAsia="en-US"/>
          </w:rPr>
          <w:tab/>
        </w:r>
        <w:r w:rsidR="00873D87" w:rsidRPr="00153974">
          <w:rPr>
            <w:rStyle w:val="Hyperlink"/>
          </w:rPr>
          <w:t>Source datasets</w:t>
        </w:r>
        <w:r w:rsidR="00873D87">
          <w:rPr>
            <w:webHidden/>
          </w:rPr>
          <w:tab/>
        </w:r>
        <w:r w:rsidR="00873D87">
          <w:rPr>
            <w:webHidden/>
          </w:rPr>
          <w:fldChar w:fldCharType="begin"/>
        </w:r>
        <w:r w:rsidR="00873D87">
          <w:rPr>
            <w:webHidden/>
          </w:rPr>
          <w:instrText xml:space="preserve"> PAGEREF _Toc38990438 \h </w:instrText>
        </w:r>
        <w:r w:rsidR="00873D87">
          <w:rPr>
            <w:webHidden/>
          </w:rPr>
        </w:r>
        <w:r w:rsidR="00873D87">
          <w:rPr>
            <w:webHidden/>
          </w:rPr>
          <w:fldChar w:fldCharType="separate"/>
        </w:r>
        <w:r w:rsidR="00B177F5">
          <w:rPr>
            <w:webHidden/>
          </w:rPr>
          <w:t>5</w:t>
        </w:r>
        <w:r w:rsidR="00873D87">
          <w:rPr>
            <w:webHidden/>
          </w:rPr>
          <w:fldChar w:fldCharType="end"/>
        </w:r>
      </w:hyperlink>
    </w:p>
    <w:p w14:paraId="13A745BE" w14:textId="7C949211" w:rsidR="00873D87" w:rsidRDefault="00C761B1">
      <w:pPr>
        <w:pStyle w:val="TOC3"/>
        <w:rPr>
          <w:rFonts w:asciiTheme="minorHAnsi" w:eastAsiaTheme="minorEastAsia" w:hAnsiTheme="minorHAnsi" w:cstheme="minorBidi"/>
          <w:sz w:val="22"/>
          <w:szCs w:val="22"/>
          <w:lang w:val="en-US" w:eastAsia="en-US"/>
        </w:rPr>
      </w:pPr>
      <w:hyperlink w:anchor="_Toc38990439" w:history="1">
        <w:r w:rsidR="00873D87" w:rsidRPr="00153974">
          <w:rPr>
            <w:rStyle w:val="Hyperlink"/>
          </w:rPr>
          <w:t>2.2</w:t>
        </w:r>
        <w:r w:rsidR="00873D87">
          <w:rPr>
            <w:rFonts w:asciiTheme="minorHAnsi" w:eastAsiaTheme="minorEastAsia" w:hAnsiTheme="minorHAnsi" w:cstheme="minorBidi"/>
            <w:sz w:val="22"/>
            <w:szCs w:val="22"/>
            <w:lang w:val="en-US" w:eastAsia="en-US"/>
          </w:rPr>
          <w:tab/>
        </w:r>
        <w:r w:rsidR="00873D87" w:rsidRPr="00153974">
          <w:rPr>
            <w:rStyle w:val="Hyperlink"/>
          </w:rPr>
          <w:t>Key derived datasets</w:t>
        </w:r>
        <w:r w:rsidR="00873D87">
          <w:rPr>
            <w:webHidden/>
          </w:rPr>
          <w:tab/>
        </w:r>
        <w:r w:rsidR="00873D87">
          <w:rPr>
            <w:webHidden/>
          </w:rPr>
          <w:fldChar w:fldCharType="begin"/>
        </w:r>
        <w:r w:rsidR="00873D87">
          <w:rPr>
            <w:webHidden/>
          </w:rPr>
          <w:instrText xml:space="preserve"> PAGEREF _Toc38990439 \h </w:instrText>
        </w:r>
        <w:r w:rsidR="00873D87">
          <w:rPr>
            <w:webHidden/>
          </w:rPr>
        </w:r>
        <w:r w:rsidR="00873D87">
          <w:rPr>
            <w:webHidden/>
          </w:rPr>
          <w:fldChar w:fldCharType="separate"/>
        </w:r>
        <w:r w:rsidR="00B177F5">
          <w:rPr>
            <w:webHidden/>
          </w:rPr>
          <w:t>7</w:t>
        </w:r>
        <w:r w:rsidR="00873D87">
          <w:rPr>
            <w:webHidden/>
          </w:rPr>
          <w:fldChar w:fldCharType="end"/>
        </w:r>
      </w:hyperlink>
    </w:p>
    <w:p w14:paraId="132B587A" w14:textId="2DDCEED8" w:rsidR="00873D87" w:rsidRDefault="00C761B1">
      <w:pPr>
        <w:pStyle w:val="TOC2"/>
        <w:rPr>
          <w:rFonts w:asciiTheme="minorHAnsi" w:eastAsiaTheme="minorEastAsia" w:hAnsiTheme="minorHAnsi" w:cstheme="minorBidi"/>
          <w:b w:val="0"/>
          <w:sz w:val="22"/>
          <w:szCs w:val="22"/>
          <w:lang w:val="en-US" w:eastAsia="en-US"/>
        </w:rPr>
      </w:pPr>
      <w:hyperlink w:anchor="_Toc38990440" w:history="1">
        <w:r w:rsidR="00873D87" w:rsidRPr="00153974">
          <w:rPr>
            <w:rStyle w:val="Hyperlink"/>
          </w:rPr>
          <w:t>3</w:t>
        </w:r>
        <w:r w:rsidR="00873D87">
          <w:rPr>
            <w:rFonts w:asciiTheme="minorHAnsi" w:eastAsiaTheme="minorEastAsia" w:hAnsiTheme="minorHAnsi" w:cstheme="minorBidi"/>
            <w:b w:val="0"/>
            <w:sz w:val="22"/>
            <w:szCs w:val="22"/>
            <w:lang w:val="en-US" w:eastAsia="en-US"/>
          </w:rPr>
          <w:tab/>
        </w:r>
        <w:r w:rsidR="00873D87" w:rsidRPr="00153974">
          <w:rPr>
            <w:rStyle w:val="Hyperlink"/>
          </w:rPr>
          <w:t>Groundwater system conceptualisation</w:t>
        </w:r>
        <w:r w:rsidR="00873D87">
          <w:rPr>
            <w:webHidden/>
          </w:rPr>
          <w:tab/>
        </w:r>
        <w:r w:rsidR="00873D87">
          <w:rPr>
            <w:webHidden/>
          </w:rPr>
          <w:fldChar w:fldCharType="begin"/>
        </w:r>
        <w:r w:rsidR="00873D87">
          <w:rPr>
            <w:webHidden/>
          </w:rPr>
          <w:instrText xml:space="preserve"> PAGEREF _Toc38990440 \h </w:instrText>
        </w:r>
        <w:r w:rsidR="00873D87">
          <w:rPr>
            <w:webHidden/>
          </w:rPr>
        </w:r>
        <w:r w:rsidR="00873D87">
          <w:rPr>
            <w:webHidden/>
          </w:rPr>
          <w:fldChar w:fldCharType="separate"/>
        </w:r>
        <w:r w:rsidR="00B177F5">
          <w:rPr>
            <w:webHidden/>
          </w:rPr>
          <w:t>13</w:t>
        </w:r>
        <w:r w:rsidR="00873D87">
          <w:rPr>
            <w:webHidden/>
          </w:rPr>
          <w:fldChar w:fldCharType="end"/>
        </w:r>
      </w:hyperlink>
    </w:p>
    <w:p w14:paraId="00EDFA9E" w14:textId="603C874B" w:rsidR="00873D87" w:rsidRDefault="00C761B1">
      <w:pPr>
        <w:pStyle w:val="TOC3"/>
        <w:rPr>
          <w:rFonts w:asciiTheme="minorHAnsi" w:eastAsiaTheme="minorEastAsia" w:hAnsiTheme="minorHAnsi" w:cstheme="minorBidi"/>
          <w:sz w:val="22"/>
          <w:szCs w:val="22"/>
          <w:lang w:val="en-US" w:eastAsia="en-US"/>
        </w:rPr>
      </w:pPr>
      <w:hyperlink w:anchor="_Toc38990441" w:history="1">
        <w:r w:rsidR="00873D87" w:rsidRPr="00153974">
          <w:rPr>
            <w:rStyle w:val="Hyperlink"/>
          </w:rPr>
          <w:t>3.1</w:t>
        </w:r>
        <w:r w:rsidR="00873D87">
          <w:rPr>
            <w:rFonts w:asciiTheme="minorHAnsi" w:eastAsiaTheme="minorEastAsia" w:hAnsiTheme="minorHAnsi" w:cstheme="minorBidi"/>
            <w:sz w:val="22"/>
            <w:szCs w:val="22"/>
            <w:lang w:val="en-US" w:eastAsia="en-US"/>
          </w:rPr>
          <w:tab/>
        </w:r>
        <w:r w:rsidR="00873D87" w:rsidRPr="00153974">
          <w:rPr>
            <w:rStyle w:val="Hyperlink"/>
          </w:rPr>
          <w:t>Section summary</w:t>
        </w:r>
        <w:r w:rsidR="00873D87">
          <w:rPr>
            <w:webHidden/>
          </w:rPr>
          <w:tab/>
        </w:r>
        <w:r w:rsidR="00873D87">
          <w:rPr>
            <w:webHidden/>
          </w:rPr>
          <w:fldChar w:fldCharType="begin"/>
        </w:r>
        <w:r w:rsidR="00873D87">
          <w:rPr>
            <w:webHidden/>
          </w:rPr>
          <w:instrText xml:space="preserve"> PAGEREF _Toc38990441 \h </w:instrText>
        </w:r>
        <w:r w:rsidR="00873D87">
          <w:rPr>
            <w:webHidden/>
          </w:rPr>
        </w:r>
        <w:r w:rsidR="00873D87">
          <w:rPr>
            <w:webHidden/>
          </w:rPr>
          <w:fldChar w:fldCharType="separate"/>
        </w:r>
        <w:r w:rsidR="00B177F5">
          <w:rPr>
            <w:webHidden/>
          </w:rPr>
          <w:t>13</w:t>
        </w:r>
        <w:r w:rsidR="00873D87">
          <w:rPr>
            <w:webHidden/>
          </w:rPr>
          <w:fldChar w:fldCharType="end"/>
        </w:r>
      </w:hyperlink>
    </w:p>
    <w:p w14:paraId="44B43F03" w14:textId="00B8BD28" w:rsidR="00873D87" w:rsidRDefault="00C761B1">
      <w:pPr>
        <w:pStyle w:val="TOC3"/>
        <w:rPr>
          <w:rFonts w:asciiTheme="minorHAnsi" w:eastAsiaTheme="minorEastAsia" w:hAnsiTheme="minorHAnsi" w:cstheme="minorBidi"/>
          <w:sz w:val="22"/>
          <w:szCs w:val="22"/>
          <w:lang w:val="en-US" w:eastAsia="en-US"/>
        </w:rPr>
      </w:pPr>
      <w:hyperlink w:anchor="_Toc38990442" w:history="1">
        <w:r w:rsidR="00873D87" w:rsidRPr="00153974">
          <w:rPr>
            <w:rStyle w:val="Hyperlink"/>
          </w:rPr>
          <w:t>3.2</w:t>
        </w:r>
        <w:r w:rsidR="00873D87">
          <w:rPr>
            <w:rFonts w:asciiTheme="minorHAnsi" w:eastAsiaTheme="minorEastAsia" w:hAnsiTheme="minorHAnsi" w:cstheme="minorBidi"/>
            <w:sz w:val="22"/>
            <w:szCs w:val="22"/>
            <w:lang w:val="en-US" w:eastAsia="en-US"/>
          </w:rPr>
          <w:tab/>
        </w:r>
        <w:r w:rsidR="00873D87" w:rsidRPr="00153974">
          <w:rPr>
            <w:rStyle w:val="Hyperlink"/>
          </w:rPr>
          <w:t>Hydrostratigraphic framework</w:t>
        </w:r>
        <w:r w:rsidR="00873D87">
          <w:rPr>
            <w:webHidden/>
          </w:rPr>
          <w:tab/>
        </w:r>
        <w:r w:rsidR="00873D87">
          <w:rPr>
            <w:webHidden/>
          </w:rPr>
          <w:fldChar w:fldCharType="begin"/>
        </w:r>
        <w:r w:rsidR="00873D87">
          <w:rPr>
            <w:webHidden/>
          </w:rPr>
          <w:instrText xml:space="preserve"> PAGEREF _Toc38990442 \h </w:instrText>
        </w:r>
        <w:r w:rsidR="00873D87">
          <w:rPr>
            <w:webHidden/>
          </w:rPr>
        </w:r>
        <w:r w:rsidR="00873D87">
          <w:rPr>
            <w:webHidden/>
          </w:rPr>
          <w:fldChar w:fldCharType="separate"/>
        </w:r>
        <w:r w:rsidR="00B177F5">
          <w:rPr>
            <w:webHidden/>
          </w:rPr>
          <w:t>16</w:t>
        </w:r>
        <w:r w:rsidR="00873D87">
          <w:rPr>
            <w:webHidden/>
          </w:rPr>
          <w:fldChar w:fldCharType="end"/>
        </w:r>
      </w:hyperlink>
    </w:p>
    <w:p w14:paraId="51E23819" w14:textId="2EA84F99" w:rsidR="00873D87" w:rsidRDefault="00C761B1">
      <w:pPr>
        <w:pStyle w:val="TOC3"/>
        <w:rPr>
          <w:rFonts w:asciiTheme="minorHAnsi" w:eastAsiaTheme="minorEastAsia" w:hAnsiTheme="minorHAnsi" w:cstheme="minorBidi"/>
          <w:sz w:val="22"/>
          <w:szCs w:val="22"/>
          <w:lang w:val="en-US" w:eastAsia="en-US"/>
        </w:rPr>
      </w:pPr>
      <w:hyperlink w:anchor="_Toc38990443" w:history="1">
        <w:r w:rsidR="00873D87" w:rsidRPr="00153974">
          <w:rPr>
            <w:rStyle w:val="Hyperlink"/>
          </w:rPr>
          <w:t>3.3</w:t>
        </w:r>
        <w:r w:rsidR="00873D87">
          <w:rPr>
            <w:rFonts w:asciiTheme="minorHAnsi" w:eastAsiaTheme="minorEastAsia" w:hAnsiTheme="minorHAnsi" w:cstheme="minorBidi"/>
            <w:sz w:val="22"/>
            <w:szCs w:val="22"/>
            <w:lang w:val="en-US" w:eastAsia="en-US"/>
          </w:rPr>
          <w:tab/>
        </w:r>
        <w:r w:rsidR="00873D87" w:rsidRPr="00153974">
          <w:rPr>
            <w:rStyle w:val="Hyperlink"/>
          </w:rPr>
          <w:t>Hydrodynamics</w:t>
        </w:r>
        <w:r w:rsidR="00873D87">
          <w:rPr>
            <w:webHidden/>
          </w:rPr>
          <w:tab/>
        </w:r>
        <w:r w:rsidR="00873D87">
          <w:rPr>
            <w:webHidden/>
          </w:rPr>
          <w:fldChar w:fldCharType="begin"/>
        </w:r>
        <w:r w:rsidR="00873D87">
          <w:rPr>
            <w:webHidden/>
          </w:rPr>
          <w:instrText xml:space="preserve"> PAGEREF _Toc38990443 \h </w:instrText>
        </w:r>
        <w:r w:rsidR="00873D87">
          <w:rPr>
            <w:webHidden/>
          </w:rPr>
        </w:r>
        <w:r w:rsidR="00873D87">
          <w:rPr>
            <w:webHidden/>
          </w:rPr>
          <w:fldChar w:fldCharType="separate"/>
        </w:r>
        <w:r w:rsidR="00B177F5">
          <w:rPr>
            <w:webHidden/>
          </w:rPr>
          <w:t>34</w:t>
        </w:r>
        <w:r w:rsidR="00873D87">
          <w:rPr>
            <w:webHidden/>
          </w:rPr>
          <w:fldChar w:fldCharType="end"/>
        </w:r>
      </w:hyperlink>
    </w:p>
    <w:p w14:paraId="6E8EEC7F" w14:textId="1CC60B68" w:rsidR="00873D87" w:rsidRDefault="00C761B1">
      <w:pPr>
        <w:pStyle w:val="TOC3"/>
        <w:rPr>
          <w:rFonts w:asciiTheme="minorHAnsi" w:eastAsiaTheme="minorEastAsia" w:hAnsiTheme="minorHAnsi" w:cstheme="minorBidi"/>
          <w:sz w:val="22"/>
          <w:szCs w:val="22"/>
          <w:lang w:val="en-US" w:eastAsia="en-US"/>
        </w:rPr>
      </w:pPr>
      <w:hyperlink w:anchor="_Toc38990444" w:history="1">
        <w:r w:rsidR="00873D87" w:rsidRPr="00153974">
          <w:rPr>
            <w:rStyle w:val="Hyperlink"/>
          </w:rPr>
          <w:t>3.4</w:t>
        </w:r>
        <w:r w:rsidR="00873D87">
          <w:rPr>
            <w:rFonts w:asciiTheme="minorHAnsi" w:eastAsiaTheme="minorEastAsia" w:hAnsiTheme="minorHAnsi" w:cstheme="minorBidi"/>
            <w:sz w:val="22"/>
            <w:szCs w:val="22"/>
            <w:lang w:val="en-US" w:eastAsia="en-US"/>
          </w:rPr>
          <w:tab/>
        </w:r>
        <w:r w:rsidR="00873D87" w:rsidRPr="00153974">
          <w:rPr>
            <w:rStyle w:val="Hyperlink"/>
          </w:rPr>
          <w:t>Hydrochemistry</w:t>
        </w:r>
        <w:r w:rsidR="00873D87">
          <w:rPr>
            <w:webHidden/>
          </w:rPr>
          <w:tab/>
        </w:r>
        <w:r w:rsidR="00873D87">
          <w:rPr>
            <w:webHidden/>
          </w:rPr>
          <w:fldChar w:fldCharType="begin"/>
        </w:r>
        <w:r w:rsidR="00873D87">
          <w:rPr>
            <w:webHidden/>
          </w:rPr>
          <w:instrText xml:space="preserve"> PAGEREF _Toc38990444 \h </w:instrText>
        </w:r>
        <w:r w:rsidR="00873D87">
          <w:rPr>
            <w:webHidden/>
          </w:rPr>
        </w:r>
        <w:r w:rsidR="00873D87">
          <w:rPr>
            <w:webHidden/>
          </w:rPr>
          <w:fldChar w:fldCharType="separate"/>
        </w:r>
        <w:r w:rsidR="00B177F5">
          <w:rPr>
            <w:webHidden/>
          </w:rPr>
          <w:t>74</w:t>
        </w:r>
        <w:r w:rsidR="00873D87">
          <w:rPr>
            <w:webHidden/>
          </w:rPr>
          <w:fldChar w:fldCharType="end"/>
        </w:r>
      </w:hyperlink>
    </w:p>
    <w:p w14:paraId="7C13C708" w14:textId="2E2C2B79" w:rsidR="00873D87" w:rsidRDefault="00C761B1">
      <w:pPr>
        <w:pStyle w:val="TOC2"/>
        <w:rPr>
          <w:rFonts w:asciiTheme="minorHAnsi" w:eastAsiaTheme="minorEastAsia" w:hAnsiTheme="minorHAnsi" w:cstheme="minorBidi"/>
          <w:b w:val="0"/>
          <w:sz w:val="22"/>
          <w:szCs w:val="22"/>
          <w:lang w:val="en-US" w:eastAsia="en-US"/>
        </w:rPr>
      </w:pPr>
      <w:hyperlink w:anchor="_Toc38990445" w:history="1">
        <w:r w:rsidR="00873D87" w:rsidRPr="00153974">
          <w:rPr>
            <w:rStyle w:val="Hyperlink"/>
          </w:rPr>
          <w:t>4</w:t>
        </w:r>
        <w:r w:rsidR="00873D87">
          <w:rPr>
            <w:rFonts w:asciiTheme="minorHAnsi" w:eastAsiaTheme="minorEastAsia" w:hAnsiTheme="minorHAnsi" w:cstheme="minorBidi"/>
            <w:b w:val="0"/>
            <w:sz w:val="22"/>
            <w:szCs w:val="22"/>
            <w:lang w:val="en-US" w:eastAsia="en-US"/>
          </w:rPr>
          <w:tab/>
        </w:r>
        <w:r w:rsidR="00873D87" w:rsidRPr="00153974">
          <w:rPr>
            <w:rStyle w:val="Hyperlink"/>
          </w:rPr>
          <w:t>Potential hydrological connections</w:t>
        </w:r>
        <w:r w:rsidR="00873D87">
          <w:rPr>
            <w:webHidden/>
          </w:rPr>
          <w:tab/>
        </w:r>
        <w:r w:rsidR="00873D87">
          <w:rPr>
            <w:webHidden/>
          </w:rPr>
          <w:fldChar w:fldCharType="begin"/>
        </w:r>
        <w:r w:rsidR="00873D87">
          <w:rPr>
            <w:webHidden/>
          </w:rPr>
          <w:instrText xml:space="preserve"> PAGEREF _Toc38990445 \h </w:instrText>
        </w:r>
        <w:r w:rsidR="00873D87">
          <w:rPr>
            <w:webHidden/>
          </w:rPr>
        </w:r>
        <w:r w:rsidR="00873D87">
          <w:rPr>
            <w:webHidden/>
          </w:rPr>
          <w:fldChar w:fldCharType="separate"/>
        </w:r>
        <w:r w:rsidR="00B177F5">
          <w:rPr>
            <w:webHidden/>
          </w:rPr>
          <w:t>99</w:t>
        </w:r>
        <w:r w:rsidR="00873D87">
          <w:rPr>
            <w:webHidden/>
          </w:rPr>
          <w:fldChar w:fldCharType="end"/>
        </w:r>
      </w:hyperlink>
    </w:p>
    <w:p w14:paraId="1DC78AB3" w14:textId="7C27834D" w:rsidR="00873D87" w:rsidRDefault="00C761B1">
      <w:pPr>
        <w:pStyle w:val="TOC3"/>
        <w:rPr>
          <w:rFonts w:asciiTheme="minorHAnsi" w:eastAsiaTheme="minorEastAsia" w:hAnsiTheme="minorHAnsi" w:cstheme="minorBidi"/>
          <w:sz w:val="22"/>
          <w:szCs w:val="22"/>
          <w:lang w:val="en-US" w:eastAsia="en-US"/>
        </w:rPr>
      </w:pPr>
      <w:hyperlink w:anchor="_Toc38990446" w:history="1">
        <w:r w:rsidR="00873D87" w:rsidRPr="00153974">
          <w:rPr>
            <w:rStyle w:val="Hyperlink"/>
          </w:rPr>
          <w:t>4.1</w:t>
        </w:r>
        <w:r w:rsidR="00873D87">
          <w:rPr>
            <w:rFonts w:asciiTheme="minorHAnsi" w:eastAsiaTheme="minorEastAsia" w:hAnsiTheme="minorHAnsi" w:cstheme="minorBidi"/>
            <w:sz w:val="22"/>
            <w:szCs w:val="22"/>
            <w:lang w:val="en-US" w:eastAsia="en-US"/>
          </w:rPr>
          <w:tab/>
        </w:r>
        <w:r w:rsidR="00873D87" w:rsidRPr="00153974">
          <w:rPr>
            <w:rStyle w:val="Hyperlink"/>
          </w:rPr>
          <w:t>Potential connectivity pathways</w:t>
        </w:r>
        <w:r w:rsidR="00873D87">
          <w:rPr>
            <w:webHidden/>
          </w:rPr>
          <w:tab/>
        </w:r>
        <w:r w:rsidR="00873D87">
          <w:rPr>
            <w:webHidden/>
          </w:rPr>
          <w:fldChar w:fldCharType="begin"/>
        </w:r>
        <w:r w:rsidR="00873D87">
          <w:rPr>
            <w:webHidden/>
          </w:rPr>
          <w:instrText xml:space="preserve"> PAGEREF _Toc38990446 \h </w:instrText>
        </w:r>
        <w:r w:rsidR="00873D87">
          <w:rPr>
            <w:webHidden/>
          </w:rPr>
        </w:r>
        <w:r w:rsidR="00873D87">
          <w:rPr>
            <w:webHidden/>
          </w:rPr>
          <w:fldChar w:fldCharType="separate"/>
        </w:r>
        <w:r w:rsidR="00B177F5">
          <w:rPr>
            <w:webHidden/>
          </w:rPr>
          <w:t>103</w:t>
        </w:r>
        <w:r w:rsidR="00873D87">
          <w:rPr>
            <w:webHidden/>
          </w:rPr>
          <w:fldChar w:fldCharType="end"/>
        </w:r>
      </w:hyperlink>
    </w:p>
    <w:p w14:paraId="0B20B432" w14:textId="7A171A06" w:rsidR="00873D87" w:rsidRDefault="00C761B1">
      <w:pPr>
        <w:pStyle w:val="TOC3"/>
        <w:rPr>
          <w:rFonts w:asciiTheme="minorHAnsi" w:eastAsiaTheme="minorEastAsia" w:hAnsiTheme="minorHAnsi" w:cstheme="minorBidi"/>
          <w:sz w:val="22"/>
          <w:szCs w:val="22"/>
          <w:lang w:val="en-US" w:eastAsia="en-US"/>
        </w:rPr>
      </w:pPr>
      <w:hyperlink w:anchor="_Toc38990447" w:history="1">
        <w:r w:rsidR="00873D87" w:rsidRPr="00153974">
          <w:rPr>
            <w:rStyle w:val="Hyperlink"/>
          </w:rPr>
          <w:t>4.2</w:t>
        </w:r>
        <w:r w:rsidR="00873D87">
          <w:rPr>
            <w:rFonts w:asciiTheme="minorHAnsi" w:eastAsiaTheme="minorEastAsia" w:hAnsiTheme="minorHAnsi" w:cstheme="minorBidi"/>
            <w:sz w:val="22"/>
            <w:szCs w:val="22"/>
            <w:lang w:val="en-US" w:eastAsia="en-US"/>
          </w:rPr>
          <w:tab/>
        </w:r>
        <w:r w:rsidR="00873D87" w:rsidRPr="00153974">
          <w:rPr>
            <w:rStyle w:val="Hyperlink"/>
          </w:rPr>
          <w:t>Summary and future work</w:t>
        </w:r>
        <w:r w:rsidR="00873D87">
          <w:rPr>
            <w:webHidden/>
          </w:rPr>
          <w:tab/>
        </w:r>
        <w:r w:rsidR="00873D87">
          <w:rPr>
            <w:webHidden/>
          </w:rPr>
          <w:fldChar w:fldCharType="begin"/>
        </w:r>
        <w:r w:rsidR="00873D87">
          <w:rPr>
            <w:webHidden/>
          </w:rPr>
          <w:instrText xml:space="preserve"> PAGEREF _Toc38990447 \h </w:instrText>
        </w:r>
        <w:r w:rsidR="00873D87">
          <w:rPr>
            <w:webHidden/>
          </w:rPr>
        </w:r>
        <w:r w:rsidR="00873D87">
          <w:rPr>
            <w:webHidden/>
          </w:rPr>
          <w:fldChar w:fldCharType="separate"/>
        </w:r>
        <w:r w:rsidR="00B177F5">
          <w:rPr>
            <w:webHidden/>
          </w:rPr>
          <w:t>111</w:t>
        </w:r>
        <w:r w:rsidR="00873D87">
          <w:rPr>
            <w:webHidden/>
          </w:rPr>
          <w:fldChar w:fldCharType="end"/>
        </w:r>
      </w:hyperlink>
    </w:p>
    <w:p w14:paraId="00AD9A5D" w14:textId="4F201F3E" w:rsidR="00873D87" w:rsidRDefault="00C761B1">
      <w:pPr>
        <w:pStyle w:val="TOC2"/>
        <w:rPr>
          <w:rFonts w:asciiTheme="minorHAnsi" w:eastAsiaTheme="minorEastAsia" w:hAnsiTheme="minorHAnsi" w:cstheme="minorBidi"/>
          <w:b w:val="0"/>
          <w:sz w:val="22"/>
          <w:szCs w:val="22"/>
          <w:lang w:val="en-US" w:eastAsia="en-US"/>
        </w:rPr>
      </w:pPr>
      <w:hyperlink w:anchor="_Toc38990448" w:history="1">
        <w:r w:rsidR="00873D87" w:rsidRPr="00153974">
          <w:rPr>
            <w:rStyle w:val="Hyperlink"/>
          </w:rPr>
          <w:t>5</w:t>
        </w:r>
        <w:r w:rsidR="00873D87">
          <w:rPr>
            <w:rFonts w:asciiTheme="minorHAnsi" w:eastAsiaTheme="minorEastAsia" w:hAnsiTheme="minorHAnsi" w:cstheme="minorBidi"/>
            <w:b w:val="0"/>
            <w:sz w:val="22"/>
            <w:szCs w:val="22"/>
            <w:lang w:val="en-US" w:eastAsia="en-US"/>
          </w:rPr>
          <w:tab/>
        </w:r>
        <w:r w:rsidR="00873D87" w:rsidRPr="00153974">
          <w:rPr>
            <w:rStyle w:val="Hyperlink"/>
          </w:rPr>
          <w:t>Conclusions</w:t>
        </w:r>
        <w:r w:rsidR="00873D87">
          <w:rPr>
            <w:webHidden/>
          </w:rPr>
          <w:tab/>
        </w:r>
        <w:r w:rsidR="00873D87">
          <w:rPr>
            <w:webHidden/>
          </w:rPr>
          <w:fldChar w:fldCharType="begin"/>
        </w:r>
        <w:r w:rsidR="00873D87">
          <w:rPr>
            <w:webHidden/>
          </w:rPr>
          <w:instrText xml:space="preserve"> PAGEREF _Toc38990448 \h </w:instrText>
        </w:r>
        <w:r w:rsidR="00873D87">
          <w:rPr>
            <w:webHidden/>
          </w:rPr>
        </w:r>
        <w:r w:rsidR="00873D87">
          <w:rPr>
            <w:webHidden/>
          </w:rPr>
          <w:fldChar w:fldCharType="separate"/>
        </w:r>
        <w:r w:rsidR="00B177F5">
          <w:rPr>
            <w:webHidden/>
          </w:rPr>
          <w:t>115</w:t>
        </w:r>
        <w:r w:rsidR="00873D87">
          <w:rPr>
            <w:webHidden/>
          </w:rPr>
          <w:fldChar w:fldCharType="end"/>
        </w:r>
      </w:hyperlink>
    </w:p>
    <w:p w14:paraId="1F079E1B" w14:textId="34AA402C" w:rsidR="00873D87" w:rsidRDefault="00C761B1">
      <w:pPr>
        <w:pStyle w:val="TOC3"/>
        <w:rPr>
          <w:rFonts w:asciiTheme="minorHAnsi" w:eastAsiaTheme="minorEastAsia" w:hAnsiTheme="minorHAnsi" w:cstheme="minorBidi"/>
          <w:sz w:val="22"/>
          <w:szCs w:val="22"/>
          <w:lang w:val="en-US" w:eastAsia="en-US"/>
        </w:rPr>
      </w:pPr>
      <w:hyperlink w:anchor="_Toc38990449" w:history="1">
        <w:r w:rsidR="00873D87" w:rsidRPr="00153974">
          <w:rPr>
            <w:rStyle w:val="Hyperlink"/>
          </w:rPr>
          <w:t>5.1</w:t>
        </w:r>
        <w:r w:rsidR="00873D87">
          <w:rPr>
            <w:rFonts w:asciiTheme="minorHAnsi" w:eastAsiaTheme="minorEastAsia" w:hAnsiTheme="minorHAnsi" w:cstheme="minorBidi"/>
            <w:sz w:val="22"/>
            <w:szCs w:val="22"/>
            <w:lang w:val="en-US" w:eastAsia="en-US"/>
          </w:rPr>
          <w:tab/>
        </w:r>
        <w:r w:rsidR="00873D87" w:rsidRPr="00153974">
          <w:rPr>
            <w:rStyle w:val="Hyperlink"/>
          </w:rPr>
          <w:t>Regional groundwater systems</w:t>
        </w:r>
        <w:r w:rsidR="00873D87">
          <w:rPr>
            <w:webHidden/>
          </w:rPr>
          <w:tab/>
        </w:r>
        <w:r w:rsidR="00873D87">
          <w:rPr>
            <w:webHidden/>
          </w:rPr>
          <w:fldChar w:fldCharType="begin"/>
        </w:r>
        <w:r w:rsidR="00873D87">
          <w:rPr>
            <w:webHidden/>
          </w:rPr>
          <w:instrText xml:space="preserve"> PAGEREF _Toc38990449 \h </w:instrText>
        </w:r>
        <w:r w:rsidR="00873D87">
          <w:rPr>
            <w:webHidden/>
          </w:rPr>
        </w:r>
        <w:r w:rsidR="00873D87">
          <w:rPr>
            <w:webHidden/>
          </w:rPr>
          <w:fldChar w:fldCharType="separate"/>
        </w:r>
        <w:r w:rsidR="00B177F5">
          <w:rPr>
            <w:webHidden/>
          </w:rPr>
          <w:t>115</w:t>
        </w:r>
        <w:r w:rsidR="00873D87">
          <w:rPr>
            <w:webHidden/>
          </w:rPr>
          <w:fldChar w:fldCharType="end"/>
        </w:r>
      </w:hyperlink>
    </w:p>
    <w:p w14:paraId="02492DC2" w14:textId="1DAFABAF" w:rsidR="00873D87" w:rsidRDefault="00C761B1">
      <w:pPr>
        <w:pStyle w:val="TOC3"/>
        <w:rPr>
          <w:rFonts w:asciiTheme="minorHAnsi" w:eastAsiaTheme="minorEastAsia" w:hAnsiTheme="minorHAnsi" w:cstheme="minorBidi"/>
          <w:sz w:val="22"/>
          <w:szCs w:val="22"/>
          <w:lang w:val="en-US" w:eastAsia="en-US"/>
        </w:rPr>
      </w:pPr>
      <w:hyperlink w:anchor="_Toc38990450" w:history="1">
        <w:r w:rsidR="00873D87" w:rsidRPr="00153974">
          <w:rPr>
            <w:rStyle w:val="Hyperlink"/>
          </w:rPr>
          <w:t>5.2</w:t>
        </w:r>
        <w:r w:rsidR="00873D87">
          <w:rPr>
            <w:rFonts w:asciiTheme="minorHAnsi" w:eastAsiaTheme="minorEastAsia" w:hAnsiTheme="minorHAnsi" w:cstheme="minorBidi"/>
            <w:sz w:val="22"/>
            <w:szCs w:val="22"/>
            <w:lang w:val="en-US" w:eastAsia="en-US"/>
          </w:rPr>
          <w:tab/>
        </w:r>
        <w:r w:rsidR="00873D87" w:rsidRPr="00153974">
          <w:rPr>
            <w:rStyle w:val="Hyperlink"/>
          </w:rPr>
          <w:t>Inter-aquifer connectivity</w:t>
        </w:r>
        <w:r w:rsidR="00873D87">
          <w:rPr>
            <w:webHidden/>
          </w:rPr>
          <w:tab/>
        </w:r>
        <w:r w:rsidR="00873D87">
          <w:rPr>
            <w:webHidden/>
          </w:rPr>
          <w:fldChar w:fldCharType="begin"/>
        </w:r>
        <w:r w:rsidR="00873D87">
          <w:rPr>
            <w:webHidden/>
          </w:rPr>
          <w:instrText xml:space="preserve"> PAGEREF _Toc38990450 \h </w:instrText>
        </w:r>
        <w:r w:rsidR="00873D87">
          <w:rPr>
            <w:webHidden/>
          </w:rPr>
        </w:r>
        <w:r w:rsidR="00873D87">
          <w:rPr>
            <w:webHidden/>
          </w:rPr>
          <w:fldChar w:fldCharType="separate"/>
        </w:r>
        <w:r w:rsidR="00B177F5">
          <w:rPr>
            <w:webHidden/>
          </w:rPr>
          <w:t>117</w:t>
        </w:r>
        <w:r w:rsidR="00873D87">
          <w:rPr>
            <w:webHidden/>
          </w:rPr>
          <w:fldChar w:fldCharType="end"/>
        </w:r>
      </w:hyperlink>
    </w:p>
    <w:p w14:paraId="4C6D1014" w14:textId="540BDD37" w:rsidR="00873D87" w:rsidRDefault="00C761B1">
      <w:pPr>
        <w:pStyle w:val="TOC3"/>
        <w:rPr>
          <w:rFonts w:asciiTheme="minorHAnsi" w:eastAsiaTheme="minorEastAsia" w:hAnsiTheme="minorHAnsi" w:cstheme="minorBidi"/>
          <w:sz w:val="22"/>
          <w:szCs w:val="22"/>
          <w:lang w:val="en-US" w:eastAsia="en-US"/>
        </w:rPr>
      </w:pPr>
      <w:hyperlink w:anchor="_Toc38990451" w:history="1">
        <w:r w:rsidR="00873D87" w:rsidRPr="00153974">
          <w:rPr>
            <w:rStyle w:val="Hyperlink"/>
          </w:rPr>
          <w:t>5.3</w:t>
        </w:r>
        <w:r w:rsidR="00873D87">
          <w:rPr>
            <w:rFonts w:asciiTheme="minorHAnsi" w:eastAsiaTheme="minorEastAsia" w:hAnsiTheme="minorHAnsi" w:cstheme="minorBidi"/>
            <w:sz w:val="22"/>
            <w:szCs w:val="22"/>
            <w:lang w:val="en-US" w:eastAsia="en-US"/>
          </w:rPr>
          <w:tab/>
        </w:r>
        <w:r w:rsidR="00873D87" w:rsidRPr="00153974">
          <w:rPr>
            <w:rStyle w:val="Hyperlink"/>
          </w:rPr>
          <w:t>Surface water – groundwater interactions</w:t>
        </w:r>
        <w:r w:rsidR="00873D87">
          <w:rPr>
            <w:webHidden/>
          </w:rPr>
          <w:tab/>
        </w:r>
        <w:r w:rsidR="00873D87">
          <w:rPr>
            <w:webHidden/>
          </w:rPr>
          <w:fldChar w:fldCharType="begin"/>
        </w:r>
        <w:r w:rsidR="00873D87">
          <w:rPr>
            <w:webHidden/>
          </w:rPr>
          <w:instrText xml:space="preserve"> PAGEREF _Toc38990451 \h </w:instrText>
        </w:r>
        <w:r w:rsidR="00873D87">
          <w:rPr>
            <w:webHidden/>
          </w:rPr>
        </w:r>
        <w:r w:rsidR="00873D87">
          <w:rPr>
            <w:webHidden/>
          </w:rPr>
          <w:fldChar w:fldCharType="separate"/>
        </w:r>
        <w:r w:rsidR="00B177F5">
          <w:rPr>
            <w:webHidden/>
          </w:rPr>
          <w:t>118</w:t>
        </w:r>
        <w:r w:rsidR="00873D87">
          <w:rPr>
            <w:webHidden/>
          </w:rPr>
          <w:fldChar w:fldCharType="end"/>
        </w:r>
      </w:hyperlink>
    </w:p>
    <w:p w14:paraId="0F0EB1FD" w14:textId="3917832A" w:rsidR="00873D87" w:rsidRDefault="00C761B1">
      <w:pPr>
        <w:pStyle w:val="TOC3"/>
        <w:rPr>
          <w:rFonts w:asciiTheme="minorHAnsi" w:eastAsiaTheme="minorEastAsia" w:hAnsiTheme="minorHAnsi" w:cstheme="minorBidi"/>
          <w:sz w:val="22"/>
          <w:szCs w:val="22"/>
          <w:lang w:val="en-US" w:eastAsia="en-US"/>
        </w:rPr>
      </w:pPr>
      <w:hyperlink w:anchor="_Toc38990452" w:history="1">
        <w:r w:rsidR="00873D87" w:rsidRPr="00153974">
          <w:rPr>
            <w:rStyle w:val="Hyperlink"/>
          </w:rPr>
          <w:t>5.4</w:t>
        </w:r>
        <w:r w:rsidR="00873D87">
          <w:rPr>
            <w:rFonts w:asciiTheme="minorHAnsi" w:eastAsiaTheme="minorEastAsia" w:hAnsiTheme="minorHAnsi" w:cstheme="minorBidi"/>
            <w:sz w:val="22"/>
            <w:szCs w:val="22"/>
            <w:lang w:val="en-US" w:eastAsia="en-US"/>
          </w:rPr>
          <w:tab/>
        </w:r>
        <w:r w:rsidR="00873D87" w:rsidRPr="00153974">
          <w:rPr>
            <w:rStyle w:val="Hyperlink"/>
          </w:rPr>
          <w:t>Gaps, limitations and future directions</w:t>
        </w:r>
        <w:r w:rsidR="00873D87">
          <w:rPr>
            <w:webHidden/>
          </w:rPr>
          <w:tab/>
        </w:r>
        <w:r w:rsidR="00873D87">
          <w:rPr>
            <w:webHidden/>
          </w:rPr>
          <w:fldChar w:fldCharType="begin"/>
        </w:r>
        <w:r w:rsidR="00873D87">
          <w:rPr>
            <w:webHidden/>
          </w:rPr>
          <w:instrText xml:space="preserve"> PAGEREF _Toc38990452 \h </w:instrText>
        </w:r>
        <w:r w:rsidR="00873D87">
          <w:rPr>
            <w:webHidden/>
          </w:rPr>
        </w:r>
        <w:r w:rsidR="00873D87">
          <w:rPr>
            <w:webHidden/>
          </w:rPr>
          <w:fldChar w:fldCharType="separate"/>
        </w:r>
        <w:r w:rsidR="00B177F5">
          <w:rPr>
            <w:webHidden/>
          </w:rPr>
          <w:t>118</w:t>
        </w:r>
        <w:r w:rsidR="00873D87">
          <w:rPr>
            <w:webHidden/>
          </w:rPr>
          <w:fldChar w:fldCharType="end"/>
        </w:r>
      </w:hyperlink>
    </w:p>
    <w:p w14:paraId="41CEFA1F" w14:textId="33512C88" w:rsidR="00873D87" w:rsidRDefault="00C761B1">
      <w:pPr>
        <w:pStyle w:val="TOC2"/>
        <w:rPr>
          <w:rFonts w:asciiTheme="minorHAnsi" w:eastAsiaTheme="minorEastAsia" w:hAnsiTheme="minorHAnsi" w:cstheme="minorBidi"/>
          <w:b w:val="0"/>
          <w:sz w:val="22"/>
          <w:szCs w:val="22"/>
          <w:lang w:val="en-US" w:eastAsia="en-US"/>
        </w:rPr>
      </w:pPr>
      <w:hyperlink w:anchor="_Toc38990453" w:history="1">
        <w:r w:rsidR="00873D87" w:rsidRPr="00153974">
          <w:rPr>
            <w:rStyle w:val="Hyperlink"/>
          </w:rPr>
          <w:t>References</w:t>
        </w:r>
        <w:r w:rsidR="00873D87">
          <w:rPr>
            <w:webHidden/>
          </w:rPr>
          <w:tab/>
        </w:r>
        <w:r w:rsidR="00873D87">
          <w:rPr>
            <w:webHidden/>
          </w:rPr>
          <w:fldChar w:fldCharType="begin"/>
        </w:r>
        <w:r w:rsidR="00873D87">
          <w:rPr>
            <w:webHidden/>
          </w:rPr>
          <w:instrText xml:space="preserve"> PAGEREF _Toc38990453 \h </w:instrText>
        </w:r>
        <w:r w:rsidR="00873D87">
          <w:rPr>
            <w:webHidden/>
          </w:rPr>
        </w:r>
        <w:r w:rsidR="00873D87">
          <w:rPr>
            <w:webHidden/>
          </w:rPr>
          <w:fldChar w:fldCharType="separate"/>
        </w:r>
        <w:r w:rsidR="00B177F5">
          <w:rPr>
            <w:webHidden/>
          </w:rPr>
          <w:t>122</w:t>
        </w:r>
        <w:r w:rsidR="00873D87">
          <w:rPr>
            <w:webHidden/>
          </w:rPr>
          <w:fldChar w:fldCharType="end"/>
        </w:r>
      </w:hyperlink>
    </w:p>
    <w:p w14:paraId="3C5E4E7B" w14:textId="71AC3759" w:rsidR="00873D87" w:rsidRDefault="00C761B1">
      <w:pPr>
        <w:pStyle w:val="TOC2"/>
        <w:rPr>
          <w:rFonts w:asciiTheme="minorHAnsi" w:eastAsiaTheme="minorEastAsia" w:hAnsiTheme="minorHAnsi" w:cstheme="minorBidi"/>
          <w:b w:val="0"/>
          <w:sz w:val="22"/>
          <w:szCs w:val="22"/>
          <w:lang w:val="en-US" w:eastAsia="en-US"/>
        </w:rPr>
      </w:pPr>
      <w:hyperlink w:anchor="_Toc38990454" w:history="1">
        <w:r w:rsidR="00873D87" w:rsidRPr="00153974">
          <w:rPr>
            <w:rStyle w:val="Hyperlink"/>
          </w:rPr>
          <w:t>Glossary</w:t>
        </w:r>
        <w:r w:rsidR="00873D87">
          <w:rPr>
            <w:webHidden/>
          </w:rPr>
          <w:tab/>
        </w:r>
        <w:r w:rsidR="00873D87">
          <w:rPr>
            <w:webHidden/>
          </w:rPr>
          <w:fldChar w:fldCharType="begin"/>
        </w:r>
        <w:r w:rsidR="00873D87">
          <w:rPr>
            <w:webHidden/>
          </w:rPr>
          <w:instrText xml:space="preserve"> PAGEREF _Toc38990454 \h </w:instrText>
        </w:r>
        <w:r w:rsidR="00873D87">
          <w:rPr>
            <w:webHidden/>
          </w:rPr>
        </w:r>
        <w:r w:rsidR="00873D87">
          <w:rPr>
            <w:webHidden/>
          </w:rPr>
          <w:fldChar w:fldCharType="separate"/>
        </w:r>
        <w:r w:rsidR="00B177F5">
          <w:rPr>
            <w:webHidden/>
          </w:rPr>
          <w:t>133</w:t>
        </w:r>
        <w:r w:rsidR="00873D87">
          <w:rPr>
            <w:webHidden/>
          </w:rPr>
          <w:fldChar w:fldCharType="end"/>
        </w:r>
      </w:hyperlink>
    </w:p>
    <w:p w14:paraId="0E404257" w14:textId="143873C3" w:rsidR="003053C7" w:rsidRPr="0013472C" w:rsidRDefault="00FD4B2A" w:rsidP="007E6E26">
      <w:pPr>
        <w:pStyle w:val="TOC1"/>
      </w:pPr>
      <w:r w:rsidRPr="748F35FD">
        <w:fldChar w:fldCharType="end"/>
      </w:r>
      <w:r w:rsidR="003053C7">
        <w:br w:type="page"/>
      </w:r>
    </w:p>
    <w:p w14:paraId="523DBB6D" w14:textId="4680EC36" w:rsidR="00A943B2" w:rsidRDefault="7AD8E2CC" w:rsidP="7AD8E2CC">
      <w:pPr>
        <w:pStyle w:val="TOCHeading"/>
      </w:pPr>
      <w:r>
        <w:t>Figures</w:t>
      </w:r>
    </w:p>
    <w:p w14:paraId="7800622D" w14:textId="377CBA88" w:rsidR="00873D87" w:rsidRDefault="00365B0F">
      <w:pPr>
        <w:pStyle w:val="TableofFigures"/>
        <w:rPr>
          <w:rFonts w:asciiTheme="minorHAnsi" w:eastAsiaTheme="minorEastAsia" w:hAnsiTheme="minorHAnsi" w:cstheme="minorBidi"/>
          <w:noProof/>
          <w:color w:val="auto"/>
          <w:sz w:val="22"/>
          <w:szCs w:val="22"/>
          <w:lang w:val="en-US" w:eastAsia="en-US"/>
        </w:rPr>
      </w:pPr>
      <w:r w:rsidRPr="4ED27E3C">
        <w:fldChar w:fldCharType="begin"/>
      </w:r>
      <w:r>
        <w:rPr>
          <w:b/>
          <w:sz w:val="22"/>
        </w:rPr>
        <w:instrText xml:space="preserve"> TOC \h \z \c "Figure" </w:instrText>
      </w:r>
      <w:r w:rsidRPr="4ED27E3C">
        <w:rPr>
          <w:b/>
          <w:sz w:val="22"/>
        </w:rPr>
        <w:fldChar w:fldCharType="separate"/>
      </w:r>
      <w:hyperlink w:anchor="_Toc38990455" w:history="1">
        <w:r w:rsidR="00873D87" w:rsidRPr="00310FAB">
          <w:rPr>
            <w:rStyle w:val="Hyperlink"/>
            <w:noProof/>
          </w:rPr>
          <w:t>Figure 1 Beetaloo GBA region and its relationship to major geological provinces in the Northern Territory</w:t>
        </w:r>
        <w:r w:rsidR="00873D87">
          <w:rPr>
            <w:noProof/>
            <w:webHidden/>
          </w:rPr>
          <w:tab/>
        </w:r>
        <w:r w:rsidR="00873D87">
          <w:rPr>
            <w:noProof/>
            <w:webHidden/>
          </w:rPr>
          <w:fldChar w:fldCharType="begin"/>
        </w:r>
        <w:r w:rsidR="00873D87">
          <w:rPr>
            <w:noProof/>
            <w:webHidden/>
          </w:rPr>
          <w:instrText xml:space="preserve"> PAGEREF _Toc38990455 \h </w:instrText>
        </w:r>
        <w:r w:rsidR="00873D87">
          <w:rPr>
            <w:noProof/>
            <w:webHidden/>
          </w:rPr>
        </w:r>
        <w:r w:rsidR="00873D87">
          <w:rPr>
            <w:noProof/>
            <w:webHidden/>
          </w:rPr>
          <w:fldChar w:fldCharType="separate"/>
        </w:r>
        <w:r w:rsidR="00B177F5">
          <w:rPr>
            <w:noProof/>
            <w:webHidden/>
          </w:rPr>
          <w:t>3</w:t>
        </w:r>
        <w:r w:rsidR="00873D87">
          <w:rPr>
            <w:noProof/>
            <w:webHidden/>
          </w:rPr>
          <w:fldChar w:fldCharType="end"/>
        </w:r>
      </w:hyperlink>
    </w:p>
    <w:p w14:paraId="41C33E07" w14:textId="4E817A35"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56" w:history="1">
        <w:r w:rsidR="00873D87" w:rsidRPr="00310FAB">
          <w:rPr>
            <w:rStyle w:val="Hyperlink"/>
            <w:noProof/>
          </w:rPr>
          <w:t>Figure 2 Compiled temperature data for the Proterozoic from the Beetaloo GBA region</w:t>
        </w:r>
        <w:r w:rsidR="00873D87">
          <w:rPr>
            <w:noProof/>
            <w:webHidden/>
          </w:rPr>
          <w:tab/>
        </w:r>
        <w:r w:rsidR="00873D87">
          <w:rPr>
            <w:noProof/>
            <w:webHidden/>
          </w:rPr>
          <w:fldChar w:fldCharType="begin"/>
        </w:r>
        <w:r w:rsidR="00873D87">
          <w:rPr>
            <w:noProof/>
            <w:webHidden/>
          </w:rPr>
          <w:instrText xml:space="preserve"> PAGEREF _Toc38990456 \h </w:instrText>
        </w:r>
        <w:r w:rsidR="00873D87">
          <w:rPr>
            <w:noProof/>
            <w:webHidden/>
          </w:rPr>
        </w:r>
        <w:r w:rsidR="00873D87">
          <w:rPr>
            <w:noProof/>
            <w:webHidden/>
          </w:rPr>
          <w:fldChar w:fldCharType="separate"/>
        </w:r>
        <w:r w:rsidR="00B177F5">
          <w:rPr>
            <w:noProof/>
            <w:webHidden/>
          </w:rPr>
          <w:t>9</w:t>
        </w:r>
        <w:r w:rsidR="00873D87">
          <w:rPr>
            <w:noProof/>
            <w:webHidden/>
          </w:rPr>
          <w:fldChar w:fldCharType="end"/>
        </w:r>
      </w:hyperlink>
    </w:p>
    <w:p w14:paraId="7A2F58BF" w14:textId="4B0D35C6"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57" w:history="1">
        <w:r w:rsidR="00873D87" w:rsidRPr="00310FAB">
          <w:rPr>
            <w:rStyle w:val="Hyperlink"/>
            <w:noProof/>
          </w:rPr>
          <w:t>Figure 3 Conceptual model of groundwater systems in the Beetaloo GBA region</w:t>
        </w:r>
        <w:r w:rsidR="00873D87">
          <w:rPr>
            <w:noProof/>
            <w:webHidden/>
          </w:rPr>
          <w:tab/>
        </w:r>
        <w:r w:rsidR="00873D87">
          <w:rPr>
            <w:noProof/>
            <w:webHidden/>
          </w:rPr>
          <w:fldChar w:fldCharType="begin"/>
        </w:r>
        <w:r w:rsidR="00873D87">
          <w:rPr>
            <w:noProof/>
            <w:webHidden/>
          </w:rPr>
          <w:instrText xml:space="preserve"> PAGEREF _Toc38990457 \h </w:instrText>
        </w:r>
        <w:r w:rsidR="00873D87">
          <w:rPr>
            <w:noProof/>
            <w:webHidden/>
          </w:rPr>
        </w:r>
        <w:r w:rsidR="00873D87">
          <w:rPr>
            <w:noProof/>
            <w:webHidden/>
          </w:rPr>
          <w:fldChar w:fldCharType="separate"/>
        </w:r>
        <w:r w:rsidR="00B177F5">
          <w:rPr>
            <w:noProof/>
            <w:webHidden/>
          </w:rPr>
          <w:t>15</w:t>
        </w:r>
        <w:r w:rsidR="00873D87">
          <w:rPr>
            <w:noProof/>
            <w:webHidden/>
          </w:rPr>
          <w:fldChar w:fldCharType="end"/>
        </w:r>
      </w:hyperlink>
    </w:p>
    <w:p w14:paraId="056C9F29" w14:textId="04164B82"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58" w:history="1">
        <w:r w:rsidR="00873D87" w:rsidRPr="00310FAB">
          <w:rPr>
            <w:rStyle w:val="Hyperlink"/>
            <w:noProof/>
          </w:rPr>
          <w:t>Figure 4 Hydrostratigraphic column for the Beetaloo GBA region</w:t>
        </w:r>
        <w:r w:rsidR="00873D87">
          <w:rPr>
            <w:noProof/>
            <w:webHidden/>
          </w:rPr>
          <w:tab/>
        </w:r>
        <w:r w:rsidR="00873D87">
          <w:rPr>
            <w:noProof/>
            <w:webHidden/>
          </w:rPr>
          <w:fldChar w:fldCharType="begin"/>
        </w:r>
        <w:r w:rsidR="00873D87">
          <w:rPr>
            <w:noProof/>
            <w:webHidden/>
          </w:rPr>
          <w:instrText xml:space="preserve"> PAGEREF _Toc38990458 \h </w:instrText>
        </w:r>
        <w:r w:rsidR="00873D87">
          <w:rPr>
            <w:noProof/>
            <w:webHidden/>
          </w:rPr>
        </w:r>
        <w:r w:rsidR="00873D87">
          <w:rPr>
            <w:noProof/>
            <w:webHidden/>
          </w:rPr>
          <w:fldChar w:fldCharType="separate"/>
        </w:r>
        <w:r w:rsidR="00B177F5">
          <w:rPr>
            <w:noProof/>
            <w:webHidden/>
          </w:rPr>
          <w:t>17</w:t>
        </w:r>
        <w:r w:rsidR="00873D87">
          <w:rPr>
            <w:noProof/>
            <w:webHidden/>
          </w:rPr>
          <w:fldChar w:fldCharType="end"/>
        </w:r>
      </w:hyperlink>
    </w:p>
    <w:p w14:paraId="3322A077" w14:textId="5A505DCC"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59" w:history="1">
        <w:r w:rsidR="00873D87" w:rsidRPr="00310FAB">
          <w:rPr>
            <w:rStyle w:val="Hyperlink"/>
            <w:noProof/>
          </w:rPr>
          <w:t>Figure 5 Structural elements map of the Beetaloo Sub-basin, overlain on the total sediment thickness from base of the Roper Group to the surface</w:t>
        </w:r>
        <w:r w:rsidR="00873D87">
          <w:rPr>
            <w:noProof/>
            <w:webHidden/>
          </w:rPr>
          <w:tab/>
        </w:r>
        <w:r w:rsidR="00873D87">
          <w:rPr>
            <w:noProof/>
            <w:webHidden/>
          </w:rPr>
          <w:fldChar w:fldCharType="begin"/>
        </w:r>
        <w:r w:rsidR="00873D87">
          <w:rPr>
            <w:noProof/>
            <w:webHidden/>
          </w:rPr>
          <w:instrText xml:space="preserve"> PAGEREF _Toc38990459 \h </w:instrText>
        </w:r>
        <w:r w:rsidR="00873D87">
          <w:rPr>
            <w:noProof/>
            <w:webHidden/>
          </w:rPr>
        </w:r>
        <w:r w:rsidR="00873D87">
          <w:rPr>
            <w:noProof/>
            <w:webHidden/>
          </w:rPr>
          <w:fldChar w:fldCharType="separate"/>
        </w:r>
        <w:r w:rsidR="00B177F5">
          <w:rPr>
            <w:noProof/>
            <w:webHidden/>
          </w:rPr>
          <w:t>21</w:t>
        </w:r>
        <w:r w:rsidR="00873D87">
          <w:rPr>
            <w:noProof/>
            <w:webHidden/>
          </w:rPr>
          <w:fldChar w:fldCharType="end"/>
        </w:r>
      </w:hyperlink>
    </w:p>
    <w:p w14:paraId="5272D463" w14:textId="0EB4A7C5"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60" w:history="1">
        <w:r w:rsidR="00873D87" w:rsidRPr="00310FAB">
          <w:rPr>
            <w:rStyle w:val="Hyperlink"/>
            <w:noProof/>
          </w:rPr>
          <w:t>Figure 6 Distribution of the Antrim Plateau Volcanics (Kalkarindji igneous province) and Bukalara Sandstone drillhole intercepts in the Beetaloo GBA region</w:t>
        </w:r>
        <w:r w:rsidR="00873D87">
          <w:rPr>
            <w:noProof/>
            <w:webHidden/>
          </w:rPr>
          <w:tab/>
        </w:r>
        <w:r w:rsidR="00873D87">
          <w:rPr>
            <w:noProof/>
            <w:webHidden/>
          </w:rPr>
          <w:fldChar w:fldCharType="begin"/>
        </w:r>
        <w:r w:rsidR="00873D87">
          <w:rPr>
            <w:noProof/>
            <w:webHidden/>
          </w:rPr>
          <w:instrText xml:space="preserve"> PAGEREF _Toc38990460 \h </w:instrText>
        </w:r>
        <w:r w:rsidR="00873D87">
          <w:rPr>
            <w:noProof/>
            <w:webHidden/>
          </w:rPr>
        </w:r>
        <w:r w:rsidR="00873D87">
          <w:rPr>
            <w:noProof/>
            <w:webHidden/>
          </w:rPr>
          <w:fldChar w:fldCharType="separate"/>
        </w:r>
        <w:r w:rsidR="00B177F5">
          <w:rPr>
            <w:noProof/>
            <w:webHidden/>
          </w:rPr>
          <w:t>25</w:t>
        </w:r>
        <w:r w:rsidR="00873D87">
          <w:rPr>
            <w:noProof/>
            <w:webHidden/>
          </w:rPr>
          <w:fldChar w:fldCharType="end"/>
        </w:r>
      </w:hyperlink>
    </w:p>
    <w:p w14:paraId="1A4ACE08" w14:textId="416AB244"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61" w:history="1">
        <w:r w:rsidR="00873D87" w:rsidRPr="00310FAB">
          <w:rPr>
            <w:rStyle w:val="Hyperlink"/>
            <w:noProof/>
          </w:rPr>
          <w:t>Figure 7 Relationship between the Antrim Plateau Volcanics and the overlying Cambrian Limestone Aquifer</w:t>
        </w:r>
        <w:r w:rsidR="00873D87">
          <w:rPr>
            <w:noProof/>
            <w:webHidden/>
          </w:rPr>
          <w:tab/>
        </w:r>
        <w:r w:rsidR="00873D87">
          <w:rPr>
            <w:noProof/>
            <w:webHidden/>
          </w:rPr>
          <w:fldChar w:fldCharType="begin"/>
        </w:r>
        <w:r w:rsidR="00873D87">
          <w:rPr>
            <w:noProof/>
            <w:webHidden/>
          </w:rPr>
          <w:instrText xml:space="preserve"> PAGEREF _Toc38990461 \h </w:instrText>
        </w:r>
        <w:r w:rsidR="00873D87">
          <w:rPr>
            <w:noProof/>
            <w:webHidden/>
          </w:rPr>
        </w:r>
        <w:r w:rsidR="00873D87">
          <w:rPr>
            <w:noProof/>
            <w:webHidden/>
          </w:rPr>
          <w:fldChar w:fldCharType="separate"/>
        </w:r>
        <w:r w:rsidR="00B177F5">
          <w:rPr>
            <w:noProof/>
            <w:webHidden/>
          </w:rPr>
          <w:t>26</w:t>
        </w:r>
        <w:r w:rsidR="00873D87">
          <w:rPr>
            <w:noProof/>
            <w:webHidden/>
          </w:rPr>
          <w:fldChar w:fldCharType="end"/>
        </w:r>
      </w:hyperlink>
    </w:p>
    <w:p w14:paraId="42CECA3E" w14:textId="4B1B4D79"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62" w:history="1">
        <w:r w:rsidR="00873D87" w:rsidRPr="00310FAB">
          <w:rPr>
            <w:rStyle w:val="Hyperlink"/>
            <w:noProof/>
          </w:rPr>
          <w:t>Figure 8 Distribution of major hydrostratigraphic units that make up the Cambrian Limestone Aquifer in the Beetaloo GBA region</w:t>
        </w:r>
        <w:r w:rsidR="00873D87">
          <w:rPr>
            <w:noProof/>
            <w:webHidden/>
          </w:rPr>
          <w:tab/>
        </w:r>
        <w:r w:rsidR="00873D87">
          <w:rPr>
            <w:noProof/>
            <w:webHidden/>
          </w:rPr>
          <w:fldChar w:fldCharType="begin"/>
        </w:r>
        <w:r w:rsidR="00873D87">
          <w:rPr>
            <w:noProof/>
            <w:webHidden/>
          </w:rPr>
          <w:instrText xml:space="preserve"> PAGEREF _Toc38990462 \h </w:instrText>
        </w:r>
        <w:r w:rsidR="00873D87">
          <w:rPr>
            <w:noProof/>
            <w:webHidden/>
          </w:rPr>
        </w:r>
        <w:r w:rsidR="00873D87">
          <w:rPr>
            <w:noProof/>
            <w:webHidden/>
          </w:rPr>
          <w:fldChar w:fldCharType="separate"/>
        </w:r>
        <w:r w:rsidR="00B177F5">
          <w:rPr>
            <w:noProof/>
            <w:webHidden/>
          </w:rPr>
          <w:t>30</w:t>
        </w:r>
        <w:r w:rsidR="00873D87">
          <w:rPr>
            <w:noProof/>
            <w:webHidden/>
          </w:rPr>
          <w:fldChar w:fldCharType="end"/>
        </w:r>
      </w:hyperlink>
    </w:p>
    <w:p w14:paraId="1231955A" w14:textId="23C5D2F6"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63" w:history="1">
        <w:r w:rsidR="00873D87" w:rsidRPr="00310FAB">
          <w:rPr>
            <w:rStyle w:val="Hyperlink"/>
            <w:noProof/>
          </w:rPr>
          <w:t>Figure 9 Areas with sinkholes and near-surface structures identified on 1:250,000 geological map sheets in the Beetaloo GBA region</w:t>
        </w:r>
        <w:r w:rsidR="00873D87">
          <w:rPr>
            <w:noProof/>
            <w:webHidden/>
          </w:rPr>
          <w:tab/>
        </w:r>
        <w:r w:rsidR="00873D87">
          <w:rPr>
            <w:noProof/>
            <w:webHidden/>
          </w:rPr>
          <w:fldChar w:fldCharType="begin"/>
        </w:r>
        <w:r w:rsidR="00873D87">
          <w:rPr>
            <w:noProof/>
            <w:webHidden/>
          </w:rPr>
          <w:instrText xml:space="preserve"> PAGEREF _Toc38990463 \h </w:instrText>
        </w:r>
        <w:r w:rsidR="00873D87">
          <w:rPr>
            <w:noProof/>
            <w:webHidden/>
          </w:rPr>
        </w:r>
        <w:r w:rsidR="00873D87">
          <w:rPr>
            <w:noProof/>
            <w:webHidden/>
          </w:rPr>
          <w:fldChar w:fldCharType="separate"/>
        </w:r>
        <w:r w:rsidR="00B177F5">
          <w:rPr>
            <w:noProof/>
            <w:webHidden/>
          </w:rPr>
          <w:t>31</w:t>
        </w:r>
        <w:r w:rsidR="00873D87">
          <w:rPr>
            <w:noProof/>
            <w:webHidden/>
          </w:rPr>
          <w:fldChar w:fldCharType="end"/>
        </w:r>
      </w:hyperlink>
    </w:p>
    <w:p w14:paraId="133B5598" w14:textId="2BE9B41A"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64" w:history="1">
        <w:r w:rsidR="00873D87" w:rsidRPr="00310FAB">
          <w:rPr>
            <w:rStyle w:val="Hyperlink"/>
            <w:noProof/>
          </w:rPr>
          <w:t xml:space="preserve">Figure 10 Carpentaria Basin </w:t>
        </w:r>
        <w:r w:rsidR="00873D87" w:rsidRPr="00310FAB">
          <w:rPr>
            <w:rStyle w:val="Hyperlink"/>
            <w:rFonts w:cs="Calibri"/>
            <w:noProof/>
          </w:rPr>
          <w:t>–</w:t>
        </w:r>
        <w:r w:rsidR="00873D87" w:rsidRPr="00310FAB">
          <w:rPr>
            <w:rStyle w:val="Hyperlink"/>
            <w:noProof/>
          </w:rPr>
          <w:t xml:space="preserve"> elevation of bottom of Carpentaria Basin and vertical thickness</w:t>
        </w:r>
        <w:r w:rsidR="00873D87">
          <w:rPr>
            <w:noProof/>
            <w:webHidden/>
          </w:rPr>
          <w:tab/>
        </w:r>
        <w:r w:rsidR="00873D87">
          <w:rPr>
            <w:noProof/>
            <w:webHidden/>
          </w:rPr>
          <w:fldChar w:fldCharType="begin"/>
        </w:r>
        <w:r w:rsidR="00873D87">
          <w:rPr>
            <w:noProof/>
            <w:webHidden/>
          </w:rPr>
          <w:instrText xml:space="preserve"> PAGEREF _Toc38990464 \h </w:instrText>
        </w:r>
        <w:r w:rsidR="00873D87">
          <w:rPr>
            <w:noProof/>
            <w:webHidden/>
          </w:rPr>
        </w:r>
        <w:r w:rsidR="00873D87">
          <w:rPr>
            <w:noProof/>
            <w:webHidden/>
          </w:rPr>
          <w:fldChar w:fldCharType="separate"/>
        </w:r>
        <w:r w:rsidR="00B177F5">
          <w:rPr>
            <w:noProof/>
            <w:webHidden/>
          </w:rPr>
          <w:t>33</w:t>
        </w:r>
        <w:r w:rsidR="00873D87">
          <w:rPr>
            <w:noProof/>
            <w:webHidden/>
          </w:rPr>
          <w:fldChar w:fldCharType="end"/>
        </w:r>
      </w:hyperlink>
    </w:p>
    <w:p w14:paraId="664F6F06" w14:textId="3B7989BF"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65" w:history="1">
        <w:r w:rsidR="00873D87" w:rsidRPr="00310FAB">
          <w:rPr>
            <w:rStyle w:val="Hyperlink"/>
            <w:noProof/>
          </w:rPr>
          <w:t>Figure 11 Pressure data from Proterozoic units compiled from petroleum exploration drilling</w:t>
        </w:r>
        <w:r w:rsidR="00873D87">
          <w:rPr>
            <w:noProof/>
            <w:webHidden/>
          </w:rPr>
          <w:tab/>
        </w:r>
        <w:r w:rsidR="00873D87">
          <w:rPr>
            <w:noProof/>
            <w:webHidden/>
          </w:rPr>
          <w:fldChar w:fldCharType="begin"/>
        </w:r>
        <w:r w:rsidR="00873D87">
          <w:rPr>
            <w:noProof/>
            <w:webHidden/>
          </w:rPr>
          <w:instrText xml:space="preserve"> PAGEREF _Toc38990465 \h </w:instrText>
        </w:r>
        <w:r w:rsidR="00873D87">
          <w:rPr>
            <w:noProof/>
            <w:webHidden/>
          </w:rPr>
        </w:r>
        <w:r w:rsidR="00873D87">
          <w:rPr>
            <w:noProof/>
            <w:webHidden/>
          </w:rPr>
          <w:fldChar w:fldCharType="separate"/>
        </w:r>
        <w:r w:rsidR="00B177F5">
          <w:rPr>
            <w:noProof/>
            <w:webHidden/>
          </w:rPr>
          <w:t>37</w:t>
        </w:r>
        <w:r w:rsidR="00873D87">
          <w:rPr>
            <w:noProof/>
            <w:webHidden/>
          </w:rPr>
          <w:fldChar w:fldCharType="end"/>
        </w:r>
      </w:hyperlink>
    </w:p>
    <w:p w14:paraId="10632BF9" w14:textId="432CDA12"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66" w:history="1">
        <w:r w:rsidR="00873D87" w:rsidRPr="00310FAB">
          <w:rPr>
            <w:rStyle w:val="Hyperlink"/>
            <w:noProof/>
          </w:rPr>
          <w:t>Figure 12 Temperature data from petroleum wells for Proterozoic sequences</w:t>
        </w:r>
        <w:r w:rsidR="00873D87">
          <w:rPr>
            <w:noProof/>
            <w:webHidden/>
          </w:rPr>
          <w:tab/>
        </w:r>
        <w:r w:rsidR="00873D87">
          <w:rPr>
            <w:noProof/>
            <w:webHidden/>
          </w:rPr>
          <w:fldChar w:fldCharType="begin"/>
        </w:r>
        <w:r w:rsidR="00873D87">
          <w:rPr>
            <w:noProof/>
            <w:webHidden/>
          </w:rPr>
          <w:instrText xml:space="preserve"> PAGEREF _Toc38990466 \h </w:instrText>
        </w:r>
        <w:r w:rsidR="00873D87">
          <w:rPr>
            <w:noProof/>
            <w:webHidden/>
          </w:rPr>
        </w:r>
        <w:r w:rsidR="00873D87">
          <w:rPr>
            <w:noProof/>
            <w:webHidden/>
          </w:rPr>
          <w:fldChar w:fldCharType="separate"/>
        </w:r>
        <w:r w:rsidR="00B177F5">
          <w:rPr>
            <w:noProof/>
            <w:webHidden/>
          </w:rPr>
          <w:t>38</w:t>
        </w:r>
        <w:r w:rsidR="00873D87">
          <w:rPr>
            <w:noProof/>
            <w:webHidden/>
          </w:rPr>
          <w:fldChar w:fldCharType="end"/>
        </w:r>
      </w:hyperlink>
    </w:p>
    <w:p w14:paraId="479AAD6C" w14:textId="41E5C790"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67" w:history="1">
        <w:r w:rsidR="00873D87" w:rsidRPr="00310FAB">
          <w:rPr>
            <w:rStyle w:val="Hyperlink"/>
            <w:noProof/>
          </w:rPr>
          <w:t>Figure 13 Groundwater inflows to petroleum wells from Roper Group, and calculated hydraulic head levels derived from drill stem test pressure data</w:t>
        </w:r>
        <w:r w:rsidR="00873D87">
          <w:rPr>
            <w:noProof/>
            <w:webHidden/>
          </w:rPr>
          <w:tab/>
        </w:r>
        <w:r w:rsidR="00873D87">
          <w:rPr>
            <w:noProof/>
            <w:webHidden/>
          </w:rPr>
          <w:fldChar w:fldCharType="begin"/>
        </w:r>
        <w:r w:rsidR="00873D87">
          <w:rPr>
            <w:noProof/>
            <w:webHidden/>
          </w:rPr>
          <w:instrText xml:space="preserve"> PAGEREF _Toc38990467 \h </w:instrText>
        </w:r>
        <w:r w:rsidR="00873D87">
          <w:rPr>
            <w:noProof/>
            <w:webHidden/>
          </w:rPr>
        </w:r>
        <w:r w:rsidR="00873D87">
          <w:rPr>
            <w:noProof/>
            <w:webHidden/>
          </w:rPr>
          <w:fldChar w:fldCharType="separate"/>
        </w:r>
        <w:r w:rsidR="00B177F5">
          <w:rPr>
            <w:noProof/>
            <w:webHidden/>
          </w:rPr>
          <w:t>40</w:t>
        </w:r>
        <w:r w:rsidR="00873D87">
          <w:rPr>
            <w:noProof/>
            <w:webHidden/>
          </w:rPr>
          <w:fldChar w:fldCharType="end"/>
        </w:r>
      </w:hyperlink>
    </w:p>
    <w:p w14:paraId="13FBEA65" w14:textId="6CDB233C"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68" w:history="1">
        <w:r w:rsidR="00873D87" w:rsidRPr="00310FAB">
          <w:rPr>
            <w:rStyle w:val="Hyperlink"/>
            <w:noProof/>
          </w:rPr>
          <w:t>Figure 14 Groundwater inflows to petroleum wells from Jamison and Bukalara sandstones, and calculated hydraulic head levels derived from drill stem test pressure data</w:t>
        </w:r>
        <w:r w:rsidR="00873D87">
          <w:rPr>
            <w:noProof/>
            <w:webHidden/>
          </w:rPr>
          <w:tab/>
        </w:r>
        <w:r w:rsidR="00873D87">
          <w:rPr>
            <w:noProof/>
            <w:webHidden/>
          </w:rPr>
          <w:fldChar w:fldCharType="begin"/>
        </w:r>
        <w:r w:rsidR="00873D87">
          <w:rPr>
            <w:noProof/>
            <w:webHidden/>
          </w:rPr>
          <w:instrText xml:space="preserve"> PAGEREF _Toc38990468 \h </w:instrText>
        </w:r>
        <w:r w:rsidR="00873D87">
          <w:rPr>
            <w:noProof/>
            <w:webHidden/>
          </w:rPr>
        </w:r>
        <w:r w:rsidR="00873D87">
          <w:rPr>
            <w:noProof/>
            <w:webHidden/>
          </w:rPr>
          <w:fldChar w:fldCharType="separate"/>
        </w:r>
        <w:r w:rsidR="00B177F5">
          <w:rPr>
            <w:noProof/>
            <w:webHidden/>
          </w:rPr>
          <w:t>44</w:t>
        </w:r>
        <w:r w:rsidR="00873D87">
          <w:rPr>
            <w:noProof/>
            <w:webHidden/>
          </w:rPr>
          <w:fldChar w:fldCharType="end"/>
        </w:r>
      </w:hyperlink>
    </w:p>
    <w:p w14:paraId="425BD638" w14:textId="1192AA8C"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69" w:history="1">
        <w:r w:rsidR="00873D87" w:rsidRPr="00310FAB">
          <w:rPr>
            <w:rStyle w:val="Hyperlink"/>
            <w:noProof/>
          </w:rPr>
          <w:t>Figure 15 Groundwater bores and inflows to the Antrim Plateau Volcanics from petroleum wells</w:t>
        </w:r>
        <w:r w:rsidR="00873D87">
          <w:rPr>
            <w:noProof/>
            <w:webHidden/>
          </w:rPr>
          <w:tab/>
        </w:r>
        <w:r w:rsidR="00873D87">
          <w:rPr>
            <w:noProof/>
            <w:webHidden/>
          </w:rPr>
          <w:fldChar w:fldCharType="begin"/>
        </w:r>
        <w:r w:rsidR="00873D87">
          <w:rPr>
            <w:noProof/>
            <w:webHidden/>
          </w:rPr>
          <w:instrText xml:space="preserve"> PAGEREF _Toc38990469 \h </w:instrText>
        </w:r>
        <w:r w:rsidR="00873D87">
          <w:rPr>
            <w:noProof/>
            <w:webHidden/>
          </w:rPr>
        </w:r>
        <w:r w:rsidR="00873D87">
          <w:rPr>
            <w:noProof/>
            <w:webHidden/>
          </w:rPr>
          <w:fldChar w:fldCharType="separate"/>
        </w:r>
        <w:r w:rsidR="00B177F5">
          <w:rPr>
            <w:noProof/>
            <w:webHidden/>
          </w:rPr>
          <w:t>46</w:t>
        </w:r>
        <w:r w:rsidR="00873D87">
          <w:rPr>
            <w:noProof/>
            <w:webHidden/>
          </w:rPr>
          <w:fldChar w:fldCharType="end"/>
        </w:r>
      </w:hyperlink>
    </w:p>
    <w:p w14:paraId="5835FEA7" w14:textId="5F74892E"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70" w:history="1">
        <w:r w:rsidR="00873D87" w:rsidRPr="00310FAB">
          <w:rPr>
            <w:rStyle w:val="Hyperlink"/>
            <w:noProof/>
          </w:rPr>
          <w:t>Figure 16 Flow systems of the Cambrian Limestone Aquifer system</w:t>
        </w:r>
        <w:r w:rsidR="00873D87">
          <w:rPr>
            <w:noProof/>
            <w:webHidden/>
          </w:rPr>
          <w:tab/>
        </w:r>
        <w:r w:rsidR="00873D87">
          <w:rPr>
            <w:noProof/>
            <w:webHidden/>
          </w:rPr>
          <w:fldChar w:fldCharType="begin"/>
        </w:r>
        <w:r w:rsidR="00873D87">
          <w:rPr>
            <w:noProof/>
            <w:webHidden/>
          </w:rPr>
          <w:instrText xml:space="preserve"> PAGEREF _Toc38990470 \h </w:instrText>
        </w:r>
        <w:r w:rsidR="00873D87">
          <w:rPr>
            <w:noProof/>
            <w:webHidden/>
          </w:rPr>
        </w:r>
        <w:r w:rsidR="00873D87">
          <w:rPr>
            <w:noProof/>
            <w:webHidden/>
          </w:rPr>
          <w:fldChar w:fldCharType="separate"/>
        </w:r>
        <w:r w:rsidR="00B177F5">
          <w:rPr>
            <w:noProof/>
            <w:webHidden/>
          </w:rPr>
          <w:t>49</w:t>
        </w:r>
        <w:r w:rsidR="00873D87">
          <w:rPr>
            <w:noProof/>
            <w:webHidden/>
          </w:rPr>
          <w:fldChar w:fldCharType="end"/>
        </w:r>
      </w:hyperlink>
    </w:p>
    <w:p w14:paraId="2A77447B" w14:textId="15374697"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71" w:history="1">
        <w:r w:rsidR="00873D87" w:rsidRPr="00310FAB">
          <w:rPr>
            <w:rStyle w:val="Hyperlink"/>
            <w:noProof/>
          </w:rPr>
          <w:t>Figure 17 Watertable contours for the northern Wiso Basin and environs</w:t>
        </w:r>
        <w:r w:rsidR="00873D87">
          <w:rPr>
            <w:noProof/>
            <w:webHidden/>
          </w:rPr>
          <w:tab/>
        </w:r>
        <w:r w:rsidR="00873D87">
          <w:rPr>
            <w:noProof/>
            <w:webHidden/>
          </w:rPr>
          <w:fldChar w:fldCharType="begin"/>
        </w:r>
        <w:r w:rsidR="00873D87">
          <w:rPr>
            <w:noProof/>
            <w:webHidden/>
          </w:rPr>
          <w:instrText xml:space="preserve"> PAGEREF _Toc38990471 \h </w:instrText>
        </w:r>
        <w:r w:rsidR="00873D87">
          <w:rPr>
            <w:noProof/>
            <w:webHidden/>
          </w:rPr>
        </w:r>
        <w:r w:rsidR="00873D87">
          <w:rPr>
            <w:noProof/>
            <w:webHidden/>
          </w:rPr>
          <w:fldChar w:fldCharType="separate"/>
        </w:r>
        <w:r w:rsidR="00B177F5">
          <w:rPr>
            <w:noProof/>
            <w:webHidden/>
          </w:rPr>
          <w:t>52</w:t>
        </w:r>
        <w:r w:rsidR="00873D87">
          <w:rPr>
            <w:noProof/>
            <w:webHidden/>
          </w:rPr>
          <w:fldChar w:fldCharType="end"/>
        </w:r>
      </w:hyperlink>
    </w:p>
    <w:p w14:paraId="3C8AE72B" w14:textId="6A497CB5"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72" w:history="1">
        <w:r w:rsidR="00873D87" w:rsidRPr="00310FAB">
          <w:rPr>
            <w:rStyle w:val="Hyperlink"/>
            <w:noProof/>
          </w:rPr>
          <w:t>Figure 18 Depth to groundwater in registered groundwater bores</w:t>
        </w:r>
        <w:r w:rsidR="00873D87">
          <w:rPr>
            <w:noProof/>
            <w:webHidden/>
          </w:rPr>
          <w:tab/>
        </w:r>
        <w:r w:rsidR="00873D87">
          <w:rPr>
            <w:noProof/>
            <w:webHidden/>
          </w:rPr>
          <w:fldChar w:fldCharType="begin"/>
        </w:r>
        <w:r w:rsidR="00873D87">
          <w:rPr>
            <w:noProof/>
            <w:webHidden/>
          </w:rPr>
          <w:instrText xml:space="preserve"> PAGEREF _Toc38990472 \h </w:instrText>
        </w:r>
        <w:r w:rsidR="00873D87">
          <w:rPr>
            <w:noProof/>
            <w:webHidden/>
          </w:rPr>
        </w:r>
        <w:r w:rsidR="00873D87">
          <w:rPr>
            <w:noProof/>
            <w:webHidden/>
          </w:rPr>
          <w:fldChar w:fldCharType="separate"/>
        </w:r>
        <w:r w:rsidR="00B177F5">
          <w:rPr>
            <w:noProof/>
            <w:webHidden/>
          </w:rPr>
          <w:t>54</w:t>
        </w:r>
        <w:r w:rsidR="00873D87">
          <w:rPr>
            <w:noProof/>
            <w:webHidden/>
          </w:rPr>
          <w:fldChar w:fldCharType="end"/>
        </w:r>
      </w:hyperlink>
    </w:p>
    <w:p w14:paraId="37D33736" w14:textId="2327A400"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73" w:history="1">
        <w:r w:rsidR="00873D87" w:rsidRPr="00310FAB">
          <w:rPr>
            <w:rStyle w:val="Hyperlink"/>
            <w:noProof/>
          </w:rPr>
          <w:t>Figure 19 Department of Environment and Natural Resources (NT) and Origin Energy groundwater monitoring network</w:t>
        </w:r>
        <w:r w:rsidR="00873D87">
          <w:rPr>
            <w:noProof/>
            <w:webHidden/>
          </w:rPr>
          <w:tab/>
        </w:r>
        <w:r w:rsidR="00873D87">
          <w:rPr>
            <w:noProof/>
            <w:webHidden/>
          </w:rPr>
          <w:fldChar w:fldCharType="begin"/>
        </w:r>
        <w:r w:rsidR="00873D87">
          <w:rPr>
            <w:noProof/>
            <w:webHidden/>
          </w:rPr>
          <w:instrText xml:space="preserve"> PAGEREF _Toc38990473 \h </w:instrText>
        </w:r>
        <w:r w:rsidR="00873D87">
          <w:rPr>
            <w:noProof/>
            <w:webHidden/>
          </w:rPr>
        </w:r>
        <w:r w:rsidR="00873D87">
          <w:rPr>
            <w:noProof/>
            <w:webHidden/>
          </w:rPr>
          <w:fldChar w:fldCharType="separate"/>
        </w:r>
        <w:r w:rsidR="00B177F5">
          <w:rPr>
            <w:noProof/>
            <w:webHidden/>
          </w:rPr>
          <w:t>56</w:t>
        </w:r>
        <w:r w:rsidR="00873D87">
          <w:rPr>
            <w:noProof/>
            <w:webHidden/>
          </w:rPr>
          <w:fldChar w:fldCharType="end"/>
        </w:r>
      </w:hyperlink>
    </w:p>
    <w:p w14:paraId="3CF9DD3F" w14:textId="0E75E2FC"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74" w:history="1">
        <w:r w:rsidR="00873D87" w:rsidRPr="00310FAB">
          <w:rPr>
            <w:rStyle w:val="Hyperlink"/>
            <w:noProof/>
          </w:rPr>
          <w:t>Figure 20 Cumulative mass residual rainfall curves for the Beetaloo GBA region and surrounds</w:t>
        </w:r>
        <w:r w:rsidR="00873D87">
          <w:rPr>
            <w:noProof/>
            <w:webHidden/>
          </w:rPr>
          <w:tab/>
        </w:r>
        <w:r w:rsidR="00873D87">
          <w:rPr>
            <w:noProof/>
            <w:webHidden/>
          </w:rPr>
          <w:fldChar w:fldCharType="begin"/>
        </w:r>
        <w:r w:rsidR="00873D87">
          <w:rPr>
            <w:noProof/>
            <w:webHidden/>
          </w:rPr>
          <w:instrText xml:space="preserve"> PAGEREF _Toc38990474 \h </w:instrText>
        </w:r>
        <w:r w:rsidR="00873D87">
          <w:rPr>
            <w:noProof/>
            <w:webHidden/>
          </w:rPr>
        </w:r>
        <w:r w:rsidR="00873D87">
          <w:rPr>
            <w:noProof/>
            <w:webHidden/>
          </w:rPr>
          <w:fldChar w:fldCharType="separate"/>
        </w:r>
        <w:r w:rsidR="00B177F5">
          <w:rPr>
            <w:noProof/>
            <w:webHidden/>
          </w:rPr>
          <w:t>57</w:t>
        </w:r>
        <w:r w:rsidR="00873D87">
          <w:rPr>
            <w:noProof/>
            <w:webHidden/>
          </w:rPr>
          <w:fldChar w:fldCharType="end"/>
        </w:r>
      </w:hyperlink>
    </w:p>
    <w:p w14:paraId="58A9906D" w14:textId="78F1564F"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75" w:history="1">
        <w:r w:rsidR="00873D87" w:rsidRPr="00310FAB">
          <w:rPr>
            <w:rStyle w:val="Hyperlink"/>
            <w:noProof/>
          </w:rPr>
          <w:t>Figure 21 Groundwater hydrograph for well RN022002</w:t>
        </w:r>
        <w:r w:rsidR="00873D87">
          <w:rPr>
            <w:noProof/>
            <w:webHidden/>
          </w:rPr>
          <w:tab/>
        </w:r>
        <w:r w:rsidR="00873D87">
          <w:rPr>
            <w:noProof/>
            <w:webHidden/>
          </w:rPr>
          <w:fldChar w:fldCharType="begin"/>
        </w:r>
        <w:r w:rsidR="00873D87">
          <w:rPr>
            <w:noProof/>
            <w:webHidden/>
          </w:rPr>
          <w:instrText xml:space="preserve"> PAGEREF _Toc38990475 \h </w:instrText>
        </w:r>
        <w:r w:rsidR="00873D87">
          <w:rPr>
            <w:noProof/>
            <w:webHidden/>
          </w:rPr>
        </w:r>
        <w:r w:rsidR="00873D87">
          <w:rPr>
            <w:noProof/>
            <w:webHidden/>
          </w:rPr>
          <w:fldChar w:fldCharType="separate"/>
        </w:r>
        <w:r w:rsidR="00B177F5">
          <w:rPr>
            <w:noProof/>
            <w:webHidden/>
          </w:rPr>
          <w:t>58</w:t>
        </w:r>
        <w:r w:rsidR="00873D87">
          <w:rPr>
            <w:noProof/>
            <w:webHidden/>
          </w:rPr>
          <w:fldChar w:fldCharType="end"/>
        </w:r>
      </w:hyperlink>
    </w:p>
    <w:p w14:paraId="7C169DEE" w14:textId="6C05757E"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76" w:history="1">
        <w:r w:rsidR="00873D87" w:rsidRPr="00310FAB">
          <w:rPr>
            <w:rStyle w:val="Hyperlink"/>
            <w:noProof/>
          </w:rPr>
          <w:t>Figure 22 Groundwater hydrograph for well RN020509</w:t>
        </w:r>
        <w:r w:rsidR="00873D87">
          <w:rPr>
            <w:noProof/>
            <w:webHidden/>
          </w:rPr>
          <w:tab/>
        </w:r>
        <w:r w:rsidR="00873D87">
          <w:rPr>
            <w:noProof/>
            <w:webHidden/>
          </w:rPr>
          <w:fldChar w:fldCharType="begin"/>
        </w:r>
        <w:r w:rsidR="00873D87">
          <w:rPr>
            <w:noProof/>
            <w:webHidden/>
          </w:rPr>
          <w:instrText xml:space="preserve"> PAGEREF _Toc38990476 \h </w:instrText>
        </w:r>
        <w:r w:rsidR="00873D87">
          <w:rPr>
            <w:noProof/>
            <w:webHidden/>
          </w:rPr>
        </w:r>
        <w:r w:rsidR="00873D87">
          <w:rPr>
            <w:noProof/>
            <w:webHidden/>
          </w:rPr>
          <w:fldChar w:fldCharType="separate"/>
        </w:r>
        <w:r w:rsidR="00B177F5">
          <w:rPr>
            <w:noProof/>
            <w:webHidden/>
          </w:rPr>
          <w:t>59</w:t>
        </w:r>
        <w:r w:rsidR="00873D87">
          <w:rPr>
            <w:noProof/>
            <w:webHidden/>
          </w:rPr>
          <w:fldChar w:fldCharType="end"/>
        </w:r>
      </w:hyperlink>
    </w:p>
    <w:p w14:paraId="0AB5A8BA" w14:textId="50532B1F"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77" w:history="1">
        <w:r w:rsidR="00873D87" w:rsidRPr="00310FAB">
          <w:rPr>
            <w:rStyle w:val="Hyperlink"/>
            <w:noProof/>
          </w:rPr>
          <w:t>Figure 23 Groundwater hydrograph for well RN030695</w:t>
        </w:r>
        <w:r w:rsidR="00873D87">
          <w:rPr>
            <w:noProof/>
            <w:webHidden/>
          </w:rPr>
          <w:tab/>
        </w:r>
        <w:r w:rsidR="00873D87">
          <w:rPr>
            <w:noProof/>
            <w:webHidden/>
          </w:rPr>
          <w:fldChar w:fldCharType="begin"/>
        </w:r>
        <w:r w:rsidR="00873D87">
          <w:rPr>
            <w:noProof/>
            <w:webHidden/>
          </w:rPr>
          <w:instrText xml:space="preserve"> PAGEREF _Toc38990477 \h </w:instrText>
        </w:r>
        <w:r w:rsidR="00873D87">
          <w:rPr>
            <w:noProof/>
            <w:webHidden/>
          </w:rPr>
        </w:r>
        <w:r w:rsidR="00873D87">
          <w:rPr>
            <w:noProof/>
            <w:webHidden/>
          </w:rPr>
          <w:fldChar w:fldCharType="separate"/>
        </w:r>
        <w:r w:rsidR="00B177F5">
          <w:rPr>
            <w:noProof/>
            <w:webHidden/>
          </w:rPr>
          <w:t>60</w:t>
        </w:r>
        <w:r w:rsidR="00873D87">
          <w:rPr>
            <w:noProof/>
            <w:webHidden/>
          </w:rPr>
          <w:fldChar w:fldCharType="end"/>
        </w:r>
      </w:hyperlink>
    </w:p>
    <w:p w14:paraId="7616A562" w14:textId="162C3ECD"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78" w:history="1">
        <w:r w:rsidR="00873D87" w:rsidRPr="00310FAB">
          <w:rPr>
            <w:rStyle w:val="Hyperlink"/>
            <w:noProof/>
          </w:rPr>
          <w:t>Figure 24 Groundwater hydrograph for well RN035926</w:t>
        </w:r>
        <w:r w:rsidR="00873D87">
          <w:rPr>
            <w:noProof/>
            <w:webHidden/>
          </w:rPr>
          <w:tab/>
        </w:r>
        <w:r w:rsidR="00873D87">
          <w:rPr>
            <w:noProof/>
            <w:webHidden/>
          </w:rPr>
          <w:fldChar w:fldCharType="begin"/>
        </w:r>
        <w:r w:rsidR="00873D87">
          <w:rPr>
            <w:noProof/>
            <w:webHidden/>
          </w:rPr>
          <w:instrText xml:space="preserve"> PAGEREF _Toc38990478 \h </w:instrText>
        </w:r>
        <w:r w:rsidR="00873D87">
          <w:rPr>
            <w:noProof/>
            <w:webHidden/>
          </w:rPr>
        </w:r>
        <w:r w:rsidR="00873D87">
          <w:rPr>
            <w:noProof/>
            <w:webHidden/>
          </w:rPr>
          <w:fldChar w:fldCharType="separate"/>
        </w:r>
        <w:r w:rsidR="00B177F5">
          <w:rPr>
            <w:noProof/>
            <w:webHidden/>
          </w:rPr>
          <w:t>61</w:t>
        </w:r>
        <w:r w:rsidR="00873D87">
          <w:rPr>
            <w:noProof/>
            <w:webHidden/>
          </w:rPr>
          <w:fldChar w:fldCharType="end"/>
        </w:r>
      </w:hyperlink>
    </w:p>
    <w:p w14:paraId="5DD39B2F" w14:textId="42920F79"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79" w:history="1">
        <w:r w:rsidR="00873D87" w:rsidRPr="00310FAB">
          <w:rPr>
            <w:rStyle w:val="Hyperlink"/>
            <w:noProof/>
          </w:rPr>
          <w:t>Figure 25 Groundwater hydrograph for well RN034032</w:t>
        </w:r>
        <w:r w:rsidR="00873D87">
          <w:rPr>
            <w:noProof/>
            <w:webHidden/>
          </w:rPr>
          <w:tab/>
        </w:r>
        <w:r w:rsidR="00873D87">
          <w:rPr>
            <w:noProof/>
            <w:webHidden/>
          </w:rPr>
          <w:fldChar w:fldCharType="begin"/>
        </w:r>
        <w:r w:rsidR="00873D87">
          <w:rPr>
            <w:noProof/>
            <w:webHidden/>
          </w:rPr>
          <w:instrText xml:space="preserve"> PAGEREF _Toc38990479 \h </w:instrText>
        </w:r>
        <w:r w:rsidR="00873D87">
          <w:rPr>
            <w:noProof/>
            <w:webHidden/>
          </w:rPr>
        </w:r>
        <w:r w:rsidR="00873D87">
          <w:rPr>
            <w:noProof/>
            <w:webHidden/>
          </w:rPr>
          <w:fldChar w:fldCharType="separate"/>
        </w:r>
        <w:r w:rsidR="00B177F5">
          <w:rPr>
            <w:noProof/>
            <w:webHidden/>
          </w:rPr>
          <w:t>62</w:t>
        </w:r>
        <w:r w:rsidR="00873D87">
          <w:rPr>
            <w:noProof/>
            <w:webHidden/>
          </w:rPr>
          <w:fldChar w:fldCharType="end"/>
        </w:r>
      </w:hyperlink>
    </w:p>
    <w:p w14:paraId="19F53A36" w14:textId="586F854A"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80" w:history="1">
        <w:r w:rsidR="00873D87" w:rsidRPr="00310FAB">
          <w:rPr>
            <w:rStyle w:val="Hyperlink"/>
            <w:noProof/>
          </w:rPr>
          <w:t>Figure 26 Groundwater hydrograph for well RN029012</w:t>
        </w:r>
        <w:r w:rsidR="00873D87">
          <w:rPr>
            <w:noProof/>
            <w:webHidden/>
          </w:rPr>
          <w:tab/>
        </w:r>
        <w:r w:rsidR="00873D87">
          <w:rPr>
            <w:noProof/>
            <w:webHidden/>
          </w:rPr>
          <w:fldChar w:fldCharType="begin"/>
        </w:r>
        <w:r w:rsidR="00873D87">
          <w:rPr>
            <w:noProof/>
            <w:webHidden/>
          </w:rPr>
          <w:instrText xml:space="preserve"> PAGEREF _Toc38990480 \h </w:instrText>
        </w:r>
        <w:r w:rsidR="00873D87">
          <w:rPr>
            <w:noProof/>
            <w:webHidden/>
          </w:rPr>
        </w:r>
        <w:r w:rsidR="00873D87">
          <w:rPr>
            <w:noProof/>
            <w:webHidden/>
          </w:rPr>
          <w:fldChar w:fldCharType="separate"/>
        </w:r>
        <w:r w:rsidR="00B177F5">
          <w:rPr>
            <w:noProof/>
            <w:webHidden/>
          </w:rPr>
          <w:t>63</w:t>
        </w:r>
        <w:r w:rsidR="00873D87">
          <w:rPr>
            <w:noProof/>
            <w:webHidden/>
          </w:rPr>
          <w:fldChar w:fldCharType="end"/>
        </w:r>
      </w:hyperlink>
    </w:p>
    <w:p w14:paraId="6FC6DED0" w14:textId="0365C36A"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81" w:history="1">
        <w:r w:rsidR="00873D87" w:rsidRPr="00310FAB">
          <w:rPr>
            <w:rStyle w:val="Hyperlink"/>
            <w:noProof/>
          </w:rPr>
          <w:t>Figure 27 Groundwater hydrograph for well RN036471.11</w:t>
        </w:r>
        <w:r w:rsidR="00873D87">
          <w:rPr>
            <w:noProof/>
            <w:webHidden/>
          </w:rPr>
          <w:tab/>
        </w:r>
        <w:r w:rsidR="00873D87">
          <w:rPr>
            <w:noProof/>
            <w:webHidden/>
          </w:rPr>
          <w:fldChar w:fldCharType="begin"/>
        </w:r>
        <w:r w:rsidR="00873D87">
          <w:rPr>
            <w:noProof/>
            <w:webHidden/>
          </w:rPr>
          <w:instrText xml:space="preserve"> PAGEREF _Toc38990481 \h </w:instrText>
        </w:r>
        <w:r w:rsidR="00873D87">
          <w:rPr>
            <w:noProof/>
            <w:webHidden/>
          </w:rPr>
        </w:r>
        <w:r w:rsidR="00873D87">
          <w:rPr>
            <w:noProof/>
            <w:webHidden/>
          </w:rPr>
          <w:fldChar w:fldCharType="separate"/>
        </w:r>
        <w:r w:rsidR="00B177F5">
          <w:rPr>
            <w:noProof/>
            <w:webHidden/>
          </w:rPr>
          <w:t>64</w:t>
        </w:r>
        <w:r w:rsidR="00873D87">
          <w:rPr>
            <w:noProof/>
            <w:webHidden/>
          </w:rPr>
          <w:fldChar w:fldCharType="end"/>
        </w:r>
      </w:hyperlink>
    </w:p>
    <w:p w14:paraId="3B5ED06B" w14:textId="79CF6564"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82" w:history="1">
        <w:r w:rsidR="00873D87" w:rsidRPr="00310FAB">
          <w:rPr>
            <w:rStyle w:val="Hyperlink"/>
            <w:noProof/>
          </w:rPr>
          <w:t>Figure 28 Groundwater hydrograph for well RN036471.12</w:t>
        </w:r>
        <w:r w:rsidR="00873D87">
          <w:rPr>
            <w:noProof/>
            <w:webHidden/>
          </w:rPr>
          <w:tab/>
        </w:r>
        <w:r w:rsidR="00873D87">
          <w:rPr>
            <w:noProof/>
            <w:webHidden/>
          </w:rPr>
          <w:fldChar w:fldCharType="begin"/>
        </w:r>
        <w:r w:rsidR="00873D87">
          <w:rPr>
            <w:noProof/>
            <w:webHidden/>
          </w:rPr>
          <w:instrText xml:space="preserve"> PAGEREF _Toc38990482 \h </w:instrText>
        </w:r>
        <w:r w:rsidR="00873D87">
          <w:rPr>
            <w:noProof/>
            <w:webHidden/>
          </w:rPr>
        </w:r>
        <w:r w:rsidR="00873D87">
          <w:rPr>
            <w:noProof/>
            <w:webHidden/>
          </w:rPr>
          <w:fldChar w:fldCharType="separate"/>
        </w:r>
        <w:r w:rsidR="00B177F5">
          <w:rPr>
            <w:noProof/>
            <w:webHidden/>
          </w:rPr>
          <w:t>65</w:t>
        </w:r>
        <w:r w:rsidR="00873D87">
          <w:rPr>
            <w:noProof/>
            <w:webHidden/>
          </w:rPr>
          <w:fldChar w:fldCharType="end"/>
        </w:r>
      </w:hyperlink>
    </w:p>
    <w:p w14:paraId="3F6E6047" w14:textId="36AB1CB5"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83" w:history="1">
        <w:r w:rsidR="00873D87" w:rsidRPr="00310FAB">
          <w:rPr>
            <w:rStyle w:val="Hyperlink"/>
            <w:noProof/>
          </w:rPr>
          <w:t>Figure 29 Regional groundwater model domains</w:t>
        </w:r>
        <w:r w:rsidR="00873D87">
          <w:rPr>
            <w:noProof/>
            <w:webHidden/>
          </w:rPr>
          <w:tab/>
        </w:r>
        <w:r w:rsidR="00873D87">
          <w:rPr>
            <w:noProof/>
            <w:webHidden/>
          </w:rPr>
          <w:fldChar w:fldCharType="begin"/>
        </w:r>
        <w:r w:rsidR="00873D87">
          <w:rPr>
            <w:noProof/>
            <w:webHidden/>
          </w:rPr>
          <w:instrText xml:space="preserve"> PAGEREF _Toc38990483 \h </w:instrText>
        </w:r>
        <w:r w:rsidR="00873D87">
          <w:rPr>
            <w:noProof/>
            <w:webHidden/>
          </w:rPr>
        </w:r>
        <w:r w:rsidR="00873D87">
          <w:rPr>
            <w:noProof/>
            <w:webHidden/>
          </w:rPr>
          <w:fldChar w:fldCharType="separate"/>
        </w:r>
        <w:r w:rsidR="00B177F5">
          <w:rPr>
            <w:noProof/>
            <w:webHidden/>
          </w:rPr>
          <w:t>72</w:t>
        </w:r>
        <w:r w:rsidR="00873D87">
          <w:rPr>
            <w:noProof/>
            <w:webHidden/>
          </w:rPr>
          <w:fldChar w:fldCharType="end"/>
        </w:r>
      </w:hyperlink>
    </w:p>
    <w:p w14:paraId="0870619B" w14:textId="0B2E2F32"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84" w:history="1">
        <w:r w:rsidR="00873D87" w:rsidRPr="00310FAB">
          <w:rPr>
            <w:rStyle w:val="Hyperlink"/>
            <w:noProof/>
          </w:rPr>
          <w:t>Figure 30 Water balance for Georgina and southern Daly basins to Mataranka Thermal Pools</w:t>
        </w:r>
        <w:r w:rsidR="00873D87">
          <w:rPr>
            <w:noProof/>
            <w:webHidden/>
          </w:rPr>
          <w:tab/>
        </w:r>
        <w:r w:rsidR="00873D87">
          <w:rPr>
            <w:noProof/>
            <w:webHidden/>
          </w:rPr>
          <w:fldChar w:fldCharType="begin"/>
        </w:r>
        <w:r w:rsidR="00873D87">
          <w:rPr>
            <w:noProof/>
            <w:webHidden/>
          </w:rPr>
          <w:instrText xml:space="preserve"> PAGEREF _Toc38990484 \h </w:instrText>
        </w:r>
        <w:r w:rsidR="00873D87">
          <w:rPr>
            <w:noProof/>
            <w:webHidden/>
          </w:rPr>
        </w:r>
        <w:r w:rsidR="00873D87">
          <w:rPr>
            <w:noProof/>
            <w:webHidden/>
          </w:rPr>
          <w:fldChar w:fldCharType="separate"/>
        </w:r>
        <w:r w:rsidR="00B177F5">
          <w:rPr>
            <w:noProof/>
            <w:webHidden/>
          </w:rPr>
          <w:t>73</w:t>
        </w:r>
        <w:r w:rsidR="00873D87">
          <w:rPr>
            <w:noProof/>
            <w:webHidden/>
          </w:rPr>
          <w:fldChar w:fldCharType="end"/>
        </w:r>
      </w:hyperlink>
    </w:p>
    <w:p w14:paraId="5A5D3AAB" w14:textId="63F8DF41"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85" w:history="1">
        <w:r w:rsidR="00873D87" w:rsidRPr="00310FAB">
          <w:rPr>
            <w:rStyle w:val="Hyperlink"/>
            <w:noProof/>
          </w:rPr>
          <w:t>Figure 31 Spatial distribution of electrical conductivity (EC) measured in springs and dissolved methane (CH</w:t>
        </w:r>
        <w:r w:rsidR="00873D87" w:rsidRPr="00310FAB">
          <w:rPr>
            <w:rStyle w:val="Hyperlink"/>
            <w:noProof/>
            <w:position w:val="-2"/>
            <w:vertAlign w:val="subscript"/>
          </w:rPr>
          <w:t>4</w:t>
        </w:r>
        <w:r w:rsidR="00873D87" w:rsidRPr="00310FAB">
          <w:rPr>
            <w:rStyle w:val="Hyperlink"/>
            <w:noProof/>
          </w:rPr>
          <w:t>) in groundwater across the Beetaloo GBA extended region with representation of the footprint of the alluvium and groundwater-dependent ecosystems</w:t>
        </w:r>
        <w:r w:rsidR="00873D87">
          <w:rPr>
            <w:noProof/>
            <w:webHidden/>
          </w:rPr>
          <w:tab/>
        </w:r>
        <w:r w:rsidR="00873D87">
          <w:rPr>
            <w:noProof/>
            <w:webHidden/>
          </w:rPr>
          <w:fldChar w:fldCharType="begin"/>
        </w:r>
        <w:r w:rsidR="00873D87">
          <w:rPr>
            <w:noProof/>
            <w:webHidden/>
          </w:rPr>
          <w:instrText xml:space="preserve"> PAGEREF _Toc38990485 \h </w:instrText>
        </w:r>
        <w:r w:rsidR="00873D87">
          <w:rPr>
            <w:noProof/>
            <w:webHidden/>
          </w:rPr>
        </w:r>
        <w:r w:rsidR="00873D87">
          <w:rPr>
            <w:noProof/>
            <w:webHidden/>
          </w:rPr>
          <w:fldChar w:fldCharType="separate"/>
        </w:r>
        <w:r w:rsidR="00B177F5">
          <w:rPr>
            <w:noProof/>
            <w:webHidden/>
          </w:rPr>
          <w:t>77</w:t>
        </w:r>
        <w:r w:rsidR="00873D87">
          <w:rPr>
            <w:noProof/>
            <w:webHidden/>
          </w:rPr>
          <w:fldChar w:fldCharType="end"/>
        </w:r>
      </w:hyperlink>
    </w:p>
    <w:p w14:paraId="45A09746" w14:textId="6B0EAB8F"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86" w:history="1">
        <w:r w:rsidR="00873D87" w:rsidRPr="00310FAB">
          <w:rPr>
            <w:rStyle w:val="Hyperlink"/>
            <w:noProof/>
          </w:rPr>
          <w:t>Figure 32 Cluster membership of aquifers and surface water in the Beetaloo GBA extended region</w:t>
        </w:r>
        <w:r w:rsidR="00873D87">
          <w:rPr>
            <w:noProof/>
            <w:webHidden/>
          </w:rPr>
          <w:tab/>
        </w:r>
        <w:r w:rsidR="00873D87">
          <w:rPr>
            <w:noProof/>
            <w:webHidden/>
          </w:rPr>
          <w:fldChar w:fldCharType="begin"/>
        </w:r>
        <w:r w:rsidR="00873D87">
          <w:rPr>
            <w:noProof/>
            <w:webHidden/>
          </w:rPr>
          <w:instrText xml:space="preserve"> PAGEREF _Toc38990486 \h </w:instrText>
        </w:r>
        <w:r w:rsidR="00873D87">
          <w:rPr>
            <w:noProof/>
            <w:webHidden/>
          </w:rPr>
        </w:r>
        <w:r w:rsidR="00873D87">
          <w:rPr>
            <w:noProof/>
            <w:webHidden/>
          </w:rPr>
          <w:fldChar w:fldCharType="separate"/>
        </w:r>
        <w:r w:rsidR="00B177F5">
          <w:rPr>
            <w:noProof/>
            <w:webHidden/>
          </w:rPr>
          <w:t>78</w:t>
        </w:r>
        <w:r w:rsidR="00873D87">
          <w:rPr>
            <w:noProof/>
            <w:webHidden/>
          </w:rPr>
          <w:fldChar w:fldCharType="end"/>
        </w:r>
      </w:hyperlink>
    </w:p>
    <w:p w14:paraId="3CD83A83" w14:textId="05F77908"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87" w:history="1">
        <w:r w:rsidR="00873D87" w:rsidRPr="00310FAB">
          <w:rPr>
            <w:rStyle w:val="Hyperlink"/>
            <w:noProof/>
          </w:rPr>
          <w:t>Figure 33 Spatial distribution of different clusters for groundwater and surface water samples across the Beetaloo GBA extended region</w:t>
        </w:r>
        <w:r w:rsidR="00873D87">
          <w:rPr>
            <w:noProof/>
            <w:webHidden/>
          </w:rPr>
          <w:tab/>
        </w:r>
        <w:r w:rsidR="00873D87">
          <w:rPr>
            <w:noProof/>
            <w:webHidden/>
          </w:rPr>
          <w:fldChar w:fldCharType="begin"/>
        </w:r>
        <w:r w:rsidR="00873D87">
          <w:rPr>
            <w:noProof/>
            <w:webHidden/>
          </w:rPr>
          <w:instrText xml:space="preserve"> PAGEREF _Toc38990487 \h </w:instrText>
        </w:r>
        <w:r w:rsidR="00873D87">
          <w:rPr>
            <w:noProof/>
            <w:webHidden/>
          </w:rPr>
        </w:r>
        <w:r w:rsidR="00873D87">
          <w:rPr>
            <w:noProof/>
            <w:webHidden/>
          </w:rPr>
          <w:fldChar w:fldCharType="separate"/>
        </w:r>
        <w:r w:rsidR="00B177F5">
          <w:rPr>
            <w:noProof/>
            <w:webHidden/>
          </w:rPr>
          <w:t>80</w:t>
        </w:r>
        <w:r w:rsidR="00873D87">
          <w:rPr>
            <w:noProof/>
            <w:webHidden/>
          </w:rPr>
          <w:fldChar w:fldCharType="end"/>
        </w:r>
      </w:hyperlink>
    </w:p>
    <w:p w14:paraId="4E498483" w14:textId="29EC3068"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88" w:history="1">
        <w:r w:rsidR="00873D87" w:rsidRPr="00310FAB">
          <w:rPr>
            <w:rStyle w:val="Hyperlink"/>
            <w:noProof/>
          </w:rPr>
          <w:t>Figure 34 Groundwater salinity in the Proterozoic units and Bukalara Sandstone</w:t>
        </w:r>
        <w:r w:rsidR="00873D87">
          <w:rPr>
            <w:noProof/>
            <w:webHidden/>
          </w:rPr>
          <w:tab/>
        </w:r>
        <w:r w:rsidR="00873D87">
          <w:rPr>
            <w:noProof/>
            <w:webHidden/>
          </w:rPr>
          <w:fldChar w:fldCharType="begin"/>
        </w:r>
        <w:r w:rsidR="00873D87">
          <w:rPr>
            <w:noProof/>
            <w:webHidden/>
          </w:rPr>
          <w:instrText xml:space="preserve"> PAGEREF _Toc38990488 \h </w:instrText>
        </w:r>
        <w:r w:rsidR="00873D87">
          <w:rPr>
            <w:noProof/>
            <w:webHidden/>
          </w:rPr>
        </w:r>
        <w:r w:rsidR="00873D87">
          <w:rPr>
            <w:noProof/>
            <w:webHidden/>
          </w:rPr>
          <w:fldChar w:fldCharType="separate"/>
        </w:r>
        <w:r w:rsidR="00B177F5">
          <w:rPr>
            <w:noProof/>
            <w:webHidden/>
          </w:rPr>
          <w:t>82</w:t>
        </w:r>
        <w:r w:rsidR="00873D87">
          <w:rPr>
            <w:noProof/>
            <w:webHidden/>
          </w:rPr>
          <w:fldChar w:fldCharType="end"/>
        </w:r>
      </w:hyperlink>
    </w:p>
    <w:p w14:paraId="756D7605" w14:textId="41A1DB51"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89" w:history="1">
        <w:r w:rsidR="00873D87" w:rsidRPr="00310FAB">
          <w:rPr>
            <w:rStyle w:val="Hyperlink"/>
            <w:noProof/>
          </w:rPr>
          <w:t>Figure 35 Piper diagram of stratigraphic units in the Beetaloo GBA region</w:t>
        </w:r>
        <w:r w:rsidR="00873D87">
          <w:rPr>
            <w:noProof/>
            <w:webHidden/>
          </w:rPr>
          <w:tab/>
        </w:r>
        <w:r w:rsidR="00873D87">
          <w:rPr>
            <w:noProof/>
            <w:webHidden/>
          </w:rPr>
          <w:fldChar w:fldCharType="begin"/>
        </w:r>
        <w:r w:rsidR="00873D87">
          <w:rPr>
            <w:noProof/>
            <w:webHidden/>
          </w:rPr>
          <w:instrText xml:space="preserve"> PAGEREF _Toc38990489 \h </w:instrText>
        </w:r>
        <w:r w:rsidR="00873D87">
          <w:rPr>
            <w:noProof/>
            <w:webHidden/>
          </w:rPr>
        </w:r>
        <w:r w:rsidR="00873D87">
          <w:rPr>
            <w:noProof/>
            <w:webHidden/>
          </w:rPr>
          <w:fldChar w:fldCharType="separate"/>
        </w:r>
        <w:r w:rsidR="00B177F5">
          <w:rPr>
            <w:noProof/>
            <w:webHidden/>
          </w:rPr>
          <w:t>83</w:t>
        </w:r>
        <w:r w:rsidR="00873D87">
          <w:rPr>
            <w:noProof/>
            <w:webHidden/>
          </w:rPr>
          <w:fldChar w:fldCharType="end"/>
        </w:r>
      </w:hyperlink>
    </w:p>
    <w:p w14:paraId="03559542" w14:textId="118BC043"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90" w:history="1">
        <w:r w:rsidR="00873D87" w:rsidRPr="00310FAB">
          <w:rPr>
            <w:rStyle w:val="Hyperlink"/>
            <w:noProof/>
          </w:rPr>
          <w:t>Figure 36 Salinity levels in the Cambrian Limestone Aquifer and Antrim Plateau Volcanics and equivalents</w:t>
        </w:r>
        <w:r w:rsidR="00873D87">
          <w:rPr>
            <w:noProof/>
            <w:webHidden/>
          </w:rPr>
          <w:tab/>
        </w:r>
        <w:r w:rsidR="00873D87">
          <w:rPr>
            <w:noProof/>
            <w:webHidden/>
          </w:rPr>
          <w:fldChar w:fldCharType="begin"/>
        </w:r>
        <w:r w:rsidR="00873D87">
          <w:rPr>
            <w:noProof/>
            <w:webHidden/>
          </w:rPr>
          <w:instrText xml:space="preserve"> PAGEREF _Toc38990490 \h </w:instrText>
        </w:r>
        <w:r w:rsidR="00873D87">
          <w:rPr>
            <w:noProof/>
            <w:webHidden/>
          </w:rPr>
        </w:r>
        <w:r w:rsidR="00873D87">
          <w:rPr>
            <w:noProof/>
            <w:webHidden/>
          </w:rPr>
          <w:fldChar w:fldCharType="separate"/>
        </w:r>
        <w:r w:rsidR="00B177F5">
          <w:rPr>
            <w:noProof/>
            <w:webHidden/>
          </w:rPr>
          <w:t>86</w:t>
        </w:r>
        <w:r w:rsidR="00873D87">
          <w:rPr>
            <w:noProof/>
            <w:webHidden/>
          </w:rPr>
          <w:fldChar w:fldCharType="end"/>
        </w:r>
      </w:hyperlink>
    </w:p>
    <w:p w14:paraId="054BA6C6" w14:textId="06BA03CF"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91" w:history="1">
        <w:r w:rsidR="00873D87" w:rsidRPr="00310FAB">
          <w:rPr>
            <w:rStyle w:val="Hyperlink"/>
            <w:noProof/>
          </w:rPr>
          <w:t>Figure 37 Colour-coded Piper diagram of the Cambrian Limestone Aquifer (CLA)</w:t>
        </w:r>
        <w:r w:rsidR="00873D87">
          <w:rPr>
            <w:noProof/>
            <w:webHidden/>
          </w:rPr>
          <w:tab/>
        </w:r>
        <w:r w:rsidR="00873D87">
          <w:rPr>
            <w:noProof/>
            <w:webHidden/>
          </w:rPr>
          <w:fldChar w:fldCharType="begin"/>
        </w:r>
        <w:r w:rsidR="00873D87">
          <w:rPr>
            <w:noProof/>
            <w:webHidden/>
          </w:rPr>
          <w:instrText xml:space="preserve"> PAGEREF _Toc38990491 \h </w:instrText>
        </w:r>
        <w:r w:rsidR="00873D87">
          <w:rPr>
            <w:noProof/>
            <w:webHidden/>
          </w:rPr>
        </w:r>
        <w:r w:rsidR="00873D87">
          <w:rPr>
            <w:noProof/>
            <w:webHidden/>
          </w:rPr>
          <w:fldChar w:fldCharType="separate"/>
        </w:r>
        <w:r w:rsidR="00B177F5">
          <w:rPr>
            <w:noProof/>
            <w:webHidden/>
          </w:rPr>
          <w:t>87</w:t>
        </w:r>
        <w:r w:rsidR="00873D87">
          <w:rPr>
            <w:noProof/>
            <w:webHidden/>
          </w:rPr>
          <w:fldChar w:fldCharType="end"/>
        </w:r>
      </w:hyperlink>
    </w:p>
    <w:p w14:paraId="4249AA55" w14:textId="4ECA4678"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92" w:history="1">
        <w:r w:rsidR="00873D87" w:rsidRPr="00310FAB">
          <w:rPr>
            <w:rStyle w:val="Hyperlink"/>
            <w:noProof/>
          </w:rPr>
          <w:t>Figure 38 Total dissolved solids (salinity levels) in Cenozoic and Cretaceous sediments (Carpentaria Basin)</w:t>
        </w:r>
        <w:r w:rsidR="00873D87">
          <w:rPr>
            <w:noProof/>
            <w:webHidden/>
          </w:rPr>
          <w:tab/>
        </w:r>
        <w:r w:rsidR="00873D87">
          <w:rPr>
            <w:noProof/>
            <w:webHidden/>
          </w:rPr>
          <w:fldChar w:fldCharType="begin"/>
        </w:r>
        <w:r w:rsidR="00873D87">
          <w:rPr>
            <w:noProof/>
            <w:webHidden/>
          </w:rPr>
          <w:instrText xml:space="preserve"> PAGEREF _Toc38990492 \h </w:instrText>
        </w:r>
        <w:r w:rsidR="00873D87">
          <w:rPr>
            <w:noProof/>
            <w:webHidden/>
          </w:rPr>
        </w:r>
        <w:r w:rsidR="00873D87">
          <w:rPr>
            <w:noProof/>
            <w:webHidden/>
          </w:rPr>
          <w:fldChar w:fldCharType="separate"/>
        </w:r>
        <w:r w:rsidR="00B177F5">
          <w:rPr>
            <w:noProof/>
            <w:webHidden/>
          </w:rPr>
          <w:t>89</w:t>
        </w:r>
        <w:r w:rsidR="00873D87">
          <w:rPr>
            <w:noProof/>
            <w:webHidden/>
          </w:rPr>
          <w:fldChar w:fldCharType="end"/>
        </w:r>
      </w:hyperlink>
    </w:p>
    <w:p w14:paraId="1F1865C2" w14:textId="77ACB121"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93" w:history="1">
        <w:r w:rsidR="00873D87" w:rsidRPr="00310FAB">
          <w:rPr>
            <w:rStyle w:val="Hyperlink"/>
            <w:noProof/>
          </w:rPr>
          <w:t>Figure 39 Location of springs near the Beetaloo GBA region, colour coded by the temperature of groundwater</w:t>
        </w:r>
        <w:r w:rsidR="00873D87">
          <w:rPr>
            <w:noProof/>
            <w:webHidden/>
          </w:rPr>
          <w:tab/>
        </w:r>
        <w:r w:rsidR="00873D87">
          <w:rPr>
            <w:noProof/>
            <w:webHidden/>
          </w:rPr>
          <w:fldChar w:fldCharType="begin"/>
        </w:r>
        <w:r w:rsidR="00873D87">
          <w:rPr>
            <w:noProof/>
            <w:webHidden/>
          </w:rPr>
          <w:instrText xml:space="preserve"> PAGEREF _Toc38990493 \h </w:instrText>
        </w:r>
        <w:r w:rsidR="00873D87">
          <w:rPr>
            <w:noProof/>
            <w:webHidden/>
          </w:rPr>
        </w:r>
        <w:r w:rsidR="00873D87">
          <w:rPr>
            <w:noProof/>
            <w:webHidden/>
          </w:rPr>
          <w:fldChar w:fldCharType="separate"/>
        </w:r>
        <w:r w:rsidR="00B177F5">
          <w:rPr>
            <w:noProof/>
            <w:webHidden/>
          </w:rPr>
          <w:t>92</w:t>
        </w:r>
        <w:r w:rsidR="00873D87">
          <w:rPr>
            <w:noProof/>
            <w:webHidden/>
          </w:rPr>
          <w:fldChar w:fldCharType="end"/>
        </w:r>
      </w:hyperlink>
    </w:p>
    <w:p w14:paraId="06048604" w14:textId="1BEEED66"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94" w:history="1">
        <w:r w:rsidR="00873D87" w:rsidRPr="00310FAB">
          <w:rPr>
            <w:rStyle w:val="Hyperlink"/>
            <w:noProof/>
          </w:rPr>
          <w:t>Figure 40 Groundwater-dependent ecosystems</w:t>
        </w:r>
        <w:r w:rsidR="00873D87">
          <w:rPr>
            <w:noProof/>
            <w:webHidden/>
          </w:rPr>
          <w:tab/>
        </w:r>
        <w:r w:rsidR="00873D87">
          <w:rPr>
            <w:noProof/>
            <w:webHidden/>
          </w:rPr>
          <w:fldChar w:fldCharType="begin"/>
        </w:r>
        <w:r w:rsidR="00873D87">
          <w:rPr>
            <w:noProof/>
            <w:webHidden/>
          </w:rPr>
          <w:instrText xml:space="preserve"> PAGEREF _Toc38990494 \h </w:instrText>
        </w:r>
        <w:r w:rsidR="00873D87">
          <w:rPr>
            <w:noProof/>
            <w:webHidden/>
          </w:rPr>
        </w:r>
        <w:r w:rsidR="00873D87">
          <w:rPr>
            <w:noProof/>
            <w:webHidden/>
          </w:rPr>
          <w:fldChar w:fldCharType="separate"/>
        </w:r>
        <w:r w:rsidR="00B177F5">
          <w:rPr>
            <w:noProof/>
            <w:webHidden/>
          </w:rPr>
          <w:t>93</w:t>
        </w:r>
        <w:r w:rsidR="00873D87">
          <w:rPr>
            <w:noProof/>
            <w:webHidden/>
          </w:rPr>
          <w:fldChar w:fldCharType="end"/>
        </w:r>
      </w:hyperlink>
    </w:p>
    <w:p w14:paraId="76960651" w14:textId="44E295F2"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95" w:history="1">
        <w:r w:rsidR="00873D87" w:rsidRPr="00310FAB">
          <w:rPr>
            <w:rStyle w:val="Hyperlink"/>
            <w:noProof/>
          </w:rPr>
          <w:t>Figure 41 Filtered Water Observations from Space (WOfs) for the Beetaloo GBA region</w:t>
        </w:r>
        <w:r w:rsidR="00873D87">
          <w:rPr>
            <w:noProof/>
            <w:webHidden/>
          </w:rPr>
          <w:tab/>
        </w:r>
        <w:r w:rsidR="00873D87">
          <w:rPr>
            <w:noProof/>
            <w:webHidden/>
          </w:rPr>
          <w:fldChar w:fldCharType="begin"/>
        </w:r>
        <w:r w:rsidR="00873D87">
          <w:rPr>
            <w:noProof/>
            <w:webHidden/>
          </w:rPr>
          <w:instrText xml:space="preserve"> PAGEREF _Toc38990495 \h </w:instrText>
        </w:r>
        <w:r w:rsidR="00873D87">
          <w:rPr>
            <w:noProof/>
            <w:webHidden/>
          </w:rPr>
        </w:r>
        <w:r w:rsidR="00873D87">
          <w:rPr>
            <w:noProof/>
            <w:webHidden/>
          </w:rPr>
          <w:fldChar w:fldCharType="separate"/>
        </w:r>
        <w:r w:rsidR="00B177F5">
          <w:rPr>
            <w:noProof/>
            <w:webHidden/>
          </w:rPr>
          <w:t>94</w:t>
        </w:r>
        <w:r w:rsidR="00873D87">
          <w:rPr>
            <w:noProof/>
            <w:webHidden/>
          </w:rPr>
          <w:fldChar w:fldCharType="end"/>
        </w:r>
      </w:hyperlink>
    </w:p>
    <w:p w14:paraId="747D3A79" w14:textId="4EFAE680"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96" w:history="1">
        <w:r w:rsidR="00873D87" w:rsidRPr="00310FAB">
          <w:rPr>
            <w:rStyle w:val="Hyperlink"/>
            <w:noProof/>
          </w:rPr>
          <w:t>Figure 42 90th percentile Tasselled Cap Wetness (TCW) for the Beetaloo GBA region</w:t>
        </w:r>
        <w:r w:rsidR="00873D87">
          <w:rPr>
            <w:noProof/>
            <w:webHidden/>
          </w:rPr>
          <w:tab/>
        </w:r>
        <w:r w:rsidR="00873D87">
          <w:rPr>
            <w:noProof/>
            <w:webHidden/>
          </w:rPr>
          <w:fldChar w:fldCharType="begin"/>
        </w:r>
        <w:r w:rsidR="00873D87">
          <w:rPr>
            <w:noProof/>
            <w:webHidden/>
          </w:rPr>
          <w:instrText xml:space="preserve"> PAGEREF _Toc38990496 \h </w:instrText>
        </w:r>
        <w:r w:rsidR="00873D87">
          <w:rPr>
            <w:noProof/>
            <w:webHidden/>
          </w:rPr>
        </w:r>
        <w:r w:rsidR="00873D87">
          <w:rPr>
            <w:noProof/>
            <w:webHidden/>
          </w:rPr>
          <w:fldChar w:fldCharType="separate"/>
        </w:r>
        <w:r w:rsidR="00B177F5">
          <w:rPr>
            <w:noProof/>
            <w:webHidden/>
          </w:rPr>
          <w:t>97</w:t>
        </w:r>
        <w:r w:rsidR="00873D87">
          <w:rPr>
            <w:noProof/>
            <w:webHidden/>
          </w:rPr>
          <w:fldChar w:fldCharType="end"/>
        </w:r>
      </w:hyperlink>
    </w:p>
    <w:p w14:paraId="03392747" w14:textId="1120A91D"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97" w:history="1">
        <w:r w:rsidR="00873D87" w:rsidRPr="00310FAB">
          <w:rPr>
            <w:rStyle w:val="Hyperlink"/>
            <w:noProof/>
          </w:rPr>
          <w:t>Figure 43 Beetaloo GBA region – surface geology, structures, footprint of Figure 44, Figure 45 and Figure 46</w:t>
        </w:r>
        <w:r w:rsidR="00873D87">
          <w:rPr>
            <w:noProof/>
            <w:webHidden/>
          </w:rPr>
          <w:tab/>
        </w:r>
        <w:r w:rsidR="00873D87">
          <w:rPr>
            <w:noProof/>
            <w:webHidden/>
          </w:rPr>
          <w:fldChar w:fldCharType="begin"/>
        </w:r>
        <w:r w:rsidR="00873D87">
          <w:rPr>
            <w:noProof/>
            <w:webHidden/>
          </w:rPr>
          <w:instrText xml:space="preserve"> PAGEREF _Toc38990497 \h </w:instrText>
        </w:r>
        <w:r w:rsidR="00873D87">
          <w:rPr>
            <w:noProof/>
            <w:webHidden/>
          </w:rPr>
        </w:r>
        <w:r w:rsidR="00873D87">
          <w:rPr>
            <w:noProof/>
            <w:webHidden/>
          </w:rPr>
          <w:fldChar w:fldCharType="separate"/>
        </w:r>
        <w:r w:rsidR="00B177F5">
          <w:rPr>
            <w:noProof/>
            <w:webHidden/>
          </w:rPr>
          <w:t>102</w:t>
        </w:r>
        <w:r w:rsidR="00873D87">
          <w:rPr>
            <w:noProof/>
            <w:webHidden/>
          </w:rPr>
          <w:fldChar w:fldCharType="end"/>
        </w:r>
      </w:hyperlink>
    </w:p>
    <w:p w14:paraId="42A470E3" w14:textId="21A94CA6"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98" w:history="1">
        <w:r w:rsidR="00873D87" w:rsidRPr="00310FAB">
          <w:rPr>
            <w:rStyle w:val="Hyperlink"/>
            <w:noProof/>
          </w:rPr>
          <w:t>Figure 44 Cross-section C-C’ with west–east orientation through the western Beetaloo GBA region and highlighting the potential for stratigraphic contact between possible gas play stressors and overlying aquifers and assets</w:t>
        </w:r>
        <w:r w:rsidR="00873D87">
          <w:rPr>
            <w:noProof/>
            <w:webHidden/>
          </w:rPr>
          <w:tab/>
        </w:r>
        <w:r w:rsidR="00873D87">
          <w:rPr>
            <w:noProof/>
            <w:webHidden/>
          </w:rPr>
          <w:fldChar w:fldCharType="begin"/>
        </w:r>
        <w:r w:rsidR="00873D87">
          <w:rPr>
            <w:noProof/>
            <w:webHidden/>
          </w:rPr>
          <w:instrText xml:space="preserve"> PAGEREF _Toc38990498 \h </w:instrText>
        </w:r>
        <w:r w:rsidR="00873D87">
          <w:rPr>
            <w:noProof/>
            <w:webHidden/>
          </w:rPr>
        </w:r>
        <w:r w:rsidR="00873D87">
          <w:rPr>
            <w:noProof/>
            <w:webHidden/>
          </w:rPr>
          <w:fldChar w:fldCharType="separate"/>
        </w:r>
        <w:r w:rsidR="00B177F5">
          <w:rPr>
            <w:noProof/>
            <w:webHidden/>
          </w:rPr>
          <w:t>105</w:t>
        </w:r>
        <w:r w:rsidR="00873D87">
          <w:rPr>
            <w:noProof/>
            <w:webHidden/>
          </w:rPr>
          <w:fldChar w:fldCharType="end"/>
        </w:r>
      </w:hyperlink>
    </w:p>
    <w:p w14:paraId="398B80BF" w14:textId="2B94B2DB"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499" w:history="1">
        <w:r w:rsidR="00873D87" w:rsidRPr="00310FAB">
          <w:rPr>
            <w:rStyle w:val="Hyperlink"/>
            <w:noProof/>
          </w:rPr>
          <w:t>Figure 45 Cross-section A-A’ with north-west – south-east orientation through Beetaloo GBA region, intersecting major geological structures within the Beetaloo GBA region, including Daly Waters High and five potential hydrological connections for water or gas migration</w:t>
        </w:r>
        <w:r w:rsidR="00873D87">
          <w:rPr>
            <w:noProof/>
            <w:webHidden/>
          </w:rPr>
          <w:tab/>
        </w:r>
        <w:r w:rsidR="00873D87">
          <w:rPr>
            <w:noProof/>
            <w:webHidden/>
          </w:rPr>
          <w:fldChar w:fldCharType="begin"/>
        </w:r>
        <w:r w:rsidR="00873D87">
          <w:rPr>
            <w:noProof/>
            <w:webHidden/>
          </w:rPr>
          <w:instrText xml:space="preserve"> PAGEREF _Toc38990499 \h </w:instrText>
        </w:r>
        <w:r w:rsidR="00873D87">
          <w:rPr>
            <w:noProof/>
            <w:webHidden/>
          </w:rPr>
        </w:r>
        <w:r w:rsidR="00873D87">
          <w:rPr>
            <w:noProof/>
            <w:webHidden/>
          </w:rPr>
          <w:fldChar w:fldCharType="separate"/>
        </w:r>
        <w:r w:rsidR="00B177F5">
          <w:rPr>
            <w:noProof/>
            <w:webHidden/>
          </w:rPr>
          <w:t>108</w:t>
        </w:r>
        <w:r w:rsidR="00873D87">
          <w:rPr>
            <w:noProof/>
            <w:webHidden/>
          </w:rPr>
          <w:fldChar w:fldCharType="end"/>
        </w:r>
      </w:hyperlink>
    </w:p>
    <w:p w14:paraId="37D6E66B" w14:textId="0B28AACE"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500" w:history="1">
        <w:r w:rsidR="00873D87" w:rsidRPr="00310FAB">
          <w:rPr>
            <w:rStyle w:val="Hyperlink"/>
            <w:noProof/>
          </w:rPr>
          <w:t>Figure 46 Cross-section B-B’, with west–east orientation, across the Beetaloo GBA region, showing five potential hydrological connections for water or gas migration</w:t>
        </w:r>
        <w:r w:rsidR="00873D87">
          <w:rPr>
            <w:noProof/>
            <w:webHidden/>
          </w:rPr>
          <w:tab/>
        </w:r>
        <w:r w:rsidR="00873D87">
          <w:rPr>
            <w:noProof/>
            <w:webHidden/>
          </w:rPr>
          <w:fldChar w:fldCharType="begin"/>
        </w:r>
        <w:r w:rsidR="00873D87">
          <w:rPr>
            <w:noProof/>
            <w:webHidden/>
          </w:rPr>
          <w:instrText xml:space="preserve"> PAGEREF _Toc38990500 \h </w:instrText>
        </w:r>
        <w:r w:rsidR="00873D87">
          <w:rPr>
            <w:noProof/>
            <w:webHidden/>
          </w:rPr>
        </w:r>
        <w:r w:rsidR="00873D87">
          <w:rPr>
            <w:noProof/>
            <w:webHidden/>
          </w:rPr>
          <w:fldChar w:fldCharType="separate"/>
        </w:r>
        <w:r w:rsidR="00B177F5">
          <w:rPr>
            <w:noProof/>
            <w:webHidden/>
          </w:rPr>
          <w:t>109</w:t>
        </w:r>
        <w:r w:rsidR="00873D87">
          <w:rPr>
            <w:noProof/>
            <w:webHidden/>
          </w:rPr>
          <w:fldChar w:fldCharType="end"/>
        </w:r>
      </w:hyperlink>
    </w:p>
    <w:p w14:paraId="7B16F57B" w14:textId="70EE109E" w:rsidR="00A943B2" w:rsidRPr="00BB16D0" w:rsidRDefault="00365B0F" w:rsidP="00BB16D0">
      <w:pPr>
        <w:pStyle w:val="TOCHeading"/>
      </w:pPr>
      <w:r w:rsidRPr="4ED27E3C">
        <w:fldChar w:fldCharType="end"/>
      </w:r>
      <w:r w:rsidR="004D139E" w:rsidRPr="00BB16D0">
        <w:t>T</w:t>
      </w:r>
      <w:r w:rsidR="00A943B2" w:rsidRPr="00BB16D0">
        <w:t>ables</w:t>
      </w:r>
    </w:p>
    <w:p w14:paraId="20AF3C3C" w14:textId="108CA3C8" w:rsidR="00873D87" w:rsidRDefault="00365B0F">
      <w:pPr>
        <w:pStyle w:val="TableofFigures"/>
        <w:rPr>
          <w:rFonts w:asciiTheme="minorHAnsi" w:eastAsiaTheme="minorEastAsia" w:hAnsiTheme="minorHAnsi" w:cstheme="minorBidi"/>
          <w:noProof/>
          <w:color w:val="auto"/>
          <w:sz w:val="22"/>
          <w:szCs w:val="22"/>
          <w:lang w:val="en-US" w:eastAsia="en-US"/>
        </w:rPr>
      </w:pPr>
      <w:r>
        <w:fldChar w:fldCharType="begin"/>
      </w:r>
      <w:r>
        <w:instrText xml:space="preserve"> TOC \h \z \c "Table" </w:instrText>
      </w:r>
      <w:r>
        <w:fldChar w:fldCharType="separate"/>
      </w:r>
      <w:hyperlink w:anchor="_Toc38990501" w:history="1">
        <w:r w:rsidR="00873D87" w:rsidRPr="004D1DD6">
          <w:rPr>
            <w:rStyle w:val="Hyperlink"/>
            <w:noProof/>
          </w:rPr>
          <w:t>Table 1 Calculated hydraulic head from available drill stem test data</w:t>
        </w:r>
        <w:r w:rsidR="00873D87">
          <w:rPr>
            <w:noProof/>
            <w:webHidden/>
          </w:rPr>
          <w:tab/>
        </w:r>
        <w:r w:rsidR="00873D87">
          <w:rPr>
            <w:noProof/>
            <w:webHidden/>
          </w:rPr>
          <w:fldChar w:fldCharType="begin"/>
        </w:r>
        <w:r w:rsidR="00873D87">
          <w:rPr>
            <w:noProof/>
            <w:webHidden/>
          </w:rPr>
          <w:instrText xml:space="preserve"> PAGEREF _Toc38990501 \h </w:instrText>
        </w:r>
        <w:r w:rsidR="00873D87">
          <w:rPr>
            <w:noProof/>
            <w:webHidden/>
          </w:rPr>
        </w:r>
        <w:r w:rsidR="00873D87">
          <w:rPr>
            <w:noProof/>
            <w:webHidden/>
          </w:rPr>
          <w:fldChar w:fldCharType="separate"/>
        </w:r>
        <w:r w:rsidR="00B177F5">
          <w:rPr>
            <w:noProof/>
            <w:webHidden/>
          </w:rPr>
          <w:t>10</w:t>
        </w:r>
        <w:r w:rsidR="00873D87">
          <w:rPr>
            <w:noProof/>
            <w:webHidden/>
          </w:rPr>
          <w:fldChar w:fldCharType="end"/>
        </w:r>
      </w:hyperlink>
    </w:p>
    <w:p w14:paraId="7DA68B48" w14:textId="413D55AC"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502" w:history="1">
        <w:r w:rsidR="00873D87" w:rsidRPr="004D1DD6">
          <w:rPr>
            <w:rStyle w:val="Hyperlink"/>
            <w:noProof/>
          </w:rPr>
          <w:t>Table 2 Water flows recorded into petroleum wells for the Proterozoic units</w:t>
        </w:r>
        <w:r w:rsidR="00873D87">
          <w:rPr>
            <w:noProof/>
            <w:webHidden/>
          </w:rPr>
          <w:tab/>
        </w:r>
        <w:r w:rsidR="00873D87">
          <w:rPr>
            <w:noProof/>
            <w:webHidden/>
          </w:rPr>
          <w:fldChar w:fldCharType="begin"/>
        </w:r>
        <w:r w:rsidR="00873D87">
          <w:rPr>
            <w:noProof/>
            <w:webHidden/>
          </w:rPr>
          <w:instrText xml:space="preserve"> PAGEREF _Toc38990502 \h </w:instrText>
        </w:r>
        <w:r w:rsidR="00873D87">
          <w:rPr>
            <w:noProof/>
            <w:webHidden/>
          </w:rPr>
        </w:r>
        <w:r w:rsidR="00873D87">
          <w:rPr>
            <w:noProof/>
            <w:webHidden/>
          </w:rPr>
          <w:fldChar w:fldCharType="separate"/>
        </w:r>
        <w:r w:rsidR="00B177F5">
          <w:rPr>
            <w:noProof/>
            <w:webHidden/>
          </w:rPr>
          <w:t>39</w:t>
        </w:r>
        <w:r w:rsidR="00873D87">
          <w:rPr>
            <w:noProof/>
            <w:webHidden/>
          </w:rPr>
          <w:fldChar w:fldCharType="end"/>
        </w:r>
      </w:hyperlink>
    </w:p>
    <w:p w14:paraId="793A3FEA" w14:textId="1E76EE16"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503" w:history="1">
        <w:r w:rsidR="00873D87" w:rsidRPr="004D1DD6">
          <w:rPr>
            <w:rStyle w:val="Hyperlink"/>
            <w:noProof/>
          </w:rPr>
          <w:t>Table 3 Water flows recorded into petroleum wells for the Jamison and Bukalara sandstones</w:t>
        </w:r>
        <w:r w:rsidR="00873D87">
          <w:rPr>
            <w:noProof/>
            <w:webHidden/>
          </w:rPr>
          <w:tab/>
        </w:r>
        <w:r w:rsidR="00873D87">
          <w:rPr>
            <w:noProof/>
            <w:webHidden/>
          </w:rPr>
          <w:fldChar w:fldCharType="begin"/>
        </w:r>
        <w:r w:rsidR="00873D87">
          <w:rPr>
            <w:noProof/>
            <w:webHidden/>
          </w:rPr>
          <w:instrText xml:space="preserve"> PAGEREF _Toc38990503 \h </w:instrText>
        </w:r>
        <w:r w:rsidR="00873D87">
          <w:rPr>
            <w:noProof/>
            <w:webHidden/>
          </w:rPr>
        </w:r>
        <w:r w:rsidR="00873D87">
          <w:rPr>
            <w:noProof/>
            <w:webHidden/>
          </w:rPr>
          <w:fldChar w:fldCharType="separate"/>
        </w:r>
        <w:r w:rsidR="00B177F5">
          <w:rPr>
            <w:noProof/>
            <w:webHidden/>
          </w:rPr>
          <w:t>43</w:t>
        </w:r>
        <w:r w:rsidR="00873D87">
          <w:rPr>
            <w:noProof/>
            <w:webHidden/>
          </w:rPr>
          <w:fldChar w:fldCharType="end"/>
        </w:r>
      </w:hyperlink>
    </w:p>
    <w:p w14:paraId="4AB2F077" w14:textId="1EB0A24C"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504" w:history="1">
        <w:r w:rsidR="00873D87" w:rsidRPr="004D1DD6">
          <w:rPr>
            <w:rStyle w:val="Hyperlink"/>
            <w:noProof/>
          </w:rPr>
          <w:t>Table 4 Water information from petroleum wells for the Antrim Plateau Volcanics</w:t>
        </w:r>
        <w:r w:rsidR="00873D87">
          <w:rPr>
            <w:noProof/>
            <w:webHidden/>
          </w:rPr>
          <w:tab/>
        </w:r>
        <w:r w:rsidR="00873D87">
          <w:rPr>
            <w:noProof/>
            <w:webHidden/>
          </w:rPr>
          <w:fldChar w:fldCharType="begin"/>
        </w:r>
        <w:r w:rsidR="00873D87">
          <w:rPr>
            <w:noProof/>
            <w:webHidden/>
          </w:rPr>
          <w:instrText xml:space="preserve"> PAGEREF _Toc38990504 \h </w:instrText>
        </w:r>
        <w:r w:rsidR="00873D87">
          <w:rPr>
            <w:noProof/>
            <w:webHidden/>
          </w:rPr>
        </w:r>
        <w:r w:rsidR="00873D87">
          <w:rPr>
            <w:noProof/>
            <w:webHidden/>
          </w:rPr>
          <w:fldChar w:fldCharType="separate"/>
        </w:r>
        <w:r w:rsidR="00B177F5">
          <w:rPr>
            <w:noProof/>
            <w:webHidden/>
          </w:rPr>
          <w:t>45</w:t>
        </w:r>
        <w:r w:rsidR="00873D87">
          <w:rPr>
            <w:noProof/>
            <w:webHidden/>
          </w:rPr>
          <w:fldChar w:fldCharType="end"/>
        </w:r>
      </w:hyperlink>
    </w:p>
    <w:p w14:paraId="4DBFD3D4" w14:textId="672FCBE2"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505" w:history="1">
        <w:r w:rsidR="00873D87" w:rsidRPr="004D1DD6">
          <w:rPr>
            <w:rStyle w:val="Hyperlink"/>
            <w:noProof/>
          </w:rPr>
          <w:t>Table 5 Groundwater well aquifer designation statistics for Figure 18</w:t>
        </w:r>
        <w:r w:rsidR="00873D87">
          <w:rPr>
            <w:noProof/>
            <w:webHidden/>
          </w:rPr>
          <w:tab/>
        </w:r>
        <w:r w:rsidR="00873D87">
          <w:rPr>
            <w:noProof/>
            <w:webHidden/>
          </w:rPr>
          <w:fldChar w:fldCharType="begin"/>
        </w:r>
        <w:r w:rsidR="00873D87">
          <w:rPr>
            <w:noProof/>
            <w:webHidden/>
          </w:rPr>
          <w:instrText xml:space="preserve"> PAGEREF _Toc38990505 \h </w:instrText>
        </w:r>
        <w:r w:rsidR="00873D87">
          <w:rPr>
            <w:noProof/>
            <w:webHidden/>
          </w:rPr>
        </w:r>
        <w:r w:rsidR="00873D87">
          <w:rPr>
            <w:noProof/>
            <w:webHidden/>
          </w:rPr>
          <w:fldChar w:fldCharType="separate"/>
        </w:r>
        <w:r w:rsidR="00B177F5">
          <w:rPr>
            <w:noProof/>
            <w:webHidden/>
          </w:rPr>
          <w:t>55</w:t>
        </w:r>
        <w:r w:rsidR="00873D87">
          <w:rPr>
            <w:noProof/>
            <w:webHidden/>
          </w:rPr>
          <w:fldChar w:fldCharType="end"/>
        </w:r>
      </w:hyperlink>
    </w:p>
    <w:p w14:paraId="532E5A9C" w14:textId="2F25B14A"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506" w:history="1">
        <w:r w:rsidR="00873D87" w:rsidRPr="004D1DD6">
          <w:rPr>
            <w:rStyle w:val="Hyperlink"/>
            <w:noProof/>
          </w:rPr>
          <w:t>Table 6 Hydrochemistry of groundwater samples from the Beetaloo GBA region and surrounds</w:t>
        </w:r>
        <w:r w:rsidR="00873D87">
          <w:rPr>
            <w:noProof/>
            <w:webHidden/>
          </w:rPr>
          <w:tab/>
        </w:r>
        <w:r w:rsidR="00873D87">
          <w:rPr>
            <w:noProof/>
            <w:webHidden/>
          </w:rPr>
          <w:fldChar w:fldCharType="begin"/>
        </w:r>
        <w:r w:rsidR="00873D87">
          <w:rPr>
            <w:noProof/>
            <w:webHidden/>
          </w:rPr>
          <w:instrText xml:space="preserve"> PAGEREF _Toc38990506 \h </w:instrText>
        </w:r>
        <w:r w:rsidR="00873D87">
          <w:rPr>
            <w:noProof/>
            <w:webHidden/>
          </w:rPr>
        </w:r>
        <w:r w:rsidR="00873D87">
          <w:rPr>
            <w:noProof/>
            <w:webHidden/>
          </w:rPr>
          <w:fldChar w:fldCharType="separate"/>
        </w:r>
        <w:r w:rsidR="00B177F5">
          <w:rPr>
            <w:noProof/>
            <w:webHidden/>
          </w:rPr>
          <w:t>75</w:t>
        </w:r>
        <w:r w:rsidR="00873D87">
          <w:rPr>
            <w:noProof/>
            <w:webHidden/>
          </w:rPr>
          <w:fldChar w:fldCharType="end"/>
        </w:r>
      </w:hyperlink>
    </w:p>
    <w:p w14:paraId="3456F069" w14:textId="6683821A"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507" w:history="1">
        <w:r w:rsidR="00873D87" w:rsidRPr="004D1DD6">
          <w:rPr>
            <w:rStyle w:val="Hyperlink"/>
            <w:noProof/>
          </w:rPr>
          <w:t>Table 7 Median values of the variables considered in the hierarchical cluster analysis for each sample group</w:t>
        </w:r>
        <w:r w:rsidR="00873D87">
          <w:rPr>
            <w:noProof/>
            <w:webHidden/>
          </w:rPr>
          <w:tab/>
        </w:r>
        <w:r w:rsidR="00873D87">
          <w:rPr>
            <w:noProof/>
            <w:webHidden/>
          </w:rPr>
          <w:fldChar w:fldCharType="begin"/>
        </w:r>
        <w:r w:rsidR="00873D87">
          <w:rPr>
            <w:noProof/>
            <w:webHidden/>
          </w:rPr>
          <w:instrText xml:space="preserve"> PAGEREF _Toc38990507 \h </w:instrText>
        </w:r>
        <w:r w:rsidR="00873D87">
          <w:rPr>
            <w:noProof/>
            <w:webHidden/>
          </w:rPr>
        </w:r>
        <w:r w:rsidR="00873D87">
          <w:rPr>
            <w:noProof/>
            <w:webHidden/>
          </w:rPr>
          <w:fldChar w:fldCharType="separate"/>
        </w:r>
        <w:r w:rsidR="00B177F5">
          <w:rPr>
            <w:noProof/>
            <w:webHidden/>
          </w:rPr>
          <w:t>76</w:t>
        </w:r>
        <w:r w:rsidR="00873D87">
          <w:rPr>
            <w:noProof/>
            <w:webHidden/>
          </w:rPr>
          <w:fldChar w:fldCharType="end"/>
        </w:r>
      </w:hyperlink>
    </w:p>
    <w:p w14:paraId="0651A88A" w14:textId="036281EA" w:rsidR="00873D87" w:rsidRDefault="00C761B1">
      <w:pPr>
        <w:pStyle w:val="TableofFigures"/>
        <w:rPr>
          <w:rFonts w:asciiTheme="minorHAnsi" w:eastAsiaTheme="minorEastAsia" w:hAnsiTheme="minorHAnsi" w:cstheme="minorBidi"/>
          <w:noProof/>
          <w:color w:val="auto"/>
          <w:sz w:val="22"/>
          <w:szCs w:val="22"/>
          <w:lang w:val="en-US" w:eastAsia="en-US"/>
        </w:rPr>
      </w:pPr>
      <w:hyperlink w:anchor="_Toc38990508" w:history="1">
        <w:r w:rsidR="00873D87" w:rsidRPr="004D1DD6">
          <w:rPr>
            <w:rStyle w:val="Hyperlink"/>
            <w:noProof/>
          </w:rPr>
          <w:t>Table 8 Summary of potential hydrological connections, potential impacts on water and the environment, evidence base, questions and recommended investigations in the extended Beetaloo GBA region</w:t>
        </w:r>
        <w:r w:rsidR="00873D87">
          <w:rPr>
            <w:noProof/>
            <w:webHidden/>
          </w:rPr>
          <w:tab/>
        </w:r>
        <w:r w:rsidR="00873D87">
          <w:rPr>
            <w:noProof/>
            <w:webHidden/>
          </w:rPr>
          <w:fldChar w:fldCharType="begin"/>
        </w:r>
        <w:r w:rsidR="00873D87">
          <w:rPr>
            <w:noProof/>
            <w:webHidden/>
          </w:rPr>
          <w:instrText xml:space="preserve"> PAGEREF _Toc38990508 \h </w:instrText>
        </w:r>
        <w:r w:rsidR="00873D87">
          <w:rPr>
            <w:noProof/>
            <w:webHidden/>
          </w:rPr>
        </w:r>
        <w:r w:rsidR="00873D87">
          <w:rPr>
            <w:noProof/>
            <w:webHidden/>
          </w:rPr>
          <w:fldChar w:fldCharType="separate"/>
        </w:r>
        <w:r w:rsidR="00B177F5">
          <w:rPr>
            <w:noProof/>
            <w:webHidden/>
          </w:rPr>
          <w:t>113</w:t>
        </w:r>
        <w:r w:rsidR="00873D87">
          <w:rPr>
            <w:noProof/>
            <w:webHidden/>
          </w:rPr>
          <w:fldChar w:fldCharType="end"/>
        </w:r>
      </w:hyperlink>
    </w:p>
    <w:p w14:paraId="6B2D0015" w14:textId="134B8286" w:rsidR="00586519" w:rsidRDefault="00365B0F" w:rsidP="000C64CC">
      <w:pPr>
        <w:pStyle w:val="TableofFigures"/>
      </w:pPr>
      <w:r>
        <w:fldChar w:fldCharType="end"/>
      </w:r>
      <w:r w:rsidR="00586519">
        <w:br w:type="page"/>
      </w:r>
    </w:p>
    <w:p w14:paraId="52DB0514" w14:textId="77777777" w:rsidR="002D1B9B" w:rsidRDefault="002D1B9B" w:rsidP="000C64CC">
      <w:pPr>
        <w:pStyle w:val="TableofFigures"/>
      </w:pPr>
    </w:p>
    <w:p w14:paraId="38690397" w14:textId="20D16B42" w:rsidR="002D1B9B" w:rsidRDefault="7AD8E2CC" w:rsidP="7AD8E2CC">
      <w:pPr>
        <w:pStyle w:val="Heading1notnumbered"/>
      </w:pPr>
      <w:bookmarkStart w:id="10" w:name="_Toc4072454"/>
      <w:bookmarkStart w:id="11" w:name="_Toc5020784"/>
      <w:bookmarkStart w:id="12" w:name="_Toc5021591"/>
      <w:bookmarkStart w:id="13" w:name="_Toc5808352"/>
      <w:bookmarkStart w:id="14" w:name="_Toc5895044"/>
      <w:bookmarkStart w:id="15" w:name="_Toc6308932"/>
      <w:bookmarkStart w:id="16" w:name="_Toc6327596"/>
      <w:bookmarkStart w:id="17" w:name="_Toc38990431"/>
      <w:r>
        <w:t>Contributors to the Program</w:t>
      </w:r>
      <w:bookmarkEnd w:id="10"/>
      <w:bookmarkEnd w:id="11"/>
      <w:bookmarkEnd w:id="12"/>
      <w:bookmarkEnd w:id="13"/>
      <w:bookmarkEnd w:id="14"/>
      <w:bookmarkEnd w:id="15"/>
      <w:bookmarkEnd w:id="16"/>
      <w:bookmarkEnd w:id="17"/>
    </w:p>
    <w:p w14:paraId="30FAEA18" w14:textId="093E8A8A" w:rsidR="00CF683D" w:rsidRDefault="00CF683D" w:rsidP="00CF683D">
      <w:pPr>
        <w:pStyle w:val="BodyText"/>
      </w:pPr>
      <w:r w:rsidRPr="006E1E52">
        <w:t xml:space="preserve">The following individuals have contributed to the </w:t>
      </w:r>
      <w:r>
        <w:t>Geological and Bioregional Assessment Program</w:t>
      </w:r>
      <w:r w:rsidRPr="006E1E52">
        <w:t>.</w:t>
      </w:r>
      <w:r>
        <w:t xml:space="preserve"> </w:t>
      </w:r>
    </w:p>
    <w:tbl>
      <w:tblPr>
        <w:tblStyle w:val="TableBAHeaderRow"/>
        <w:tblW w:w="5000" w:type="pct"/>
        <w:tblLook w:val="04A0" w:firstRow="1" w:lastRow="0" w:firstColumn="1" w:lastColumn="0" w:noHBand="0" w:noVBand="1"/>
      </w:tblPr>
      <w:tblGrid>
        <w:gridCol w:w="2709"/>
        <w:gridCol w:w="6929"/>
      </w:tblGrid>
      <w:tr w:rsidR="00FA2699" w:rsidRPr="00A633EB" w14:paraId="33DD03DF" w14:textId="77777777" w:rsidTr="00390580">
        <w:trPr>
          <w:cnfStyle w:val="100000000000" w:firstRow="1" w:lastRow="0" w:firstColumn="0" w:lastColumn="0" w:oddVBand="0" w:evenVBand="0" w:oddHBand="0" w:evenHBand="0" w:firstRowFirstColumn="0" w:firstRowLastColumn="0" w:lastRowFirstColumn="0" w:lastRowLastColumn="0"/>
          <w:tblHeader/>
        </w:trPr>
        <w:tc>
          <w:tcPr>
            <w:tcW w:w="2709" w:type="dxa"/>
          </w:tcPr>
          <w:p w14:paraId="6336097F" w14:textId="77777777" w:rsidR="00FA2699" w:rsidRPr="00A633EB" w:rsidRDefault="00FA2699" w:rsidP="00390580">
            <w:pPr>
              <w:pStyle w:val="TableText"/>
            </w:pPr>
            <w:r>
              <w:t>Role or team</w:t>
            </w:r>
          </w:p>
        </w:tc>
        <w:tc>
          <w:tcPr>
            <w:tcW w:w="6929" w:type="dxa"/>
          </w:tcPr>
          <w:p w14:paraId="2B1731C4" w14:textId="77777777" w:rsidR="00FA2699" w:rsidRPr="00A633EB" w:rsidRDefault="00FA2699" w:rsidP="00390580">
            <w:pPr>
              <w:pStyle w:val="TableText"/>
            </w:pPr>
            <w:r>
              <w:t>Contributor(s)</w:t>
            </w:r>
          </w:p>
        </w:tc>
      </w:tr>
      <w:tr w:rsidR="00FA2699" w:rsidRPr="006E1E52" w14:paraId="25A2DBF0" w14:textId="77777777" w:rsidTr="00390580">
        <w:trPr>
          <w:cnfStyle w:val="000000100000" w:firstRow="0" w:lastRow="0" w:firstColumn="0" w:lastColumn="0" w:oddVBand="0" w:evenVBand="0" w:oddHBand="1" w:evenHBand="0" w:firstRowFirstColumn="0" w:firstRowLastColumn="0" w:lastRowFirstColumn="0" w:lastRowLastColumn="0"/>
        </w:trPr>
        <w:tc>
          <w:tcPr>
            <w:tcW w:w="2709" w:type="dxa"/>
          </w:tcPr>
          <w:p w14:paraId="40EA496B" w14:textId="77777777" w:rsidR="00FA2699" w:rsidRPr="00EF1060" w:rsidRDefault="00FA2699" w:rsidP="00390580">
            <w:pPr>
              <w:pStyle w:val="TableText"/>
            </w:pPr>
            <w:r w:rsidRPr="00EF1060">
              <w:t xml:space="preserve">Program </w:t>
            </w:r>
            <w:r>
              <w:t>D</w:t>
            </w:r>
            <w:r w:rsidRPr="00EF1060">
              <w:t>irector</w:t>
            </w:r>
          </w:p>
        </w:tc>
        <w:tc>
          <w:tcPr>
            <w:tcW w:w="6929" w:type="dxa"/>
          </w:tcPr>
          <w:p w14:paraId="770F6BAE" w14:textId="77777777" w:rsidR="00FA2699" w:rsidRPr="00EF1060" w:rsidRDefault="00FA2699" w:rsidP="00390580">
            <w:pPr>
              <w:pStyle w:val="TableText"/>
            </w:pPr>
            <w:r w:rsidRPr="00EF1060">
              <w:t>Department of the Environment</w:t>
            </w:r>
            <w:r>
              <w:t xml:space="preserve"> and Energy</w:t>
            </w:r>
            <w:r w:rsidRPr="00EF1060">
              <w:t>: Anthony Swirepik</w:t>
            </w:r>
          </w:p>
        </w:tc>
      </w:tr>
      <w:tr w:rsidR="00FA2699" w:rsidRPr="006E1E52" w14:paraId="39728993" w14:textId="77777777" w:rsidTr="00390580">
        <w:trPr>
          <w:cnfStyle w:val="000000010000" w:firstRow="0" w:lastRow="0" w:firstColumn="0" w:lastColumn="0" w:oddVBand="0" w:evenVBand="0" w:oddHBand="0" w:evenHBand="1" w:firstRowFirstColumn="0" w:firstRowLastColumn="0" w:lastRowFirstColumn="0" w:lastRowLastColumn="0"/>
        </w:trPr>
        <w:tc>
          <w:tcPr>
            <w:tcW w:w="2709" w:type="dxa"/>
          </w:tcPr>
          <w:p w14:paraId="73DC450D" w14:textId="77777777" w:rsidR="00FA2699" w:rsidRPr="00EF1060" w:rsidRDefault="00FA2699" w:rsidP="00390580">
            <w:pPr>
              <w:pStyle w:val="TableText"/>
            </w:pPr>
            <w:r w:rsidRPr="00EF1060">
              <w:t xml:space="preserve">Program </w:t>
            </w:r>
            <w:r>
              <w:t>Implementation Board</w:t>
            </w:r>
          </w:p>
        </w:tc>
        <w:tc>
          <w:tcPr>
            <w:tcW w:w="6929" w:type="dxa"/>
          </w:tcPr>
          <w:p w14:paraId="6451ECC5" w14:textId="77777777" w:rsidR="00FA2699" w:rsidRDefault="00FA2699" w:rsidP="00390580">
            <w:pPr>
              <w:pStyle w:val="TableText"/>
            </w:pPr>
            <w:r w:rsidRPr="00EF1060">
              <w:t>Department of the Environment</w:t>
            </w:r>
            <w:r>
              <w:t xml:space="preserve"> and Energy</w:t>
            </w:r>
            <w:r w:rsidRPr="00EF1060">
              <w:t xml:space="preserve">: </w:t>
            </w:r>
            <w:r>
              <w:t>Beth Brunoro, Nicholas Post</w:t>
            </w:r>
          </w:p>
          <w:p w14:paraId="35F534E2" w14:textId="77777777" w:rsidR="00FA2699" w:rsidRDefault="00FA2699" w:rsidP="00390580">
            <w:pPr>
              <w:pStyle w:val="TableText"/>
            </w:pPr>
            <w:r w:rsidRPr="00EF1060">
              <w:t>Bureau of Meteorology:</w:t>
            </w:r>
            <w:r w:rsidRPr="00EF1060">
              <w:rPr>
                <w:rFonts w:eastAsia="Calibri"/>
              </w:rPr>
              <w:t xml:space="preserve"> </w:t>
            </w:r>
            <w:r w:rsidRPr="00C63051">
              <w:t>Kirsten Garwood</w:t>
            </w:r>
            <w:r>
              <w:t>, Kate Vinot</w:t>
            </w:r>
          </w:p>
          <w:p w14:paraId="1AFA8A7C" w14:textId="77777777" w:rsidR="00FA2699" w:rsidRPr="00EF1060" w:rsidRDefault="00FA2699" w:rsidP="00390580">
            <w:pPr>
              <w:pStyle w:val="TableText"/>
            </w:pPr>
            <w:r w:rsidRPr="00EF1060">
              <w:t xml:space="preserve">CSIRO: </w:t>
            </w:r>
            <w:r>
              <w:t>Jane Coram</w:t>
            </w:r>
            <w:r w:rsidRPr="00EF1060">
              <w:t xml:space="preserve">, Warwick </w:t>
            </w:r>
            <w:r>
              <w:t>MacDonald</w:t>
            </w:r>
          </w:p>
          <w:p w14:paraId="189F7C5C" w14:textId="77777777" w:rsidR="00FA2699" w:rsidRPr="00EF1060" w:rsidRDefault="00FA2699" w:rsidP="00390580">
            <w:pPr>
              <w:pStyle w:val="TableText"/>
            </w:pPr>
            <w:r w:rsidRPr="00EF1060">
              <w:t>Geoscience Australia: Stuart Minchin</w:t>
            </w:r>
            <w:r>
              <w:t>, Richard Blewett</w:t>
            </w:r>
          </w:p>
        </w:tc>
      </w:tr>
      <w:tr w:rsidR="00FA2699" w:rsidRPr="006E1E52" w14:paraId="7757EE88" w14:textId="77777777" w:rsidTr="00390580">
        <w:trPr>
          <w:cnfStyle w:val="000000100000" w:firstRow="0" w:lastRow="0" w:firstColumn="0" w:lastColumn="0" w:oddVBand="0" w:evenVBand="0" w:oddHBand="1" w:evenHBand="0" w:firstRowFirstColumn="0" w:firstRowLastColumn="0" w:lastRowFirstColumn="0" w:lastRowLastColumn="0"/>
        </w:trPr>
        <w:tc>
          <w:tcPr>
            <w:tcW w:w="2709" w:type="dxa"/>
          </w:tcPr>
          <w:p w14:paraId="7A14900F" w14:textId="77777777" w:rsidR="00FA2699" w:rsidRPr="00EF1060" w:rsidRDefault="00FA2699" w:rsidP="00390580">
            <w:pPr>
              <w:pStyle w:val="TableText"/>
            </w:pPr>
            <w:r>
              <w:t>Basin Leader</w:t>
            </w:r>
          </w:p>
        </w:tc>
        <w:tc>
          <w:tcPr>
            <w:tcW w:w="6929" w:type="dxa"/>
          </w:tcPr>
          <w:p w14:paraId="01E7907B" w14:textId="77777777" w:rsidR="00FA2699" w:rsidRPr="00EF1060" w:rsidRDefault="00FA2699" w:rsidP="00390580">
            <w:pPr>
              <w:pStyle w:val="TableText"/>
            </w:pPr>
            <w:r w:rsidRPr="00EF1060">
              <w:t xml:space="preserve">CSIRO: </w:t>
            </w:r>
            <w:r>
              <w:t>Kate Holland, Cameron Huddlestone-Holmes, Paul Wilkes</w:t>
            </w:r>
          </w:p>
          <w:p w14:paraId="2B9E6A12" w14:textId="77777777" w:rsidR="00FA2699" w:rsidRPr="006C6762" w:rsidRDefault="00FA2699" w:rsidP="00390580">
            <w:pPr>
              <w:pStyle w:val="TableText"/>
            </w:pPr>
            <w:r w:rsidRPr="00EF1060">
              <w:t>Geoscience Australia: Steven Lewis</w:t>
            </w:r>
          </w:p>
        </w:tc>
      </w:tr>
      <w:tr w:rsidR="00FA2699" w:rsidRPr="006E1E52" w14:paraId="051FB552" w14:textId="77777777" w:rsidTr="00390580">
        <w:trPr>
          <w:cnfStyle w:val="000000010000" w:firstRow="0" w:lastRow="0" w:firstColumn="0" w:lastColumn="0" w:oddVBand="0" w:evenVBand="0" w:oddHBand="0" w:evenHBand="1" w:firstRowFirstColumn="0" w:firstRowLastColumn="0" w:lastRowFirstColumn="0" w:lastRowLastColumn="0"/>
        </w:trPr>
        <w:tc>
          <w:tcPr>
            <w:tcW w:w="2709" w:type="dxa"/>
          </w:tcPr>
          <w:p w14:paraId="0366DEE1" w14:textId="77777777" w:rsidR="00FA2699" w:rsidRDefault="00FA2699" w:rsidP="00390580">
            <w:pPr>
              <w:pStyle w:val="TableText"/>
            </w:pPr>
            <w:r>
              <w:t>Program management</w:t>
            </w:r>
          </w:p>
        </w:tc>
        <w:tc>
          <w:tcPr>
            <w:tcW w:w="6929" w:type="dxa"/>
          </w:tcPr>
          <w:p w14:paraId="1C8120CD" w14:textId="77777777" w:rsidR="00FA2699" w:rsidRPr="00EF1060" w:rsidRDefault="00FA2699" w:rsidP="00390580">
            <w:pPr>
              <w:pStyle w:val="TableText"/>
            </w:pPr>
            <w:r w:rsidRPr="00EF1060">
              <w:t xml:space="preserve">CSIRO: </w:t>
            </w:r>
            <w:r w:rsidRPr="00592537">
              <w:t>Karen Barry</w:t>
            </w:r>
            <w:r>
              <w:t>, Emanuelle Frery, Linda Merrin,</w:t>
            </w:r>
            <w:r w:rsidRPr="00EF1060">
              <w:t xml:space="preserve"> Ruth Palmer</w:t>
            </w:r>
          </w:p>
          <w:p w14:paraId="20D421C1" w14:textId="77777777" w:rsidR="00FA2699" w:rsidRPr="00EF1060" w:rsidRDefault="00FA2699" w:rsidP="00390580">
            <w:pPr>
              <w:pStyle w:val="TableText"/>
            </w:pPr>
            <w:r w:rsidRPr="00EF1060">
              <w:t>Department of the Environment</w:t>
            </w:r>
            <w:r>
              <w:t xml:space="preserve"> and Energy</w:t>
            </w:r>
            <w:r w:rsidRPr="00EF1060">
              <w:t xml:space="preserve">: </w:t>
            </w:r>
            <w:r>
              <w:t>Mitchell Bouma, Rod Dann,</w:t>
            </w:r>
            <w:r>
              <w:br/>
              <w:t>Andrew Stacey, David Thomas, Alex Tomlinson</w:t>
            </w:r>
          </w:p>
        </w:tc>
      </w:tr>
      <w:tr w:rsidR="00FA2699" w:rsidRPr="006E1E52" w14:paraId="06F5A577" w14:textId="77777777" w:rsidTr="00390580">
        <w:trPr>
          <w:cnfStyle w:val="000000100000" w:firstRow="0" w:lastRow="0" w:firstColumn="0" w:lastColumn="0" w:oddVBand="0" w:evenVBand="0" w:oddHBand="1" w:evenHBand="0" w:firstRowFirstColumn="0" w:firstRowLastColumn="0" w:lastRowFirstColumn="0" w:lastRowLastColumn="0"/>
        </w:trPr>
        <w:tc>
          <w:tcPr>
            <w:tcW w:w="2709" w:type="dxa"/>
          </w:tcPr>
          <w:p w14:paraId="2C7BB3DA" w14:textId="77777777" w:rsidR="00FA2699" w:rsidRDefault="00FA2699" w:rsidP="00390580">
            <w:pPr>
              <w:pStyle w:val="TableText"/>
            </w:pPr>
            <w:r>
              <w:t>P</w:t>
            </w:r>
            <w:r w:rsidRPr="00BD3175">
              <w:t>roduct integration and stakeholder engagement</w:t>
            </w:r>
          </w:p>
        </w:tc>
        <w:tc>
          <w:tcPr>
            <w:tcW w:w="6929" w:type="dxa"/>
          </w:tcPr>
          <w:p w14:paraId="20AF7A5A" w14:textId="77777777" w:rsidR="00FA2699" w:rsidRDefault="00FA2699" w:rsidP="00390580">
            <w:pPr>
              <w:pStyle w:val="TableText"/>
            </w:pPr>
            <w:r w:rsidRPr="00EF1060">
              <w:t xml:space="preserve">CSIRO: </w:t>
            </w:r>
            <w:r>
              <w:t xml:space="preserve">Clare Brandon, </w:t>
            </w:r>
            <w:r w:rsidRPr="00BD3175">
              <w:t>Justine Lacey</w:t>
            </w:r>
            <w:r>
              <w:t xml:space="preserve">, Michelle Rodriquez, Sally </w:t>
            </w:r>
            <w:r w:rsidRPr="00A266D7">
              <w:t>Tetreault</w:t>
            </w:r>
            <w:r>
              <w:t>-</w:t>
            </w:r>
            <w:r w:rsidRPr="00A266D7">
              <w:t>Campbell</w:t>
            </w:r>
          </w:p>
        </w:tc>
      </w:tr>
      <w:tr w:rsidR="00FA2699" w:rsidRPr="006E1E52" w14:paraId="3256B5F7" w14:textId="77777777" w:rsidTr="00390580">
        <w:trPr>
          <w:cnfStyle w:val="000000010000" w:firstRow="0" w:lastRow="0" w:firstColumn="0" w:lastColumn="0" w:oddVBand="0" w:evenVBand="0" w:oddHBand="0" w:evenHBand="1" w:firstRowFirstColumn="0" w:firstRowLastColumn="0" w:lastRowFirstColumn="0" w:lastRowLastColumn="0"/>
        </w:trPr>
        <w:tc>
          <w:tcPr>
            <w:tcW w:w="2709" w:type="dxa"/>
          </w:tcPr>
          <w:p w14:paraId="18D986BF" w14:textId="77777777" w:rsidR="00FA2699" w:rsidRPr="00E54329" w:rsidRDefault="00FA2699" w:rsidP="00390580">
            <w:pPr>
              <w:pStyle w:val="TableText"/>
            </w:pPr>
            <w:r>
              <w:t>Analysis and visualisation</w:t>
            </w:r>
          </w:p>
        </w:tc>
        <w:tc>
          <w:tcPr>
            <w:tcW w:w="6929" w:type="dxa"/>
          </w:tcPr>
          <w:p w14:paraId="6C130FEC" w14:textId="77777777" w:rsidR="00FA2699" w:rsidRPr="00E54329" w:rsidRDefault="00FA2699" w:rsidP="00390580">
            <w:pPr>
              <w:pStyle w:val="TableText"/>
            </w:pPr>
            <w:r>
              <w:t>CSIRO: Dennis Gonzalez, Steve Marvanek</w:t>
            </w:r>
            <w:r>
              <w:br/>
              <w:t>Geoscience Australia: Adrian Dehelean, Chris Evenden, Chris Lawson, Bianca Reese, Nigel Skeers, Murray Woods</w:t>
            </w:r>
          </w:p>
        </w:tc>
      </w:tr>
      <w:tr w:rsidR="00FA2699" w:rsidRPr="006E1E52" w14:paraId="65E0712E" w14:textId="77777777" w:rsidTr="00390580">
        <w:trPr>
          <w:cnfStyle w:val="000000100000" w:firstRow="0" w:lastRow="0" w:firstColumn="0" w:lastColumn="0" w:oddVBand="0" w:evenVBand="0" w:oddHBand="1" w:evenHBand="0" w:firstRowFirstColumn="0" w:firstRowLastColumn="0" w:lastRowFirstColumn="0" w:lastRowLastColumn="0"/>
        </w:trPr>
        <w:tc>
          <w:tcPr>
            <w:tcW w:w="2709" w:type="dxa"/>
          </w:tcPr>
          <w:p w14:paraId="438F877E" w14:textId="77777777" w:rsidR="00FA2699" w:rsidRPr="00E54329" w:rsidRDefault="00FA2699" w:rsidP="00390580">
            <w:pPr>
              <w:pStyle w:val="TableText"/>
            </w:pPr>
            <w:r w:rsidRPr="00E54329">
              <w:t>Basin geology and prospectivity</w:t>
            </w:r>
          </w:p>
        </w:tc>
        <w:tc>
          <w:tcPr>
            <w:tcW w:w="6929" w:type="dxa"/>
          </w:tcPr>
          <w:p w14:paraId="744DC08A" w14:textId="77777777" w:rsidR="00FA2699" w:rsidRPr="00E54329" w:rsidRDefault="00FA2699" w:rsidP="00390580">
            <w:pPr>
              <w:pStyle w:val="TableText"/>
            </w:pPr>
            <w:r w:rsidRPr="00E54329">
              <w:t>Geoscience Australia:</w:t>
            </w:r>
            <w:r w:rsidRPr="00BE15DB">
              <w:rPr>
                <w:rStyle w:val="normaltextrun1"/>
                <w:rFonts w:ascii="Calibri" w:hAnsi="Calibri" w:cs="Calibri"/>
              </w:rPr>
              <w:t xml:space="preserve"> </w:t>
            </w:r>
            <w:r w:rsidRPr="00E54329">
              <w:t>Lisa Hall</w:t>
            </w:r>
            <w:r w:rsidRPr="006C6762">
              <w:t xml:space="preserve"> (</w:t>
            </w:r>
            <w:r>
              <w:t>D</w:t>
            </w:r>
            <w:r w:rsidRPr="006C6762">
              <w:t xml:space="preserve">iscipline </w:t>
            </w:r>
            <w:r>
              <w:t>L</w:t>
            </w:r>
            <w:r w:rsidRPr="006C6762">
              <w:t>eader)</w:t>
            </w:r>
            <w:r w:rsidRPr="00E54329">
              <w:t>,</w:t>
            </w:r>
            <w:r>
              <w:t xml:space="preserve"> </w:t>
            </w:r>
            <w:r>
              <w:rPr>
                <w:rFonts w:eastAsia="Calibri"/>
              </w:rPr>
              <w:t>Adam Bailey, George Bernardel, Barry Bradshaw, Donna Cathro, Merrie-Ellen Gunning, Amber Jarrett, Megan Lech, Meredith Orr, Ryan Owens, Tehani Palu, Martin Smith, Liuqu Wang</w:t>
            </w:r>
          </w:p>
        </w:tc>
      </w:tr>
      <w:tr w:rsidR="00FA2699" w:rsidRPr="006E1E52" w14:paraId="0E3EE4E1" w14:textId="77777777" w:rsidTr="00390580">
        <w:trPr>
          <w:cnfStyle w:val="000000010000" w:firstRow="0" w:lastRow="0" w:firstColumn="0" w:lastColumn="0" w:oddVBand="0" w:evenVBand="0" w:oddHBand="0" w:evenHBand="1" w:firstRowFirstColumn="0" w:firstRowLastColumn="0" w:lastRowFirstColumn="0" w:lastRowLastColumn="0"/>
        </w:trPr>
        <w:tc>
          <w:tcPr>
            <w:tcW w:w="2709" w:type="dxa"/>
          </w:tcPr>
          <w:p w14:paraId="6E62E612" w14:textId="77777777" w:rsidR="00FA2699" w:rsidRPr="00405DAD" w:rsidRDefault="00FA2699" w:rsidP="00390580">
            <w:pPr>
              <w:pStyle w:val="TableText"/>
            </w:pPr>
            <w:r>
              <w:t>Chemical assessment</w:t>
            </w:r>
          </w:p>
        </w:tc>
        <w:tc>
          <w:tcPr>
            <w:tcW w:w="6929" w:type="dxa"/>
          </w:tcPr>
          <w:p w14:paraId="6321441C" w14:textId="77777777" w:rsidR="00FA2699" w:rsidRPr="00EF1060" w:rsidRDefault="00FA2699" w:rsidP="00390580">
            <w:pPr>
              <w:pStyle w:val="TableText"/>
            </w:pPr>
            <w:r>
              <w:t>CSIRO: Jason Kirby (Discipline Leader), Simon Apte, Lisa Golding, Rai Kookana,</w:t>
            </w:r>
            <w:r>
              <w:br/>
              <w:t>Dirk Mallants, Michael Williams</w:t>
            </w:r>
          </w:p>
        </w:tc>
      </w:tr>
      <w:tr w:rsidR="00FA2699" w:rsidRPr="006E1E52" w14:paraId="0C0881C1" w14:textId="77777777" w:rsidTr="00390580">
        <w:trPr>
          <w:cnfStyle w:val="000000100000" w:firstRow="0" w:lastRow="0" w:firstColumn="0" w:lastColumn="0" w:oddVBand="0" w:evenVBand="0" w:oddHBand="1" w:evenHBand="0" w:firstRowFirstColumn="0" w:firstRowLastColumn="0" w:lastRowFirstColumn="0" w:lastRowLastColumn="0"/>
        </w:trPr>
        <w:tc>
          <w:tcPr>
            <w:tcW w:w="2709" w:type="dxa"/>
          </w:tcPr>
          <w:p w14:paraId="1DDF4523" w14:textId="77777777" w:rsidR="00FA2699" w:rsidRDefault="00FA2699" w:rsidP="00390580">
            <w:pPr>
              <w:pStyle w:val="TableText"/>
            </w:pPr>
            <w:r w:rsidRPr="00405DAD">
              <w:t>Data management and transparency</w:t>
            </w:r>
          </w:p>
        </w:tc>
        <w:tc>
          <w:tcPr>
            <w:tcW w:w="6929" w:type="dxa"/>
          </w:tcPr>
          <w:p w14:paraId="196C0870" w14:textId="77777777" w:rsidR="00FA2699" w:rsidRPr="00EF1060" w:rsidRDefault="00FA2699" w:rsidP="00390580">
            <w:pPr>
              <w:pStyle w:val="TableText"/>
              <w:rPr>
                <w:rFonts w:eastAsia="Calibri"/>
              </w:rPr>
            </w:pPr>
            <w:r w:rsidRPr="00EF1060">
              <w:t>Bureau of Meteorology:</w:t>
            </w:r>
            <w:r w:rsidRPr="00EF1060">
              <w:rPr>
                <w:rFonts w:eastAsia="Calibri"/>
              </w:rPr>
              <w:t xml:space="preserve"> </w:t>
            </w:r>
            <w:r>
              <w:rPr>
                <w:rFonts w:eastAsia="Calibri"/>
              </w:rPr>
              <w:t>Andre Zerger (</w:t>
            </w:r>
            <w:r>
              <w:t>D</w:t>
            </w:r>
            <w:r w:rsidRPr="006C6762">
              <w:t xml:space="preserve">iscipline </w:t>
            </w:r>
            <w:r>
              <w:t>L</w:t>
            </w:r>
            <w:r w:rsidRPr="006C6762">
              <w:t>eader</w:t>
            </w:r>
            <w:r>
              <w:t>),</w:t>
            </w:r>
            <w:r w:rsidRPr="00EF1060">
              <w:t xml:space="preserve"> </w:t>
            </w:r>
            <w:r>
              <w:t xml:space="preserve">Derek Chen, </w:t>
            </w:r>
            <w:r>
              <w:br/>
            </w:r>
            <w:r w:rsidRPr="00F962AE">
              <w:rPr>
                <w:rFonts w:eastAsia="Calibri"/>
              </w:rPr>
              <w:t xml:space="preserve">Trevor Christie-Taylor, </w:t>
            </w:r>
            <w:r>
              <w:rPr>
                <w:rFonts w:eastAsia="Calibri"/>
              </w:rPr>
              <w:t>Donna Phillips</w:t>
            </w:r>
          </w:p>
          <w:p w14:paraId="608C776B" w14:textId="57663BFD" w:rsidR="00FA2699" w:rsidRDefault="00FA2699" w:rsidP="00390580">
            <w:pPr>
              <w:pStyle w:val="TableText"/>
            </w:pPr>
            <w:r w:rsidRPr="00EF1060">
              <w:t xml:space="preserve">CSIRO: </w:t>
            </w:r>
            <w:r w:rsidRPr="00405DAD">
              <w:t>Nicholas Car</w:t>
            </w:r>
            <w:r>
              <w:t xml:space="preserve">, </w:t>
            </w:r>
            <w:r w:rsidRPr="00405DAD">
              <w:t>Philip Davies</w:t>
            </w:r>
            <w:r>
              <w:t xml:space="preserve">, </w:t>
            </w:r>
            <w:r w:rsidR="00CE4AA6">
              <w:t xml:space="preserve">Stacey Northover, </w:t>
            </w:r>
            <w:r>
              <w:t>Matt Stenson</w:t>
            </w:r>
          </w:p>
          <w:p w14:paraId="07CE2FB2" w14:textId="77777777" w:rsidR="00FA2699" w:rsidRPr="00E54329" w:rsidRDefault="00FA2699" w:rsidP="00390580">
            <w:pPr>
              <w:pStyle w:val="TableText"/>
            </w:pPr>
            <w:r w:rsidRPr="00EF1060">
              <w:t>Geoscience Australia: Matti Peljo</w:t>
            </w:r>
            <w:r>
              <w:t xml:space="preserve"> </w:t>
            </w:r>
          </w:p>
        </w:tc>
      </w:tr>
      <w:tr w:rsidR="00FA2699" w:rsidRPr="006E1E52" w14:paraId="4618B2D8" w14:textId="77777777" w:rsidTr="00390580">
        <w:trPr>
          <w:cnfStyle w:val="000000010000" w:firstRow="0" w:lastRow="0" w:firstColumn="0" w:lastColumn="0" w:oddVBand="0" w:evenVBand="0" w:oddHBand="0" w:evenHBand="1" w:firstRowFirstColumn="0" w:firstRowLastColumn="0" w:lastRowFirstColumn="0" w:lastRowLastColumn="0"/>
        </w:trPr>
        <w:tc>
          <w:tcPr>
            <w:tcW w:w="2709" w:type="dxa"/>
          </w:tcPr>
          <w:p w14:paraId="3D668488" w14:textId="77777777" w:rsidR="00FA2699" w:rsidRPr="00EF1060" w:rsidRDefault="00FA2699" w:rsidP="00390580">
            <w:pPr>
              <w:pStyle w:val="TableText"/>
            </w:pPr>
            <w:r>
              <w:t>Hydrogeology</w:t>
            </w:r>
          </w:p>
        </w:tc>
        <w:tc>
          <w:tcPr>
            <w:tcW w:w="6929" w:type="dxa"/>
          </w:tcPr>
          <w:p w14:paraId="20F730D2" w14:textId="77777777" w:rsidR="00FA2699" w:rsidRPr="00EF1060" w:rsidRDefault="00FA2699" w:rsidP="00390580">
            <w:pPr>
              <w:pStyle w:val="TableText"/>
            </w:pPr>
            <w:r w:rsidRPr="00EF1060">
              <w:t>Geoscience Australia:</w:t>
            </w:r>
            <w:r w:rsidRPr="00E54329">
              <w:t xml:space="preserve"> Tim</w:t>
            </w:r>
            <w:r>
              <w:t> </w:t>
            </w:r>
            <w:r w:rsidRPr="00E54329">
              <w:t>Ransley</w:t>
            </w:r>
            <w:r>
              <w:rPr>
                <w:rFonts w:eastAsia="Calibri"/>
              </w:rPr>
              <w:t xml:space="preserve"> (</w:t>
            </w:r>
            <w:r>
              <w:t>D</w:t>
            </w:r>
            <w:r w:rsidRPr="006C6762">
              <w:t xml:space="preserve">iscipline </w:t>
            </w:r>
            <w:r>
              <w:t>L</w:t>
            </w:r>
            <w:r w:rsidRPr="006C6762">
              <w:t>eader</w:t>
            </w:r>
            <w:r>
              <w:t>)</w:t>
            </w:r>
            <w:r w:rsidRPr="00E54329">
              <w:t>,</w:t>
            </w:r>
            <w:r>
              <w:t xml:space="preserve"> Sam Buchanan, Scott Cook, </w:t>
            </w:r>
            <w:r w:rsidRPr="00BE15DB">
              <w:rPr>
                <w:rStyle w:val="normaltextrun1"/>
                <w:rFonts w:ascii="Calibri" w:hAnsi="Calibri" w:cs="Calibri"/>
              </w:rPr>
              <w:t>Prachi Dixon-Jain</w:t>
            </w:r>
            <w:r>
              <w:rPr>
                <w:rStyle w:val="normaltextrun1"/>
                <w:rFonts w:ascii="Calibri" w:hAnsi="Calibri" w:cs="Calibri"/>
              </w:rPr>
              <w:t>, B</w:t>
            </w:r>
            <w:r>
              <w:rPr>
                <w:rStyle w:val="normaltextrun1"/>
                <w:rFonts w:cs="Calibri"/>
              </w:rPr>
              <w:t xml:space="preserve">ex Dunn, </w:t>
            </w:r>
            <w:r w:rsidRPr="00E54329">
              <w:t>Tim Ev</w:t>
            </w:r>
            <w:r>
              <w:t>a</w:t>
            </w:r>
            <w:r w:rsidRPr="00E54329">
              <w:t>ns</w:t>
            </w:r>
            <w:r>
              <w:t>,</w:t>
            </w:r>
            <w:r w:rsidRPr="00E54329">
              <w:t xml:space="preserve"> </w:t>
            </w:r>
            <w:r>
              <w:rPr>
                <w:rFonts w:cstheme="minorHAnsi"/>
              </w:rPr>
              <w:t>É</w:t>
            </w:r>
            <w:r>
              <w:t xml:space="preserve">amon Lai, Bruce Radke, </w:t>
            </w:r>
            <w:r>
              <w:br/>
            </w:r>
            <w:r w:rsidRPr="00E54329">
              <w:t xml:space="preserve">Baskaran </w:t>
            </w:r>
            <w:r w:rsidRPr="00E54329">
              <w:rPr>
                <w:rStyle w:val="normaltextrun1"/>
                <w:rFonts w:ascii="Calibri" w:hAnsi="Calibri" w:cs="Calibri"/>
              </w:rPr>
              <w:t>Sundaram</w:t>
            </w:r>
          </w:p>
        </w:tc>
      </w:tr>
      <w:tr w:rsidR="00FA2699" w:rsidRPr="006E1E52" w14:paraId="78B5E4E1" w14:textId="77777777" w:rsidTr="00390580">
        <w:trPr>
          <w:cnfStyle w:val="000000100000" w:firstRow="0" w:lastRow="0" w:firstColumn="0" w:lastColumn="0" w:oddVBand="0" w:evenVBand="0" w:oddHBand="1" w:evenHBand="0" w:firstRowFirstColumn="0" w:firstRowLastColumn="0" w:lastRowFirstColumn="0" w:lastRowLastColumn="0"/>
        </w:trPr>
        <w:tc>
          <w:tcPr>
            <w:tcW w:w="2709" w:type="dxa"/>
          </w:tcPr>
          <w:p w14:paraId="3C91D80B" w14:textId="77777777" w:rsidR="00FA2699" w:rsidRPr="00EF1060" w:rsidRDefault="00FA2699" w:rsidP="00390580">
            <w:pPr>
              <w:pStyle w:val="TableText"/>
            </w:pPr>
            <w:r w:rsidRPr="00BD3175">
              <w:t>Impact analysis</w:t>
            </w:r>
          </w:p>
        </w:tc>
        <w:tc>
          <w:tcPr>
            <w:tcW w:w="6929" w:type="dxa"/>
          </w:tcPr>
          <w:p w14:paraId="4219F417" w14:textId="77777777" w:rsidR="00FA2699" w:rsidRPr="00EF1060" w:rsidRDefault="00FA2699" w:rsidP="00390580">
            <w:pPr>
              <w:pStyle w:val="TableText"/>
            </w:pPr>
            <w:r w:rsidRPr="00BD3175">
              <w:t>CSIRO: David Post</w:t>
            </w:r>
            <w:r w:rsidRPr="006C6762">
              <w:t xml:space="preserve"> (Discipline </w:t>
            </w:r>
            <w:r>
              <w:t>L</w:t>
            </w:r>
            <w:r w:rsidRPr="006C6762">
              <w:t>eader)</w:t>
            </w:r>
            <w:r w:rsidRPr="00BD3175">
              <w:t xml:space="preserve">, Brent Henderson, </w:t>
            </w:r>
            <w:r>
              <w:t>Dane Kasperczyk,</w:t>
            </w:r>
            <w:r>
              <w:br/>
            </w:r>
            <w:r w:rsidRPr="00BD3175">
              <w:t xml:space="preserve">James Kear, </w:t>
            </w:r>
            <w:r>
              <w:t>Regina Sander</w:t>
            </w:r>
          </w:p>
        </w:tc>
      </w:tr>
      <w:tr w:rsidR="00FA2699" w:rsidRPr="006E1E52" w14:paraId="34978DE8" w14:textId="77777777" w:rsidTr="00390580">
        <w:trPr>
          <w:cnfStyle w:val="000000010000" w:firstRow="0" w:lastRow="0" w:firstColumn="0" w:lastColumn="0" w:oddVBand="0" w:evenVBand="0" w:oddHBand="0" w:evenHBand="1" w:firstRowFirstColumn="0" w:firstRowLastColumn="0" w:lastRowFirstColumn="0" w:lastRowLastColumn="0"/>
        </w:trPr>
        <w:tc>
          <w:tcPr>
            <w:tcW w:w="2709" w:type="dxa"/>
          </w:tcPr>
          <w:p w14:paraId="751A735C" w14:textId="77777777" w:rsidR="00FA2699" w:rsidRPr="00EF1060" w:rsidRDefault="00FA2699" w:rsidP="00390580">
            <w:pPr>
              <w:pStyle w:val="TableText"/>
            </w:pPr>
            <w:r w:rsidRPr="00405DAD">
              <w:t>Impacts on protected matters</w:t>
            </w:r>
          </w:p>
        </w:tc>
        <w:tc>
          <w:tcPr>
            <w:tcW w:w="6929" w:type="dxa"/>
          </w:tcPr>
          <w:p w14:paraId="12C898B8" w14:textId="77777777" w:rsidR="00FA2699" w:rsidRPr="00EF1060" w:rsidRDefault="00FA2699" w:rsidP="00390580">
            <w:pPr>
              <w:pStyle w:val="TableText"/>
            </w:pPr>
            <w:r w:rsidRPr="00EF1060">
              <w:t xml:space="preserve">CSIRO: </w:t>
            </w:r>
            <w:r w:rsidRPr="006C6762">
              <w:t xml:space="preserve">Anthony O'Grady (Discipline </w:t>
            </w:r>
            <w:r>
              <w:t>L</w:t>
            </w:r>
            <w:r w:rsidRPr="006C6762">
              <w:t>eader),</w:t>
            </w:r>
            <w:r w:rsidRPr="00EF1060">
              <w:t xml:space="preserve"> </w:t>
            </w:r>
            <w:r>
              <w:t xml:space="preserve">Alexander Herr, </w:t>
            </w:r>
            <w:r w:rsidRPr="00EF1060">
              <w:t>Craig</w:t>
            </w:r>
            <w:r>
              <w:t xml:space="preserve"> </w:t>
            </w:r>
            <w:r w:rsidRPr="00EF1060">
              <w:t xml:space="preserve">MacFarlane, </w:t>
            </w:r>
            <w:r>
              <w:t xml:space="preserve">Justine Murray, </w:t>
            </w:r>
            <w:r w:rsidRPr="00EF1060">
              <w:t>Chris</w:t>
            </w:r>
            <w:r>
              <w:t xml:space="preserve"> Pavey, </w:t>
            </w:r>
            <w:r w:rsidRPr="00405DAD">
              <w:t>Stephen Stewart</w:t>
            </w:r>
          </w:p>
        </w:tc>
      </w:tr>
      <w:tr w:rsidR="00FA2699" w:rsidRPr="006E1E52" w14:paraId="09C46A66" w14:textId="77777777" w:rsidTr="00390580">
        <w:trPr>
          <w:cnfStyle w:val="000000100000" w:firstRow="0" w:lastRow="0" w:firstColumn="0" w:lastColumn="0" w:oddVBand="0" w:evenVBand="0" w:oddHBand="1" w:evenHBand="0" w:firstRowFirstColumn="0" w:firstRowLastColumn="0" w:lastRowFirstColumn="0" w:lastRowLastColumn="0"/>
        </w:trPr>
        <w:tc>
          <w:tcPr>
            <w:tcW w:w="2709" w:type="dxa"/>
          </w:tcPr>
          <w:p w14:paraId="352BC690" w14:textId="77777777" w:rsidR="00FA2699" w:rsidRDefault="00FA2699" w:rsidP="00390580">
            <w:pPr>
              <w:pStyle w:val="TableText"/>
            </w:pPr>
            <w:r>
              <w:t>Spatial analysis</w:t>
            </w:r>
          </w:p>
        </w:tc>
        <w:tc>
          <w:tcPr>
            <w:tcW w:w="6929" w:type="dxa"/>
          </w:tcPr>
          <w:p w14:paraId="6B6D4E83" w14:textId="77777777" w:rsidR="00FA2699" w:rsidRDefault="00FA2699" w:rsidP="00390580">
            <w:pPr>
              <w:pStyle w:val="TableText"/>
            </w:pPr>
            <w:r w:rsidRPr="00EF1060">
              <w:t xml:space="preserve">CSIRO: </w:t>
            </w:r>
            <w:r>
              <w:t>Dennis Gonzalez, Steve Marvanek</w:t>
            </w:r>
          </w:p>
          <w:p w14:paraId="5B69ED60" w14:textId="77777777" w:rsidR="00FA2699" w:rsidRPr="00E54329" w:rsidRDefault="00FA2699" w:rsidP="00390580">
            <w:pPr>
              <w:pStyle w:val="TableText"/>
            </w:pPr>
            <w:r w:rsidRPr="00EF1060">
              <w:t>Geoscience Australia: Adrian Dehelean</w:t>
            </w:r>
            <w:r>
              <w:t>, Murray Woods, Nigel Skeers</w:t>
            </w:r>
          </w:p>
        </w:tc>
      </w:tr>
      <w:tr w:rsidR="00FA2699" w:rsidRPr="006E1E52" w14:paraId="32155824" w14:textId="77777777" w:rsidTr="00390580">
        <w:trPr>
          <w:cnfStyle w:val="000000010000" w:firstRow="0" w:lastRow="0" w:firstColumn="0" w:lastColumn="0" w:oddVBand="0" w:evenVBand="0" w:oddHBand="0" w:evenHBand="1" w:firstRowFirstColumn="0" w:firstRowLastColumn="0" w:lastRowFirstColumn="0" w:lastRowLastColumn="0"/>
          <w:trHeight w:val="46"/>
        </w:trPr>
        <w:tc>
          <w:tcPr>
            <w:tcW w:w="2709" w:type="dxa"/>
          </w:tcPr>
          <w:p w14:paraId="4F327B75" w14:textId="77777777" w:rsidR="00FA2699" w:rsidRPr="00E54329" w:rsidRDefault="00FA2699" w:rsidP="00390580">
            <w:pPr>
              <w:pStyle w:val="TableText"/>
            </w:pPr>
            <w:r w:rsidRPr="00E54329">
              <w:t>Water quantity</w:t>
            </w:r>
          </w:p>
        </w:tc>
        <w:tc>
          <w:tcPr>
            <w:tcW w:w="6929" w:type="dxa"/>
          </w:tcPr>
          <w:p w14:paraId="5EB71E61" w14:textId="77777777" w:rsidR="00FA2699" w:rsidRPr="00E54329" w:rsidRDefault="00FA2699" w:rsidP="00390580">
            <w:pPr>
              <w:pStyle w:val="TableText"/>
            </w:pPr>
            <w:r w:rsidRPr="00E54329">
              <w:t xml:space="preserve">CSIRO: Russell Crosbie (Discipline </w:t>
            </w:r>
            <w:r>
              <w:t>L</w:t>
            </w:r>
            <w:r w:rsidRPr="00E54329">
              <w:t>eader),</w:t>
            </w:r>
            <w:r>
              <w:t xml:space="preserve"> </w:t>
            </w:r>
            <w:r w:rsidRPr="00E54329">
              <w:t>Jorge Martinez Praveen</w:t>
            </w:r>
            <w:r>
              <w:t> </w:t>
            </w:r>
            <w:r w:rsidRPr="00E54329">
              <w:t>Kumar</w:t>
            </w:r>
            <w:r>
              <w:t> </w:t>
            </w:r>
            <w:r w:rsidRPr="00E54329">
              <w:t>Rachakonda, Matthias Raiber, Yongqiang Zhang, Hongxing Zheng</w:t>
            </w:r>
          </w:p>
        </w:tc>
      </w:tr>
    </w:tbl>
    <w:p w14:paraId="3F558D9D" w14:textId="77777777" w:rsidR="00FA2699" w:rsidRDefault="00FA2699" w:rsidP="00CF683D">
      <w:pPr>
        <w:pStyle w:val="BodyText"/>
      </w:pPr>
    </w:p>
    <w:p w14:paraId="488F39D2" w14:textId="5069F8D6" w:rsidR="002D1B9B" w:rsidRDefault="7AD8E2CC" w:rsidP="7AD8E2CC">
      <w:pPr>
        <w:pStyle w:val="Heading1notnumbered"/>
      </w:pPr>
      <w:bookmarkStart w:id="18" w:name="_Toc4072455"/>
      <w:bookmarkStart w:id="19" w:name="_Toc5020785"/>
      <w:bookmarkStart w:id="20" w:name="_Toc5021592"/>
      <w:bookmarkStart w:id="21" w:name="_Toc5808353"/>
      <w:bookmarkStart w:id="22" w:name="_Toc5895045"/>
      <w:bookmarkStart w:id="23" w:name="_Toc6308933"/>
      <w:bookmarkStart w:id="24" w:name="_Toc6327597"/>
      <w:bookmarkStart w:id="25" w:name="_Toc38990432"/>
      <w:r>
        <w:t>Acknowledgements</w:t>
      </w:r>
      <w:bookmarkEnd w:id="18"/>
      <w:bookmarkEnd w:id="19"/>
      <w:bookmarkEnd w:id="20"/>
      <w:bookmarkEnd w:id="21"/>
      <w:bookmarkEnd w:id="22"/>
      <w:bookmarkEnd w:id="23"/>
      <w:bookmarkEnd w:id="24"/>
      <w:bookmarkEnd w:id="25"/>
    </w:p>
    <w:p w14:paraId="4E5B2F36" w14:textId="2B836775" w:rsidR="009F7CD7" w:rsidRDefault="7AD8E2CC" w:rsidP="6A6FA248">
      <w:r w:rsidRPr="7AD8E2CC">
        <w:rPr>
          <w:rFonts w:cs="Calibri"/>
        </w:rPr>
        <w:t xml:space="preserve">This technical product was reviewed by several groups: </w:t>
      </w:r>
    </w:p>
    <w:p w14:paraId="1F4380A1" w14:textId="77777777" w:rsidR="00FF0DFF" w:rsidRDefault="007E40DD" w:rsidP="00B3596F">
      <w:pPr>
        <w:pStyle w:val="ListBullet"/>
      </w:pPr>
      <w:r>
        <w:t xml:space="preserve">Internal </w:t>
      </w:r>
      <w:r w:rsidR="00315ADC">
        <w:t xml:space="preserve">Peer Review Group: </w:t>
      </w:r>
    </w:p>
    <w:p w14:paraId="5232A4E1" w14:textId="77777777" w:rsidR="00FF0DFF" w:rsidRDefault="00315ADC" w:rsidP="00FF0DFF">
      <w:pPr>
        <w:pStyle w:val="ListBullet2"/>
      </w:pPr>
      <w:r>
        <w:t xml:space="preserve">CSIRO: Allison Hortle </w:t>
      </w:r>
    </w:p>
    <w:p w14:paraId="75B1EA99" w14:textId="36861DD1" w:rsidR="007E40DD" w:rsidRDefault="00315ADC" w:rsidP="00FF0DFF">
      <w:pPr>
        <w:pStyle w:val="ListBullet2"/>
      </w:pPr>
      <w:r>
        <w:t xml:space="preserve">Geoscience Australia: </w:t>
      </w:r>
      <w:r w:rsidRPr="00315ADC">
        <w:t>Stephen Hostetler</w:t>
      </w:r>
      <w:r w:rsidR="00D04581">
        <w:t xml:space="preserve">, </w:t>
      </w:r>
      <w:r w:rsidR="00F53734" w:rsidRPr="00CA7024">
        <w:t>Sam Buchanan</w:t>
      </w:r>
    </w:p>
    <w:p w14:paraId="38521FDB" w14:textId="2FAAC4F5" w:rsidR="78FDE094" w:rsidRDefault="78FDE094" w:rsidP="78FDE094">
      <w:pPr>
        <w:pStyle w:val="ListBullet"/>
        <w:rPr>
          <w:szCs w:val="24"/>
        </w:rPr>
      </w:pPr>
      <w:r>
        <w:t>Technical Peer Review Group: Andrew Boulton, Peter McCabe, Catherine Moore, Jenny Stauber</w:t>
      </w:r>
    </w:p>
    <w:p w14:paraId="0EBF2441" w14:textId="520A405A" w:rsidR="00B9179B" w:rsidRDefault="00B9179B" w:rsidP="00B9179B">
      <w:pPr>
        <w:pStyle w:val="ListBullet"/>
      </w:pPr>
      <w:r w:rsidRPr="00B9179B">
        <w:t xml:space="preserve">State and Territory Government Science Technical Review: This group includes scientists from the Northern Territory </w:t>
      </w:r>
      <w:r w:rsidR="007C1CF7">
        <w:t>G</w:t>
      </w:r>
      <w:r w:rsidRPr="00B9179B">
        <w:t>overnment.</w:t>
      </w:r>
    </w:p>
    <w:p w14:paraId="2AE2BCBC" w14:textId="427B9E9E" w:rsidR="009017A5" w:rsidRDefault="009017A5" w:rsidP="009017A5">
      <w:pPr>
        <w:pStyle w:val="ListBullet"/>
        <w:numPr>
          <w:ilvl w:val="0"/>
          <w:numId w:val="0"/>
        </w:numPr>
        <w:ind w:left="567" w:hanging="283"/>
      </w:pPr>
    </w:p>
    <w:p w14:paraId="1B80E885" w14:textId="17517F1A" w:rsidR="009017A5" w:rsidRDefault="009017A5" w:rsidP="009017A5">
      <w:pPr>
        <w:pStyle w:val="Heading1notnumbered"/>
      </w:pPr>
      <w:bookmarkStart w:id="26" w:name="_Toc38990433"/>
      <w:r>
        <w:t>Abbreviations and acronyms</w:t>
      </w:r>
      <w:bookmarkEnd w:id="26"/>
    </w:p>
    <w:tbl>
      <w:tblPr>
        <w:tblStyle w:val="TableBAHeaderRow"/>
        <w:tblW w:w="0" w:type="auto"/>
        <w:tblLook w:val="04A0" w:firstRow="1" w:lastRow="0" w:firstColumn="1" w:lastColumn="0" w:noHBand="0" w:noVBand="1"/>
      </w:tblPr>
      <w:tblGrid>
        <w:gridCol w:w="4806"/>
        <w:gridCol w:w="4775"/>
      </w:tblGrid>
      <w:tr w:rsidR="009017A5" w14:paraId="05E94792" w14:textId="77777777" w:rsidTr="00FF0DFF">
        <w:trPr>
          <w:cnfStyle w:val="100000000000" w:firstRow="1" w:lastRow="0" w:firstColumn="0" w:lastColumn="0" w:oddVBand="0" w:evenVBand="0" w:oddHBand="0" w:evenHBand="0" w:firstRowFirstColumn="0" w:firstRowLastColumn="0" w:lastRowFirstColumn="0" w:lastRowLastColumn="0"/>
        </w:trPr>
        <w:tc>
          <w:tcPr>
            <w:tcW w:w="4806" w:type="dxa"/>
          </w:tcPr>
          <w:p w14:paraId="5EA7D2A8" w14:textId="36CB8518" w:rsidR="009017A5" w:rsidRDefault="00907CC8" w:rsidP="00B26B51">
            <w:pPr>
              <w:pStyle w:val="TableText"/>
            </w:pPr>
            <w:r>
              <w:t>Abbreviation/acronym</w:t>
            </w:r>
          </w:p>
        </w:tc>
        <w:tc>
          <w:tcPr>
            <w:tcW w:w="4775" w:type="dxa"/>
          </w:tcPr>
          <w:p w14:paraId="6749665F" w14:textId="7FCA7970" w:rsidR="009017A5" w:rsidRDefault="00B26B51" w:rsidP="00B26B51">
            <w:pPr>
              <w:pStyle w:val="TableText"/>
            </w:pPr>
            <w:r>
              <w:t>Definition</w:t>
            </w:r>
          </w:p>
        </w:tc>
      </w:tr>
      <w:tr w:rsidR="009017A5" w14:paraId="546A80A8" w14:textId="77777777" w:rsidTr="00FF0DFF">
        <w:trPr>
          <w:cnfStyle w:val="000000100000" w:firstRow="0" w:lastRow="0" w:firstColumn="0" w:lastColumn="0" w:oddVBand="0" w:evenVBand="0" w:oddHBand="1" w:evenHBand="0" w:firstRowFirstColumn="0" w:firstRowLastColumn="0" w:lastRowFirstColumn="0" w:lastRowLastColumn="0"/>
        </w:trPr>
        <w:tc>
          <w:tcPr>
            <w:tcW w:w="4806" w:type="dxa"/>
          </w:tcPr>
          <w:p w14:paraId="616B6595" w14:textId="2F5590E6" w:rsidR="009017A5" w:rsidRDefault="006B238B" w:rsidP="00B26B51">
            <w:pPr>
              <w:pStyle w:val="TableText"/>
            </w:pPr>
            <w:r>
              <w:t>middle Velkerri Formation</w:t>
            </w:r>
          </w:p>
        </w:tc>
        <w:tc>
          <w:tcPr>
            <w:tcW w:w="4775" w:type="dxa"/>
          </w:tcPr>
          <w:p w14:paraId="7024F226" w14:textId="38EB771B" w:rsidR="009017A5" w:rsidRDefault="008F785B" w:rsidP="00B26B51">
            <w:pPr>
              <w:pStyle w:val="TableText"/>
            </w:pPr>
            <w:r>
              <w:t>Amungee Member</w:t>
            </w:r>
          </w:p>
        </w:tc>
      </w:tr>
      <w:tr w:rsidR="008F785B" w14:paraId="303B454C" w14:textId="77777777" w:rsidTr="00FF0DFF">
        <w:trPr>
          <w:cnfStyle w:val="000000010000" w:firstRow="0" w:lastRow="0" w:firstColumn="0" w:lastColumn="0" w:oddVBand="0" w:evenVBand="0" w:oddHBand="0" w:evenHBand="1" w:firstRowFirstColumn="0" w:firstRowLastColumn="0" w:lastRowFirstColumn="0" w:lastRowLastColumn="0"/>
        </w:trPr>
        <w:tc>
          <w:tcPr>
            <w:tcW w:w="4806" w:type="dxa"/>
          </w:tcPr>
          <w:p w14:paraId="047A032E" w14:textId="43A4E46D" w:rsidR="008F785B" w:rsidRDefault="007739E8" w:rsidP="00B26B51">
            <w:pPr>
              <w:pStyle w:val="TableText"/>
            </w:pPr>
            <w:r>
              <w:t>CSG</w:t>
            </w:r>
          </w:p>
        </w:tc>
        <w:tc>
          <w:tcPr>
            <w:tcW w:w="4775" w:type="dxa"/>
          </w:tcPr>
          <w:p w14:paraId="57D8B8ED" w14:textId="6471301F" w:rsidR="008F785B" w:rsidRDefault="007739E8" w:rsidP="00B26B51">
            <w:pPr>
              <w:pStyle w:val="TableText"/>
            </w:pPr>
            <w:r>
              <w:t>Coal seam gas</w:t>
            </w:r>
          </w:p>
        </w:tc>
      </w:tr>
      <w:tr w:rsidR="008F785B" w14:paraId="0E8A7CD6" w14:textId="77777777" w:rsidTr="00FF0DFF">
        <w:trPr>
          <w:cnfStyle w:val="000000100000" w:firstRow="0" w:lastRow="0" w:firstColumn="0" w:lastColumn="0" w:oddVBand="0" w:evenVBand="0" w:oddHBand="1" w:evenHBand="0" w:firstRowFirstColumn="0" w:firstRowLastColumn="0" w:lastRowFirstColumn="0" w:lastRowLastColumn="0"/>
        </w:trPr>
        <w:tc>
          <w:tcPr>
            <w:tcW w:w="4806" w:type="dxa"/>
          </w:tcPr>
          <w:p w14:paraId="6C16025D" w14:textId="576B9344" w:rsidR="008F785B" w:rsidRDefault="008A500B" w:rsidP="00B26B51">
            <w:pPr>
              <w:pStyle w:val="TableText"/>
            </w:pPr>
            <w:r>
              <w:t>DEA</w:t>
            </w:r>
          </w:p>
        </w:tc>
        <w:tc>
          <w:tcPr>
            <w:tcW w:w="4775" w:type="dxa"/>
          </w:tcPr>
          <w:p w14:paraId="2365AC2A" w14:textId="289355C0" w:rsidR="008F785B" w:rsidRDefault="008A500B" w:rsidP="00B26B51">
            <w:pPr>
              <w:pStyle w:val="TableText"/>
            </w:pPr>
            <w:r>
              <w:t>Digital Earth Australia</w:t>
            </w:r>
          </w:p>
        </w:tc>
      </w:tr>
      <w:tr w:rsidR="008F785B" w14:paraId="132E1F99" w14:textId="77777777" w:rsidTr="00FF0DFF">
        <w:trPr>
          <w:cnfStyle w:val="000000010000" w:firstRow="0" w:lastRow="0" w:firstColumn="0" w:lastColumn="0" w:oddVBand="0" w:evenVBand="0" w:oddHBand="0" w:evenHBand="1" w:firstRowFirstColumn="0" w:firstRowLastColumn="0" w:lastRowFirstColumn="0" w:lastRowLastColumn="0"/>
        </w:trPr>
        <w:tc>
          <w:tcPr>
            <w:tcW w:w="4806" w:type="dxa"/>
          </w:tcPr>
          <w:p w14:paraId="535523ED" w14:textId="64E09CDF" w:rsidR="008F785B" w:rsidRDefault="000B6E1F" w:rsidP="00B26B51">
            <w:pPr>
              <w:pStyle w:val="TableText"/>
            </w:pPr>
            <w:r>
              <w:t>DEM</w:t>
            </w:r>
          </w:p>
        </w:tc>
        <w:tc>
          <w:tcPr>
            <w:tcW w:w="4775" w:type="dxa"/>
          </w:tcPr>
          <w:p w14:paraId="04502F2A" w14:textId="0DD9BFA4" w:rsidR="008F785B" w:rsidRDefault="000B6E1F" w:rsidP="00B26B51">
            <w:pPr>
              <w:pStyle w:val="TableText"/>
            </w:pPr>
            <w:r>
              <w:t>Digital elevation model</w:t>
            </w:r>
          </w:p>
        </w:tc>
      </w:tr>
      <w:tr w:rsidR="008F785B" w14:paraId="2FBE6BE1" w14:textId="77777777" w:rsidTr="00FF0DFF">
        <w:trPr>
          <w:cnfStyle w:val="000000100000" w:firstRow="0" w:lastRow="0" w:firstColumn="0" w:lastColumn="0" w:oddVBand="0" w:evenVBand="0" w:oddHBand="1" w:evenHBand="0" w:firstRowFirstColumn="0" w:firstRowLastColumn="0" w:lastRowFirstColumn="0" w:lastRowLastColumn="0"/>
        </w:trPr>
        <w:tc>
          <w:tcPr>
            <w:tcW w:w="4806" w:type="dxa"/>
          </w:tcPr>
          <w:p w14:paraId="2655289E" w14:textId="325E5971" w:rsidR="008F785B" w:rsidRDefault="00027BF7" w:rsidP="00B26B51">
            <w:pPr>
              <w:pStyle w:val="TableText"/>
            </w:pPr>
            <w:r>
              <w:t xml:space="preserve">DST </w:t>
            </w:r>
          </w:p>
        </w:tc>
        <w:tc>
          <w:tcPr>
            <w:tcW w:w="4775" w:type="dxa"/>
          </w:tcPr>
          <w:p w14:paraId="2C03FAEF" w14:textId="689D55E1" w:rsidR="008F785B" w:rsidRDefault="00027BF7" w:rsidP="00B26B51">
            <w:pPr>
              <w:pStyle w:val="TableText"/>
            </w:pPr>
            <w:r>
              <w:t>Drill stem test</w:t>
            </w:r>
          </w:p>
        </w:tc>
      </w:tr>
      <w:tr w:rsidR="008F785B" w14:paraId="1DD64B30" w14:textId="77777777" w:rsidTr="00FF0DFF">
        <w:trPr>
          <w:cnfStyle w:val="000000010000" w:firstRow="0" w:lastRow="0" w:firstColumn="0" w:lastColumn="0" w:oddVBand="0" w:evenVBand="0" w:oddHBand="0" w:evenHBand="1" w:firstRowFirstColumn="0" w:firstRowLastColumn="0" w:lastRowFirstColumn="0" w:lastRowLastColumn="0"/>
        </w:trPr>
        <w:tc>
          <w:tcPr>
            <w:tcW w:w="4806" w:type="dxa"/>
          </w:tcPr>
          <w:p w14:paraId="3E1E9617" w14:textId="436F25D3" w:rsidR="008F785B" w:rsidRDefault="0067041B" w:rsidP="00B26B51">
            <w:pPr>
              <w:pStyle w:val="TableText"/>
            </w:pPr>
            <w:r>
              <w:t>GBA</w:t>
            </w:r>
          </w:p>
        </w:tc>
        <w:tc>
          <w:tcPr>
            <w:tcW w:w="4775" w:type="dxa"/>
          </w:tcPr>
          <w:p w14:paraId="3670BB82" w14:textId="654F75D3" w:rsidR="008F785B" w:rsidRDefault="0067041B" w:rsidP="00B26B51">
            <w:pPr>
              <w:pStyle w:val="TableText"/>
            </w:pPr>
            <w:r>
              <w:t>Geological and Bioregional Assessment</w:t>
            </w:r>
          </w:p>
        </w:tc>
      </w:tr>
      <w:tr w:rsidR="008F785B" w14:paraId="574E7D0F" w14:textId="77777777" w:rsidTr="00FF0DFF">
        <w:trPr>
          <w:cnfStyle w:val="000000100000" w:firstRow="0" w:lastRow="0" w:firstColumn="0" w:lastColumn="0" w:oddVBand="0" w:evenVBand="0" w:oddHBand="1" w:evenHBand="0" w:firstRowFirstColumn="0" w:firstRowLastColumn="0" w:lastRowFirstColumn="0" w:lastRowLastColumn="0"/>
        </w:trPr>
        <w:tc>
          <w:tcPr>
            <w:tcW w:w="4806" w:type="dxa"/>
          </w:tcPr>
          <w:p w14:paraId="29EFAF5C" w14:textId="445C8E0E" w:rsidR="008F785B" w:rsidRDefault="00042C9D" w:rsidP="00B26B51">
            <w:pPr>
              <w:pStyle w:val="TableText"/>
            </w:pPr>
            <w:r>
              <w:t>GDE</w:t>
            </w:r>
          </w:p>
        </w:tc>
        <w:tc>
          <w:tcPr>
            <w:tcW w:w="4775" w:type="dxa"/>
          </w:tcPr>
          <w:p w14:paraId="6B2721F4" w14:textId="5B0D8D0A" w:rsidR="008F785B" w:rsidRDefault="00042C9D" w:rsidP="00B26B51">
            <w:pPr>
              <w:pStyle w:val="TableText"/>
            </w:pPr>
            <w:r>
              <w:t>Groundwater-dependent ecosystem</w:t>
            </w:r>
          </w:p>
        </w:tc>
      </w:tr>
      <w:tr w:rsidR="008F785B" w14:paraId="063082CC" w14:textId="77777777" w:rsidTr="00FF0DFF">
        <w:trPr>
          <w:cnfStyle w:val="000000010000" w:firstRow="0" w:lastRow="0" w:firstColumn="0" w:lastColumn="0" w:oddVBand="0" w:evenVBand="0" w:oddHBand="0" w:evenHBand="1" w:firstRowFirstColumn="0" w:firstRowLastColumn="0" w:lastRowFirstColumn="0" w:lastRowLastColumn="0"/>
        </w:trPr>
        <w:tc>
          <w:tcPr>
            <w:tcW w:w="4806" w:type="dxa"/>
          </w:tcPr>
          <w:p w14:paraId="4BB38B42" w14:textId="1417C01F" w:rsidR="008F785B" w:rsidRPr="000C1A72" w:rsidRDefault="00D24823" w:rsidP="00B26B51">
            <w:pPr>
              <w:pStyle w:val="TableText"/>
            </w:pPr>
            <w:r w:rsidRPr="000C1A72">
              <w:t>lower Velkerri Formation</w:t>
            </w:r>
          </w:p>
        </w:tc>
        <w:tc>
          <w:tcPr>
            <w:tcW w:w="4775" w:type="dxa"/>
          </w:tcPr>
          <w:p w14:paraId="41F2443C" w14:textId="5F27B3AD" w:rsidR="008F785B" w:rsidRPr="000C1A72" w:rsidRDefault="00C07712" w:rsidP="00B26B51">
            <w:pPr>
              <w:pStyle w:val="TableText"/>
            </w:pPr>
            <w:r w:rsidRPr="000C1A72">
              <w:t>Kalala Member</w:t>
            </w:r>
          </w:p>
        </w:tc>
      </w:tr>
      <w:tr w:rsidR="00FF0DFF" w14:paraId="6AD3866A" w14:textId="77777777" w:rsidTr="00FF0DFF">
        <w:trPr>
          <w:cnfStyle w:val="000000100000" w:firstRow="0" w:lastRow="0" w:firstColumn="0" w:lastColumn="0" w:oddVBand="0" w:evenVBand="0" w:oddHBand="1" w:evenHBand="0" w:firstRowFirstColumn="0" w:firstRowLastColumn="0" w:lastRowFirstColumn="0" w:lastRowLastColumn="0"/>
        </w:trPr>
        <w:tc>
          <w:tcPr>
            <w:tcW w:w="4806" w:type="dxa"/>
          </w:tcPr>
          <w:p w14:paraId="54E672E9" w14:textId="07D65FCD" w:rsidR="00FF0DFF" w:rsidRPr="000C1A72" w:rsidRDefault="00FF0DFF" w:rsidP="00FF0DFF">
            <w:pPr>
              <w:pStyle w:val="TableText"/>
            </w:pPr>
            <w:r>
              <w:t>TCI</w:t>
            </w:r>
          </w:p>
        </w:tc>
        <w:tc>
          <w:tcPr>
            <w:tcW w:w="4775" w:type="dxa"/>
          </w:tcPr>
          <w:p w14:paraId="27D328DE" w14:textId="4626025B" w:rsidR="00FF0DFF" w:rsidRPr="000C1A72" w:rsidRDefault="00FF0DFF" w:rsidP="00FF0DFF">
            <w:pPr>
              <w:pStyle w:val="TableText"/>
            </w:pPr>
            <w:r>
              <w:t>Tasselled Cap Index</w:t>
            </w:r>
          </w:p>
        </w:tc>
      </w:tr>
      <w:tr w:rsidR="00FF0DFF" w14:paraId="0D5A2063" w14:textId="77777777" w:rsidTr="00FF0DFF">
        <w:trPr>
          <w:cnfStyle w:val="000000010000" w:firstRow="0" w:lastRow="0" w:firstColumn="0" w:lastColumn="0" w:oddVBand="0" w:evenVBand="0" w:oddHBand="0" w:evenHBand="1" w:firstRowFirstColumn="0" w:firstRowLastColumn="0" w:lastRowFirstColumn="0" w:lastRowLastColumn="0"/>
        </w:trPr>
        <w:tc>
          <w:tcPr>
            <w:tcW w:w="4806" w:type="dxa"/>
          </w:tcPr>
          <w:p w14:paraId="5AA74AAA" w14:textId="669D8DD5" w:rsidR="00FF0DFF" w:rsidRPr="000C1A72" w:rsidRDefault="00FF0DFF" w:rsidP="00FF0DFF">
            <w:pPr>
              <w:pStyle w:val="TableText"/>
            </w:pPr>
            <w:r w:rsidRPr="000C1A72">
              <w:t>TDS</w:t>
            </w:r>
          </w:p>
        </w:tc>
        <w:tc>
          <w:tcPr>
            <w:tcW w:w="4775" w:type="dxa"/>
          </w:tcPr>
          <w:p w14:paraId="5EE83585" w14:textId="14FBB83D" w:rsidR="00FF0DFF" w:rsidRPr="000C1A72" w:rsidRDefault="00FF0DFF" w:rsidP="00FF0DFF">
            <w:pPr>
              <w:pStyle w:val="TableText"/>
            </w:pPr>
            <w:r w:rsidRPr="000C1A72">
              <w:t>Total Dissolved Solids</w:t>
            </w:r>
          </w:p>
        </w:tc>
      </w:tr>
      <w:tr w:rsidR="00FF0DFF" w14:paraId="2486823F" w14:textId="77777777" w:rsidTr="00FF0DFF">
        <w:trPr>
          <w:cnfStyle w:val="000000100000" w:firstRow="0" w:lastRow="0" w:firstColumn="0" w:lastColumn="0" w:oddVBand="0" w:evenVBand="0" w:oddHBand="1" w:evenHBand="0" w:firstRowFirstColumn="0" w:firstRowLastColumn="0" w:lastRowFirstColumn="0" w:lastRowLastColumn="0"/>
        </w:trPr>
        <w:tc>
          <w:tcPr>
            <w:tcW w:w="4806" w:type="dxa"/>
          </w:tcPr>
          <w:p w14:paraId="34BE08A2" w14:textId="1C8500AB" w:rsidR="00FF0DFF" w:rsidRDefault="00FF0DFF" w:rsidP="00FF0DFF">
            <w:pPr>
              <w:pStyle w:val="TableText"/>
            </w:pPr>
            <w:r>
              <w:t>TOC</w:t>
            </w:r>
          </w:p>
        </w:tc>
        <w:tc>
          <w:tcPr>
            <w:tcW w:w="4775" w:type="dxa"/>
          </w:tcPr>
          <w:p w14:paraId="795DF4D5" w14:textId="5F50A541" w:rsidR="00FF0DFF" w:rsidRDefault="00FF0DFF" w:rsidP="00FF0DFF">
            <w:pPr>
              <w:pStyle w:val="TableText"/>
            </w:pPr>
            <w:r>
              <w:t>Total organic carbon</w:t>
            </w:r>
          </w:p>
        </w:tc>
      </w:tr>
    </w:tbl>
    <w:p w14:paraId="2C85C823" w14:textId="77777777" w:rsidR="009017A5" w:rsidRPr="009017A5" w:rsidRDefault="009017A5" w:rsidP="009017A5">
      <w:pPr>
        <w:pStyle w:val="BodyText"/>
      </w:pPr>
    </w:p>
    <w:p w14:paraId="422D0C03" w14:textId="10873680" w:rsidR="009F7CD7" w:rsidRDefault="4ED27E3C" w:rsidP="6A6FA248">
      <w:r>
        <w:br w:type="page"/>
      </w:r>
    </w:p>
    <w:p w14:paraId="5532B358" w14:textId="77777777" w:rsidR="00530B43" w:rsidRDefault="00530B43" w:rsidP="00FC2CCC">
      <w:pPr>
        <w:pStyle w:val="BodyText"/>
        <w:sectPr w:rsidR="00530B43" w:rsidSect="00B65F93">
          <w:headerReference w:type="even" r:id="rId38"/>
          <w:headerReference w:type="default" r:id="rId39"/>
          <w:footerReference w:type="even" r:id="rId40"/>
          <w:footerReference w:type="default" r:id="rId41"/>
          <w:pgSz w:w="11906" w:h="16838" w:code="9"/>
          <w:pgMar w:top="1247" w:right="1134" w:bottom="1134" w:left="1134" w:header="510" w:footer="624" w:gutter="0"/>
          <w:pgNumType w:fmt="lowerRoman"/>
          <w:cols w:space="284"/>
          <w:docGrid w:linePitch="360"/>
        </w:sectPr>
      </w:pPr>
    </w:p>
    <w:p w14:paraId="15171229" w14:textId="737C45AE" w:rsidR="002D1B9B" w:rsidRPr="00B732DC" w:rsidRDefault="7AD8E2CC" w:rsidP="003C67D6">
      <w:pPr>
        <w:pStyle w:val="Heading2notnumbered"/>
      </w:pPr>
      <w:bookmarkStart w:id="27" w:name="_Toc4072456"/>
      <w:bookmarkStart w:id="28" w:name="_Toc5020786"/>
      <w:bookmarkStart w:id="29" w:name="_Toc5021593"/>
      <w:bookmarkStart w:id="30" w:name="_Toc5808354"/>
      <w:bookmarkStart w:id="31" w:name="_Toc5895046"/>
      <w:bookmarkStart w:id="32" w:name="_Toc6308934"/>
      <w:bookmarkStart w:id="33" w:name="_Toc6327598"/>
      <w:bookmarkStart w:id="34" w:name="_Toc38990434"/>
      <w:r>
        <w:t>The Geological and Bioregional Assessment Program</w:t>
      </w:r>
      <w:bookmarkEnd w:id="27"/>
      <w:bookmarkEnd w:id="28"/>
      <w:bookmarkEnd w:id="29"/>
      <w:bookmarkEnd w:id="30"/>
      <w:bookmarkEnd w:id="31"/>
      <w:bookmarkEnd w:id="32"/>
      <w:bookmarkEnd w:id="33"/>
      <w:bookmarkEnd w:id="34"/>
    </w:p>
    <w:p w14:paraId="14FFFD6C" w14:textId="2A1BDF9F" w:rsidR="009E761B" w:rsidRDefault="4B2B4759" w:rsidP="009E761B">
      <w:bookmarkStart w:id="35" w:name="_Toc316485991"/>
      <w:r>
        <w:t xml:space="preserve">The $35.4 million Geological and Bioregional Assessment Program is assessing the potential environmental impacts of shale and tight gas development to inform regulatory frameworks and appropriate management approaches. The geological and environmental knowledge, data and tools produced by the Program will assist governments, industry, landowners and the community by informing decision making and enabling the coordinated management of potential impacts. </w:t>
      </w:r>
    </w:p>
    <w:p w14:paraId="3BA9C4D1" w14:textId="31E26B43" w:rsidR="009E761B" w:rsidRDefault="50BA1442" w:rsidP="009E761B">
      <w:r>
        <w:t>In consultation with state and territory governments and industry, three geological basins were selected based on prioritisation and ranking in Stage 1: Cooper Basin, Isa Superbasin and Beetaloo Sub-basin. In Stage 2, geological, hydrological and ecological data were used to define ‘GBA regions’: Cooper GBA region in Queensland, SA and NSW, the Isa GBA region in Queensland and the Beetaloo GBA region in NT.</w:t>
      </w:r>
    </w:p>
    <w:p w14:paraId="7AF062AF" w14:textId="77777777" w:rsidR="009E761B" w:rsidRDefault="009E761B" w:rsidP="009E761B">
      <w:r>
        <w:t>The GBA Program will assess the potential impacts of selected shale and tight gas development on water and the environment and provide independent scientific advice to governments, landowners and the community, business and investors to inform decision making. Geoscience Australia and CSIRO are conducting the assessments. The Program is managed by the Department of the Environment and Energy and supported by the Bureau of Meteorology.</w:t>
      </w:r>
    </w:p>
    <w:p w14:paraId="7306CED4" w14:textId="77777777" w:rsidR="009E761B" w:rsidRDefault="009E761B" w:rsidP="009E761B">
      <w:r>
        <w:t xml:space="preserve">The GBA Program aims to: </w:t>
      </w:r>
    </w:p>
    <w:p w14:paraId="67399393" w14:textId="77777777" w:rsidR="009E761B" w:rsidRDefault="009E761B" w:rsidP="009E761B">
      <w:pPr>
        <w:pStyle w:val="ListBullet"/>
      </w:pPr>
      <w:r>
        <w:t>inform government and industry and encourage exploration to bring new gas supplies to the East Coast Gas Market within five to ten years</w:t>
      </w:r>
    </w:p>
    <w:p w14:paraId="26DF5249" w14:textId="77777777" w:rsidR="009E761B" w:rsidRDefault="009E761B" w:rsidP="009E761B">
      <w:pPr>
        <w:pStyle w:val="ListBullet"/>
      </w:pPr>
      <w:r>
        <w:t>increase understanding of the potential impacts on water and the environment posed by development of shale and tight gas resources</w:t>
      </w:r>
    </w:p>
    <w:p w14:paraId="606472DD" w14:textId="77777777" w:rsidR="009E761B" w:rsidRDefault="009E761B" w:rsidP="009E761B">
      <w:pPr>
        <w:pStyle w:val="ListBullet"/>
      </w:pPr>
      <w:r>
        <w:t>increase the efficiency of assessment and ongoing regulation, particularly through improved reporting and data provision/management approaches</w:t>
      </w:r>
    </w:p>
    <w:p w14:paraId="089778E8" w14:textId="77777777" w:rsidR="009E761B" w:rsidRDefault="009E761B" w:rsidP="009E761B">
      <w:pPr>
        <w:pStyle w:val="ListBullet"/>
      </w:pPr>
      <w:r>
        <w:t xml:space="preserve">improve community understanding of the industry. </w:t>
      </w:r>
    </w:p>
    <w:p w14:paraId="36060FFC" w14:textId="77777777" w:rsidR="009E761B" w:rsidRDefault="009E761B" w:rsidP="009E761B">
      <w:r>
        <w:t>The GBA Program commenced in July 2017 and comprises three stages:</w:t>
      </w:r>
    </w:p>
    <w:p w14:paraId="219FF6C3" w14:textId="77777777" w:rsidR="009E761B" w:rsidRDefault="009E761B" w:rsidP="009E761B">
      <w:pPr>
        <w:pStyle w:val="ListBullet"/>
      </w:pPr>
      <w:r w:rsidRPr="009E761B">
        <w:rPr>
          <w:b/>
          <w:bCs/>
        </w:rPr>
        <w:t>Stage 1 Rapid regional basin prioritisation</w:t>
      </w:r>
      <w:r>
        <w:t xml:space="preserve"> identified and prioritised geological basins with the greatest potential to deliver shale and/or tight gas to the East Coast Gas Market within the next five to ten years.  </w:t>
      </w:r>
    </w:p>
    <w:p w14:paraId="10CA63DF" w14:textId="77777777" w:rsidR="009E761B" w:rsidRDefault="009E761B" w:rsidP="009E761B">
      <w:pPr>
        <w:pStyle w:val="ListBullet"/>
      </w:pPr>
      <w:r w:rsidRPr="009E761B">
        <w:rPr>
          <w:b/>
          <w:bCs/>
        </w:rPr>
        <w:t>Stage 2 Geological and environmental baseline assessments</w:t>
      </w:r>
      <w:r>
        <w:t xml:space="preserve"> is compiling and analysing available data for the three selected regions to form a baseline and identify gaps to guide collection of additional baseline data where needed. This analysis includes a geological basin assessment to define structural and stratigraphic characteristics and an environmental data synthesis.</w:t>
      </w:r>
    </w:p>
    <w:p w14:paraId="3F660AFF" w14:textId="1D15D505" w:rsidR="009E761B" w:rsidRDefault="009E761B" w:rsidP="009E761B">
      <w:pPr>
        <w:pStyle w:val="ListBullet"/>
      </w:pPr>
      <w:r w:rsidRPr="009E761B">
        <w:rPr>
          <w:b/>
          <w:bCs/>
        </w:rPr>
        <w:t>Stage 3 Impact analysis and management</w:t>
      </w:r>
      <w:r>
        <w:t xml:space="preserve"> will analyse the potential impacts to water resources and matters of environmental significance to inform and support Commonwealth and State </w:t>
      </w:r>
      <w:r w:rsidR="000607B8">
        <w:t xml:space="preserve">Territory </w:t>
      </w:r>
      <w:r>
        <w:t>management and compliance activities.</w:t>
      </w:r>
    </w:p>
    <w:p w14:paraId="00AB7637" w14:textId="6AE37681" w:rsidR="00856D01" w:rsidRPr="001F0A6B" w:rsidRDefault="009E761B" w:rsidP="009E761B">
      <w:r>
        <w:t xml:space="preserve">The PDF of this report and the supporting technical appendices are available at </w:t>
      </w:r>
      <w:hyperlink r:id="rId42" w:history="1">
        <w:r w:rsidRPr="00CC08FA">
          <w:rPr>
            <w:rStyle w:val="Hyperlink"/>
          </w:rPr>
          <w:t>https://www.bioregionalassessments.gov.au/geological-and-bioregional-assessment-program</w:t>
        </w:r>
      </w:hyperlink>
      <w:r>
        <w:t>.</w:t>
      </w:r>
      <w:r w:rsidR="00C31287" w:rsidRPr="7043D1F5">
        <w:t xml:space="preserve"> </w:t>
      </w:r>
      <w:r w:rsidR="00856D01" w:rsidRPr="001F0A6B">
        <w:br w:type="page"/>
      </w:r>
    </w:p>
    <w:p w14:paraId="15F82873" w14:textId="77777777" w:rsidR="00856D01" w:rsidRPr="009E761B" w:rsidRDefault="00856D01" w:rsidP="001F0A6B">
      <w:pPr>
        <w:rPr>
          <w:b/>
          <w:i/>
          <w:iCs/>
        </w:rPr>
      </w:pPr>
      <w:r w:rsidRPr="009E761B">
        <w:rPr>
          <w:b/>
          <w:i/>
          <w:iCs/>
        </w:rPr>
        <w:t>About this report</w:t>
      </w:r>
    </w:p>
    <w:p w14:paraId="27540633" w14:textId="18FBA594" w:rsidR="00FA7FD1" w:rsidRDefault="00FA7FD1" w:rsidP="00FA7FD1">
      <w:r w:rsidRPr="00FA7FD1">
        <w:t xml:space="preserve">Presented in this technical appendix </w:t>
      </w:r>
      <w:r w:rsidR="005B094A">
        <w:t>is a review of the hydrogeology for the</w:t>
      </w:r>
      <w:r w:rsidRPr="00FA7FD1">
        <w:t xml:space="preserve"> Beetaloo GBA region. It provides more detailed information regarding </w:t>
      </w:r>
      <w:r w:rsidR="005B094A">
        <w:t>a groundwater data inventory, groundwater system conceptualisation, and conceptual models of potential connectivity pathways</w:t>
      </w:r>
      <w:r w:rsidRPr="00FA7FD1">
        <w:t>. The structure and focus of the synthesis report and technical appendices reflect the needs of government, industry, landowners and community groups.</w:t>
      </w:r>
    </w:p>
    <w:p w14:paraId="090BEAD2" w14:textId="6B8879D7" w:rsidR="009E761B" w:rsidRPr="009E761B" w:rsidRDefault="009E761B" w:rsidP="00FA7FD1">
      <w:pPr>
        <w:rPr>
          <w:rStyle w:val="Bold"/>
          <w:i/>
          <w:iCs/>
        </w:rPr>
      </w:pPr>
      <w:r w:rsidRPr="009E761B">
        <w:rPr>
          <w:rStyle w:val="Bold"/>
          <w:i/>
          <w:iCs/>
        </w:rPr>
        <w:t>Technical appendices</w:t>
      </w:r>
    </w:p>
    <w:p w14:paraId="025276B1" w14:textId="758E0B8A" w:rsidR="00946E46" w:rsidRDefault="009E761B" w:rsidP="00946E46">
      <w:r>
        <w:t>Other t</w:t>
      </w:r>
      <w:r w:rsidR="00FA7FD1" w:rsidRPr="00FA7FD1">
        <w:t xml:space="preserve">echnical appendices that support the geological and environmental baseline assessment for the Beetaloo GBA region are: </w:t>
      </w:r>
    </w:p>
    <w:p w14:paraId="4BFF4990" w14:textId="2D34FCF5" w:rsidR="00946E46" w:rsidRPr="00946E46" w:rsidRDefault="00917989" w:rsidP="00946E46">
      <w:pPr>
        <w:pStyle w:val="ListBullet"/>
      </w:pPr>
      <w:r w:rsidRPr="00917989">
        <w:t>Orr ML, Bernardel G, Owens R, Hall LS, Skeers N, Reese B and Woods M</w:t>
      </w:r>
      <w:r w:rsidR="00946E46" w:rsidRPr="00946E46">
        <w:t xml:space="preserve"> (20</w:t>
      </w:r>
      <w:r w:rsidR="006456ED">
        <w:t>20</w:t>
      </w:r>
      <w:r w:rsidR="00946E46" w:rsidRPr="00946E46">
        <w:t xml:space="preserve">) Geology of the Beetaloo GBA region. </w:t>
      </w:r>
    </w:p>
    <w:p w14:paraId="1BB5EBBC" w14:textId="025964F2" w:rsidR="00946E46" w:rsidRPr="00946E46" w:rsidRDefault="00946E46" w:rsidP="00946E46">
      <w:pPr>
        <w:pStyle w:val="ListBullet"/>
      </w:pPr>
      <w:r w:rsidRPr="00946E46">
        <w:t>Hall LS, Wang L, Bailey AHE, Orr ML, Owens R, Jarrett, A, Lech ME, Skeers N, Reese B and Woods M (20</w:t>
      </w:r>
      <w:r w:rsidR="006456ED">
        <w:t>20</w:t>
      </w:r>
      <w:r w:rsidRPr="00946E46">
        <w:t xml:space="preserve">) Petroleum prospectivity </w:t>
      </w:r>
      <w:r w:rsidR="008E6CE3">
        <w:t>of</w:t>
      </w:r>
      <w:r w:rsidRPr="00946E46">
        <w:t xml:space="preserve"> the Beetaloo Sub-basin. </w:t>
      </w:r>
    </w:p>
    <w:p w14:paraId="74124E51" w14:textId="07E63DBB" w:rsidR="00946E46" w:rsidRPr="00946E46" w:rsidRDefault="00946E46" w:rsidP="00946E46">
      <w:pPr>
        <w:pStyle w:val="ListBullet"/>
      </w:pPr>
      <w:r w:rsidRPr="00946E46">
        <w:t>Pavey C, Herr A, MacFarlane CM, Merrin LE and O’Grady AP (20</w:t>
      </w:r>
      <w:r w:rsidR="006456ED">
        <w:t>20</w:t>
      </w:r>
      <w:r w:rsidRPr="00946E46">
        <w:t xml:space="preserve">) Protected matters for the Beetaloo GBA region. </w:t>
      </w:r>
    </w:p>
    <w:p w14:paraId="7D536F49" w14:textId="2E6514CB" w:rsidR="00946E46" w:rsidRPr="00946E46" w:rsidRDefault="00946E46" w:rsidP="00946E46">
      <w:pPr>
        <w:pStyle w:val="ListBullet"/>
      </w:pPr>
      <w:r w:rsidRPr="00946E46">
        <w:t>Kirby JK, Golding L, Williams M, Apte S, Mallants D, King J, Otalega I and Kookana R (20</w:t>
      </w:r>
      <w:r w:rsidR="006456ED">
        <w:t>20</w:t>
      </w:r>
      <w:r w:rsidRPr="00946E46">
        <w:t xml:space="preserve">) Qualitative </w:t>
      </w:r>
      <w:r w:rsidR="00917989">
        <w:t xml:space="preserve">(screening) </w:t>
      </w:r>
      <w:r w:rsidRPr="00946E46">
        <w:t xml:space="preserve">environmental risk assessment of drilling and hydraulic fracturing chemicals for the Beetaloo GBA region. </w:t>
      </w:r>
    </w:p>
    <w:p w14:paraId="04E13916" w14:textId="59D02C4A" w:rsidR="00946E46" w:rsidRPr="00946E46" w:rsidRDefault="00946E46" w:rsidP="00946E46">
      <w:pPr>
        <w:pStyle w:val="ListBullet"/>
      </w:pPr>
      <w:r w:rsidRPr="00946E46">
        <w:t>Kear J and Kasperczyk D (20</w:t>
      </w:r>
      <w:r w:rsidR="006456ED">
        <w:t>20</w:t>
      </w:r>
      <w:r w:rsidRPr="00946E46">
        <w:t xml:space="preserve">) Hydraulic fracturing and well integrity </w:t>
      </w:r>
      <w:r w:rsidR="00625014">
        <w:t xml:space="preserve">review </w:t>
      </w:r>
      <w:r w:rsidRPr="00946E46">
        <w:t>for the GBA regions.</w:t>
      </w:r>
    </w:p>
    <w:p w14:paraId="67399528" w14:textId="1C1C3882" w:rsidR="00FB1DF1" w:rsidRDefault="006F3811" w:rsidP="00FA7FD1">
      <w:r>
        <w:t>All maps for the Beetaloo</w:t>
      </w:r>
      <w:r w:rsidR="00856D01" w:rsidRPr="00856D01">
        <w:t xml:space="preserve"> GBA region use the</w:t>
      </w:r>
      <w:r w:rsidR="00FA7FD1" w:rsidRPr="00FA7FD1">
        <w:t xml:space="preserve"> </w:t>
      </w:r>
      <w:r w:rsidR="00856D01" w:rsidRPr="00856D01">
        <w:t>Map Grid of Australia (MGA) projection (zone 5</w:t>
      </w:r>
      <w:r>
        <w:t>3</w:t>
      </w:r>
      <w:r w:rsidR="00856D01" w:rsidRPr="00856D01">
        <w:t>)</w:t>
      </w:r>
      <w:r w:rsidR="00FA7FD1" w:rsidRPr="00FA7FD1">
        <w:t xml:space="preserve"> </w:t>
      </w:r>
      <w:r w:rsidR="00856D01" w:rsidRPr="00856D01">
        <w:t>and the Geocentric Datum of Australia 1994 (</w:t>
      </w:r>
      <w:r w:rsidR="00FA7FD1" w:rsidRPr="00FA7FD1">
        <w:t>GDA 1994).</w:t>
      </w:r>
      <w:r w:rsidR="00FB1DF1">
        <w:br w:type="page"/>
      </w:r>
    </w:p>
    <w:p w14:paraId="01B094A5" w14:textId="77777777" w:rsidR="00FA7FD1" w:rsidRPr="00FA7FD1" w:rsidRDefault="00FA7FD1" w:rsidP="00FA7FD1"/>
    <w:p w14:paraId="464D36CA" w14:textId="327F5F86" w:rsidR="00B3596F" w:rsidRDefault="00B3596F" w:rsidP="00200A10">
      <w:pPr>
        <w:pStyle w:val="BodyText"/>
      </w:pPr>
    </w:p>
    <w:p w14:paraId="6BE715E1" w14:textId="77777777" w:rsidR="00064580" w:rsidRDefault="00064580" w:rsidP="00200A10">
      <w:pPr>
        <w:pStyle w:val="BodyText"/>
        <w:sectPr w:rsidR="00064580" w:rsidSect="00B65F93">
          <w:headerReference w:type="even" r:id="rId43"/>
          <w:headerReference w:type="default" r:id="rId44"/>
          <w:footerReference w:type="default" r:id="rId45"/>
          <w:footerReference w:type="first" r:id="rId46"/>
          <w:type w:val="continuous"/>
          <w:pgSz w:w="11906" w:h="16838" w:code="9"/>
          <w:pgMar w:top="1247" w:right="1134" w:bottom="1134" w:left="1134" w:header="510" w:footer="624" w:gutter="0"/>
          <w:pgNumType w:fmt="lowerRoman"/>
          <w:cols w:space="284"/>
          <w:titlePg/>
          <w:docGrid w:linePitch="360"/>
        </w:sectPr>
      </w:pPr>
    </w:p>
    <w:p w14:paraId="6EF5C29E" w14:textId="77777777" w:rsidR="00064580" w:rsidRPr="000B6198" w:rsidRDefault="00064580" w:rsidP="007C3DD4">
      <w:pPr>
        <w:pStyle w:val="Heading2"/>
      </w:pPr>
      <w:bookmarkStart w:id="36" w:name="_Toc4072457"/>
      <w:bookmarkStart w:id="37" w:name="_Toc5020787"/>
      <w:bookmarkStart w:id="38" w:name="_Toc5021594"/>
      <w:bookmarkStart w:id="39" w:name="_Toc5808355"/>
      <w:bookmarkStart w:id="40" w:name="_Toc5895047"/>
      <w:bookmarkStart w:id="41" w:name="_Toc6308935"/>
      <w:bookmarkStart w:id="42" w:name="_Toc6327599"/>
      <w:bookmarkStart w:id="43" w:name="_Toc38990435"/>
      <w:r w:rsidRPr="00006E2B">
        <w:t>Introduction</w:t>
      </w:r>
      <w:bookmarkEnd w:id="36"/>
      <w:bookmarkEnd w:id="37"/>
      <w:bookmarkEnd w:id="38"/>
      <w:bookmarkEnd w:id="39"/>
      <w:bookmarkEnd w:id="40"/>
      <w:bookmarkEnd w:id="41"/>
      <w:bookmarkEnd w:id="42"/>
      <w:bookmarkEnd w:id="43"/>
    </w:p>
    <w:p w14:paraId="5DC8D292" w14:textId="02CAE524" w:rsidR="001E027E" w:rsidRPr="00E936DD" w:rsidRDefault="001E027E" w:rsidP="001E027E">
      <w:pPr>
        <w:pStyle w:val="BodyText"/>
      </w:pPr>
      <w:bookmarkStart w:id="44" w:name="_Hlk34912978"/>
      <w:r w:rsidRPr="00E936DD">
        <w:t xml:space="preserve">This appendix presents the technical findings from the Stage 2 Geological and Bioregional Assessment </w:t>
      </w:r>
      <w:r w:rsidR="009F74CC">
        <w:t>P</w:t>
      </w:r>
      <w:r w:rsidRPr="00E936DD">
        <w:t xml:space="preserve">rogram, in relation to the hydrogeology and groundwater systems of the </w:t>
      </w:r>
      <w:r w:rsidR="00135E93" w:rsidRPr="00E936DD">
        <w:t>Beetaloo</w:t>
      </w:r>
      <w:r w:rsidRPr="00E936DD">
        <w:t xml:space="preserve"> GBA region. </w:t>
      </w:r>
    </w:p>
    <w:bookmarkEnd w:id="44"/>
    <w:p w14:paraId="06430337" w14:textId="41328B56" w:rsidR="00135E93" w:rsidRPr="00E936DD" w:rsidRDefault="00291C57" w:rsidP="00135E93">
      <w:pPr>
        <w:pStyle w:val="BodyText"/>
      </w:pPr>
      <w:r w:rsidRPr="00E936DD">
        <w:t>The Beetaloo Sub-basin is prospective for hydrocarbons</w:t>
      </w:r>
      <w:r>
        <w:t xml:space="preserve"> and has high potential</w:t>
      </w:r>
      <w:r w:rsidRPr="00E936DD">
        <w:t xml:space="preserve"> to contain significant shale gas</w:t>
      </w:r>
      <w:r>
        <w:t xml:space="preserve"> and</w:t>
      </w:r>
      <w:r w:rsidRPr="00E936DD">
        <w:t xml:space="preserve"> tight gas </w:t>
      </w:r>
      <w:r>
        <w:t>resources</w:t>
      </w:r>
      <w:r w:rsidR="005202AA">
        <w:t>,</w:t>
      </w:r>
      <w:r>
        <w:t xml:space="preserve"> </w:t>
      </w:r>
      <w:r w:rsidRPr="00E936DD">
        <w:t>particularly within the Kyalla and middle Velkerri formations of the Roper Group</w:t>
      </w:r>
      <w:r w:rsidR="00135E93" w:rsidRPr="00E936DD">
        <w:t xml:space="preserve"> </w:t>
      </w:r>
      <w:r w:rsidR="00752685">
        <w:fldChar w:fldCharType="begin"/>
      </w:r>
      <w:r w:rsidR="00F76E0D">
        <w:instrText xml:space="preserve"> ADDIN EN.CITE &lt;EndNote&gt;&lt;Cite&gt;&lt;Author&gt;Hall&lt;/Author&gt;&lt;Year&gt;2020&lt;/Year&gt;&lt;RecNum&gt;1190&lt;/RecNum&gt;&lt;DisplayText&gt;(Hall et al., 2020)&lt;/DisplayText&gt;&lt;record&gt;&lt;rec-number&gt;1190&lt;/rec-number&gt;&lt;foreign-keys&gt;&lt;key app="EN" db-id="wdf9tzzdhw2saee559kv0vezt0wfsta0zedv" timestamp="1563842478"&gt;1190&lt;/key&gt;&lt;/foreign-keys&gt;&lt;ref-type name="Report"&gt;27&lt;/ref-type&gt;&lt;contributors&gt;&lt;authors&gt;&lt;author&gt;Hall, L.S.,&lt;/author&gt;&lt;author&gt;Wang, L.,&lt;/author&gt;&lt;author&gt;Bailey, A.H.E.,&lt;/author&gt;&lt;author&gt;Orr, M.L.,&lt;/author&gt;&lt;author&gt;Owens, R.,&lt;/author&gt;&lt;author&gt;Jarrett, A.J.M.,&lt;/author&gt;&lt;author&gt;Lech, M.E.,&lt;/author&gt;&lt;author&gt;Skeers, N.,&lt;/author&gt;&lt;author&gt;Reese, B.,&lt;/author&gt;&lt;author&gt;Woods, M.,&lt;/author&gt;&lt;/authors&gt;&lt;/contributors&gt;&lt;titles&gt;&lt;title&gt;Petroleum prospectivity of the Beetaloo Sub-basin.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752685">
        <w:fldChar w:fldCharType="separate"/>
      </w:r>
      <w:r w:rsidR="00190334">
        <w:rPr>
          <w:noProof/>
        </w:rPr>
        <w:t>(Hall et al., 2020)</w:t>
      </w:r>
      <w:r w:rsidR="00752685">
        <w:fldChar w:fldCharType="end"/>
      </w:r>
      <w:r w:rsidR="00752685">
        <w:t xml:space="preserve">. </w:t>
      </w:r>
      <w:r w:rsidR="00135E93" w:rsidRPr="00E936DD">
        <w:t xml:space="preserve">Shale gas production is </w:t>
      </w:r>
      <w:r w:rsidR="004A5723">
        <w:t>considered</w:t>
      </w:r>
      <w:r w:rsidR="00135E93" w:rsidRPr="00E936DD">
        <w:t xml:space="preserve"> feasible in the Beetaloo Sub-basin within five to ten years with further exploration, </w:t>
      </w:r>
      <w:r w:rsidR="005202AA">
        <w:t>appraisal</w:t>
      </w:r>
      <w:r w:rsidR="00135E93" w:rsidRPr="00E936DD">
        <w:t xml:space="preserve"> </w:t>
      </w:r>
      <w:r w:rsidR="00A17C4C">
        <w:t>and infrastructure development</w:t>
      </w:r>
      <w:r w:rsidR="00135E93" w:rsidRPr="00E936DD">
        <w:t xml:space="preserve">. Future development of the resources could result in delivery of gas to the East Coast Gas Market over this time frame. The Beetaloo Sub-basin has existing geological, hydrogeological and environmental data available of the type, quality and density to enable a baseline </w:t>
      </w:r>
      <w:r w:rsidR="00DD6F9C">
        <w:t>g</w:t>
      </w:r>
      <w:r w:rsidR="00135E93" w:rsidRPr="00E936DD">
        <w:t xml:space="preserve">eological and </w:t>
      </w:r>
      <w:r w:rsidR="00DD6F9C">
        <w:t>b</w:t>
      </w:r>
      <w:r w:rsidR="00135E93" w:rsidRPr="00E936DD">
        <w:t>ioregional assessment to be undertaken</w:t>
      </w:r>
      <w:r w:rsidR="005423B8">
        <w:t>.</w:t>
      </w:r>
    </w:p>
    <w:p w14:paraId="36CAC79D" w14:textId="77777777" w:rsidR="001E027E" w:rsidRPr="00E936DD" w:rsidRDefault="001E027E" w:rsidP="001E027E">
      <w:pPr>
        <w:pStyle w:val="BodyText"/>
      </w:pPr>
      <w:r w:rsidRPr="00E936DD">
        <w:t>The aims of this appendix are to:</w:t>
      </w:r>
    </w:p>
    <w:p w14:paraId="1C589134" w14:textId="12256C93" w:rsidR="001E027E" w:rsidRPr="000423B0" w:rsidRDefault="00CF0ADE" w:rsidP="00C761B1">
      <w:pPr>
        <w:pStyle w:val="ListNumber"/>
        <w:numPr>
          <w:ilvl w:val="0"/>
          <w:numId w:val="15"/>
        </w:numPr>
      </w:pPr>
      <w:r>
        <w:t>p</w:t>
      </w:r>
      <w:r w:rsidR="0A539EBA">
        <w:t>rovide details of the groundwater systems as they are currently understood</w:t>
      </w:r>
    </w:p>
    <w:p w14:paraId="0CC73017" w14:textId="64A7D2F2" w:rsidR="001E027E" w:rsidRPr="000423B0" w:rsidRDefault="00CF0ADE" w:rsidP="00C761B1">
      <w:pPr>
        <w:pStyle w:val="ListNumber"/>
        <w:numPr>
          <w:ilvl w:val="0"/>
          <w:numId w:val="15"/>
        </w:numPr>
      </w:pPr>
      <w:r>
        <w:t>d</w:t>
      </w:r>
      <w:r w:rsidR="0A539EBA">
        <w:t>escribe potential connectivity between these systems, with reference to potential changes in system connectivity under shale gas development</w:t>
      </w:r>
    </w:p>
    <w:p w14:paraId="508C9EAC" w14:textId="52D81046" w:rsidR="001E027E" w:rsidRPr="000423B0" w:rsidRDefault="00CF0ADE" w:rsidP="00C761B1">
      <w:pPr>
        <w:pStyle w:val="ListNumber"/>
        <w:numPr>
          <w:ilvl w:val="0"/>
          <w:numId w:val="15"/>
        </w:numPr>
      </w:pPr>
      <w:r>
        <w:t>p</w:t>
      </w:r>
      <w:r w:rsidR="0A539EBA">
        <w:t>rovide baseline datasets to underpin the assessment and management of future potential development of shale gas activities</w:t>
      </w:r>
    </w:p>
    <w:p w14:paraId="3DB00ECA" w14:textId="6AD661EF" w:rsidR="001E027E" w:rsidRPr="000423B0" w:rsidRDefault="00CF0ADE" w:rsidP="00C761B1">
      <w:pPr>
        <w:pStyle w:val="ListNumber"/>
        <w:numPr>
          <w:ilvl w:val="0"/>
          <w:numId w:val="15"/>
        </w:numPr>
      </w:pPr>
      <w:r>
        <w:t>p</w:t>
      </w:r>
      <w:r w:rsidR="0A539EBA">
        <w:t xml:space="preserve">rovide recommendations for future data collection and assessment to improve the system understanding. </w:t>
      </w:r>
    </w:p>
    <w:p w14:paraId="714B5C48" w14:textId="45838932" w:rsidR="00135E93" w:rsidRDefault="00135E93" w:rsidP="00135E93">
      <w:pPr>
        <w:pStyle w:val="BodyText"/>
      </w:pPr>
      <w:r>
        <w:t>The Beetaloo Sub-basin is a structural component of the greater McArthur Basin in the N</w:t>
      </w:r>
      <w:r w:rsidR="008867D1">
        <w:t>T</w:t>
      </w:r>
      <w:r>
        <w:t xml:space="preserve">, </w:t>
      </w:r>
      <w:r w:rsidR="005202AA">
        <w:t xml:space="preserve">it is </w:t>
      </w:r>
      <w:r>
        <w:t>located about 500 kilo</w:t>
      </w:r>
      <w:r w:rsidR="008565AF">
        <w:t>metres south-east of Darwin (</w:t>
      </w:r>
      <w:r w:rsidR="008565AF">
        <w:fldChar w:fldCharType="begin"/>
      </w:r>
      <w:r w:rsidR="008565AF">
        <w:instrText xml:space="preserve"> REF _Ref3801464 \h </w:instrText>
      </w:r>
      <w:r w:rsidR="008565AF">
        <w:fldChar w:fldCharType="separate"/>
      </w:r>
      <w:r w:rsidR="00B177F5">
        <w:t xml:space="preserve">Figure </w:t>
      </w:r>
      <w:r w:rsidR="00B177F5">
        <w:rPr>
          <w:noProof/>
        </w:rPr>
        <w:t>1</w:t>
      </w:r>
      <w:r w:rsidR="008565AF">
        <w:fldChar w:fldCharType="end"/>
      </w:r>
      <w:r w:rsidR="008565AF">
        <w:t>)</w:t>
      </w:r>
      <w:r>
        <w:t xml:space="preserve">. It includes the major Paleoproterozoic to Mesoproterozoic sedimentary sequences that are distributed broadly over the amalgamated basement of the North Australian Craton. It is entirely under the cover of younger </w:t>
      </w:r>
      <w:r w:rsidR="00B329C4">
        <w:t>sedimentary and volcanic rocks</w:t>
      </w:r>
      <w:r>
        <w:t xml:space="preserve">. </w:t>
      </w:r>
    </w:p>
    <w:p w14:paraId="56B42A46" w14:textId="3AB6EE22" w:rsidR="001114C2" w:rsidRPr="00D67885" w:rsidRDefault="001114C2" w:rsidP="00D67885">
      <w:pPr>
        <w:pStyle w:val="Heading3"/>
      </w:pPr>
      <w:bookmarkStart w:id="45" w:name="_Toc4072458"/>
      <w:bookmarkStart w:id="46" w:name="_Toc5020788"/>
      <w:bookmarkStart w:id="47" w:name="_Toc5021595"/>
      <w:bookmarkStart w:id="48" w:name="_Toc5808356"/>
      <w:bookmarkStart w:id="49" w:name="_Toc5895048"/>
      <w:bookmarkStart w:id="50" w:name="_Toc6308936"/>
      <w:bookmarkStart w:id="51" w:name="_Toc6327600"/>
      <w:bookmarkStart w:id="52" w:name="_Ref31968832"/>
      <w:bookmarkStart w:id="53" w:name="_Toc38990436"/>
      <w:r w:rsidRPr="00D67885">
        <w:t>Beetaloo GBA region</w:t>
      </w:r>
      <w:bookmarkEnd w:id="45"/>
      <w:bookmarkEnd w:id="46"/>
      <w:bookmarkEnd w:id="47"/>
      <w:bookmarkEnd w:id="48"/>
      <w:bookmarkEnd w:id="49"/>
      <w:bookmarkEnd w:id="50"/>
      <w:bookmarkEnd w:id="51"/>
      <w:bookmarkEnd w:id="52"/>
      <w:bookmarkEnd w:id="53"/>
    </w:p>
    <w:p w14:paraId="56ABD5D2" w14:textId="11B2F0F3" w:rsidR="007B76D6" w:rsidDel="07256C22" w:rsidRDefault="007B76D6" w:rsidP="007B76D6">
      <w:r w:rsidRPr="0041011D">
        <w:rPr>
          <w:rFonts w:cs="Calibri"/>
        </w:rPr>
        <w:t>The Beetaloo GBA region</w:t>
      </w:r>
      <w:r w:rsidR="009E1574">
        <w:rPr>
          <w:rFonts w:cs="Calibri"/>
        </w:rPr>
        <w:t xml:space="preserve"> </w:t>
      </w:r>
      <w:r w:rsidR="009E1574">
        <w:t>(</w:t>
      </w:r>
      <w:r w:rsidR="009E1574">
        <w:fldChar w:fldCharType="begin"/>
      </w:r>
      <w:r w:rsidR="009E1574">
        <w:instrText xml:space="preserve"> REF _Ref3801464 \h </w:instrText>
      </w:r>
      <w:r w:rsidR="009E1574">
        <w:fldChar w:fldCharType="separate"/>
      </w:r>
      <w:r w:rsidR="00B177F5">
        <w:t xml:space="preserve">Figure </w:t>
      </w:r>
      <w:r w:rsidR="00B177F5">
        <w:rPr>
          <w:noProof/>
        </w:rPr>
        <w:t>1</w:t>
      </w:r>
      <w:r w:rsidR="009E1574">
        <w:fldChar w:fldCharType="end"/>
      </w:r>
      <w:r w:rsidR="009E1574">
        <w:t>)</w:t>
      </w:r>
      <w:r w:rsidRPr="0041011D">
        <w:rPr>
          <w:rFonts w:cs="Calibri"/>
        </w:rPr>
        <w:t xml:space="preserve"> </w:t>
      </w:r>
      <w:r w:rsidR="00431E5B">
        <w:rPr>
          <w:rFonts w:cs="Calibri"/>
        </w:rPr>
        <w:t>is defined by the spatial exte</w:t>
      </w:r>
      <w:r w:rsidR="00210185">
        <w:rPr>
          <w:rFonts w:cs="Calibri"/>
        </w:rPr>
        <w:t xml:space="preserve">nt of the </w:t>
      </w:r>
      <w:r w:rsidRPr="0041011D">
        <w:rPr>
          <w:rFonts w:cs="Calibri"/>
        </w:rPr>
        <w:t xml:space="preserve">geological </w:t>
      </w:r>
      <w:r w:rsidRPr="00554E42">
        <w:rPr>
          <w:rFonts w:cs="Calibri"/>
        </w:rPr>
        <w:t>Beetaloo Sub-basin</w:t>
      </w:r>
      <w:r w:rsidR="009E1574">
        <w:rPr>
          <w:rFonts w:cs="Calibri"/>
        </w:rPr>
        <w:t xml:space="preserve"> (part of the </w:t>
      </w:r>
      <w:r w:rsidR="0070077E" w:rsidRPr="0041011D">
        <w:rPr>
          <w:rFonts w:cs="Calibri"/>
        </w:rPr>
        <w:t xml:space="preserve">greater </w:t>
      </w:r>
      <w:r w:rsidR="0070077E">
        <w:rPr>
          <w:rFonts w:cs="Calibri"/>
        </w:rPr>
        <w:t>McArthur Basin)</w:t>
      </w:r>
      <w:r w:rsidR="007B2934">
        <w:rPr>
          <w:rFonts w:cs="Calibri"/>
        </w:rPr>
        <w:t>,</w:t>
      </w:r>
      <w:r w:rsidRPr="00554E42">
        <w:rPr>
          <w:rFonts w:cs="Calibri"/>
        </w:rPr>
        <w:t xml:space="preserve"> </w:t>
      </w:r>
      <w:r w:rsidR="005D2E60">
        <w:rPr>
          <w:rFonts w:cs="Calibri"/>
        </w:rPr>
        <w:t>which</w:t>
      </w:r>
      <w:r w:rsidRPr="00554E42">
        <w:rPr>
          <w:rFonts w:cs="Calibri"/>
        </w:rPr>
        <w:t xml:space="preserve"> extends from the top of the Kyalla Formation at a depth of approximately 400 m below the topographic surface </w:t>
      </w:r>
      <w:r w:rsidR="00A541ED">
        <w:fldChar w:fldCharType="begin"/>
      </w:r>
      <w:r w:rsidR="00F76E0D">
        <w:instrText xml:space="preserve"> ADDIN EN.CITE &lt;EndNote&gt;&lt;Cite&gt;&lt;Author&gt;Department of Primary Industry and Resources (NT)&lt;/Author&gt;&lt;Year&gt;2017&lt;/Year&gt;&lt;RecNum&gt;800&lt;/RecNum&gt;&lt;DisplayText&gt;(Department of Primary Industry and Resources (NT), 2017)&lt;/DisplayText&gt;&lt;record&gt;&lt;rec-number&gt;800&lt;/rec-number&gt;&lt;foreign-keys&gt;&lt;key app="EN" db-id="wdf9tzzdhw2saee559kv0vezt0wfsta0zedv" timestamp="1552607511"&gt;800&lt;/key&gt;&lt;/foreign-keys&gt;&lt;ref-type name="Web Page"&gt;12&lt;/ref-type&gt;&lt;contributors&gt;&lt;authors&gt;&lt;author&gt;Department of Primary Industry and Resources (NT),&lt;/author&gt;&lt;/authors&gt;&lt;/contributors&gt;&lt;titles&gt;&lt;title&gt;Submission 479 to the Scientific Inquiry into Hydraulic Fracturing in the Northern Territory&lt;/title&gt;&lt;/titles&gt;&lt;number&gt;11 January 2019&lt;/number&gt;&lt;dates&gt;&lt;year&gt;2017&lt;/year&gt;&lt;/dates&gt;&lt;publisher&gt;Northern Territory Government&lt;/publisher&gt;&lt;urls&gt;&lt;related-urls&gt;&lt;url&gt;&lt;style face="underline" font="default" size="100%"&gt;https://frackinginquiry.nt.gov.au/?a=464723&lt;/style&gt;&lt;/url&gt;&lt;/related-urls&gt;&lt;/urls&gt;&lt;/record&gt;&lt;/Cite&gt;&lt;/EndNote&gt;</w:instrText>
      </w:r>
      <w:r w:rsidR="00A541ED">
        <w:fldChar w:fldCharType="separate"/>
      </w:r>
      <w:r w:rsidR="005322C2">
        <w:rPr>
          <w:noProof/>
        </w:rPr>
        <w:t>(Department of Primary Industry and Resources (NT), 2017)</w:t>
      </w:r>
      <w:r w:rsidR="00A541ED">
        <w:fldChar w:fldCharType="end"/>
      </w:r>
      <w:r w:rsidRPr="00554E42">
        <w:rPr>
          <w:rFonts w:cs="Calibri"/>
        </w:rPr>
        <w:t>. The Beetaloo Sub-basin is buried at variable depths beneath younger sedimentary basin cover in this area. For the purp</w:t>
      </w:r>
      <w:r>
        <w:rPr>
          <w:rFonts w:cs="Calibri"/>
        </w:rPr>
        <w:t>oses of this assessment, the</w:t>
      </w:r>
      <w:r w:rsidRPr="00554E42">
        <w:rPr>
          <w:rFonts w:cs="Calibri"/>
        </w:rPr>
        <w:t xml:space="preserve"> Beetaloo GBA region</w:t>
      </w:r>
      <w:r>
        <w:rPr>
          <w:rFonts w:cs="Calibri"/>
        </w:rPr>
        <w:t xml:space="preserve"> </w:t>
      </w:r>
      <w:r w:rsidRPr="00554E42">
        <w:rPr>
          <w:rFonts w:cs="Calibri"/>
        </w:rPr>
        <w:t xml:space="preserve">has been </w:t>
      </w:r>
      <w:r w:rsidRPr="00303DAD">
        <w:rPr>
          <w:rFonts w:cs="Calibri"/>
          <w:lang w:val="en-US"/>
        </w:rPr>
        <w:t xml:space="preserve">defined on </w:t>
      </w:r>
      <w:r w:rsidRPr="0041011D">
        <w:rPr>
          <w:rFonts w:cs="Calibri"/>
        </w:rPr>
        <w:t>geological criteria and data availabilit</w:t>
      </w:r>
      <w:r w:rsidR="007B2934">
        <w:rPr>
          <w:rFonts w:cs="Calibri"/>
        </w:rPr>
        <w:t>y. These are:</w:t>
      </w:r>
      <w:r>
        <w:rPr>
          <w:rFonts w:cs="Calibri"/>
        </w:rPr>
        <w:t xml:space="preserve"> </w:t>
      </w:r>
    </w:p>
    <w:p w14:paraId="1936AF62" w14:textId="77777777" w:rsidR="007B76D6" w:rsidRPr="00FE028C" w:rsidDel="07256C22" w:rsidRDefault="007B76D6" w:rsidP="008A3884">
      <w:pPr>
        <w:pStyle w:val="ListBullet"/>
      </w:pPr>
      <w:r w:rsidRPr="0041011D">
        <w:t xml:space="preserve">maximum extent of preserved and relatively continuous sedimentary deposits </w:t>
      </w:r>
    </w:p>
    <w:p w14:paraId="61F31120" w14:textId="77777777" w:rsidR="007B76D6" w:rsidRPr="00FE028C" w:rsidDel="07256C22" w:rsidRDefault="007B76D6" w:rsidP="008A3884">
      <w:pPr>
        <w:pStyle w:val="ListBullet"/>
      </w:pPr>
      <w:r w:rsidRPr="0041011D">
        <w:t>the limit defined where the sedimentary fill becomes extensively folded and faulted, with many of the potential shale gas intervals either exhumed or cropping out at the surface</w:t>
      </w:r>
    </w:p>
    <w:p w14:paraId="44E4E040" w14:textId="10BF548F" w:rsidR="007B76D6" w:rsidRPr="00FE028C" w:rsidDel="07256C22" w:rsidRDefault="00EF7FA4" w:rsidP="008A3884">
      <w:pPr>
        <w:pStyle w:val="ListBullet"/>
      </w:pPr>
      <w:r>
        <w:t xml:space="preserve">the </w:t>
      </w:r>
      <w:r w:rsidR="007B76D6" w:rsidRPr="0041011D">
        <w:t>li</w:t>
      </w:r>
      <w:r w:rsidR="007B76D6" w:rsidRPr="00554E42">
        <w:t>mit of available sub</w:t>
      </w:r>
      <w:r w:rsidR="00C30378">
        <w:t>surface</w:t>
      </w:r>
      <w:r w:rsidR="007B76D6" w:rsidRPr="00554E42">
        <w:t xml:space="preserve"> (well and seismic) data required as basis for the assessment of shale gas resources</w:t>
      </w:r>
      <w:r w:rsidR="007B76D6">
        <w:t>.</w:t>
      </w:r>
    </w:p>
    <w:p w14:paraId="1B7BD91C" w14:textId="62229FB5" w:rsidR="007B76D6" w:rsidRDefault="007B76D6" w:rsidP="007B76D6">
      <w:r w:rsidRPr="00554E42">
        <w:rPr>
          <w:rFonts w:cs="Calibri"/>
        </w:rPr>
        <w:t xml:space="preserve">Further information about the geology of the Beetaloo GBA region </w:t>
      </w:r>
      <w:r w:rsidR="007B2934">
        <w:rPr>
          <w:rFonts w:cs="Calibri"/>
        </w:rPr>
        <w:t xml:space="preserve">is detailed in </w:t>
      </w:r>
      <w:r w:rsidR="00A541ED" w:rsidRPr="50BA1442">
        <w:fldChar w:fldCharType="begin"/>
      </w:r>
      <w:r w:rsidR="00F76E0D">
        <w:instrText xml:space="preserve"> ADDIN EN.CITE &lt;EndNote&gt;&lt;Cite&gt;&lt;Author&gt;Orr&lt;/Author&gt;&lt;Year&gt;2020&lt;/Year&gt;&lt;RecNum&gt;797&lt;/RecNum&gt;&lt;DisplayText&gt;(Orr et al., 2020)&lt;/DisplayText&gt;&lt;record&gt;&lt;rec-number&gt;797&lt;/rec-number&gt;&lt;foreign-keys&gt;&lt;key app="EN" db-id="wdf9tzzdhw2saee559kv0vezt0wfsta0zedv" timestamp="1552607511"&gt;797&lt;/key&gt;&lt;/foreign-keys&gt;&lt;ref-type name="Report"&gt;27&lt;/ref-type&gt;&lt;contributors&gt;&lt;authors&gt;&lt;author&gt;Orr, M.L.,&lt;/author&gt;&lt;author&gt;Bernardel, G.,&lt;/author&gt;&lt;author&gt;Owens, R.,&lt;/author&gt;&lt;author&gt;Hall,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A541ED" w:rsidRPr="50BA1442">
        <w:rPr>
          <w:rFonts w:cs="Calibri"/>
        </w:rPr>
        <w:fldChar w:fldCharType="separate"/>
      </w:r>
      <w:r w:rsidR="006456ED">
        <w:rPr>
          <w:rFonts w:cs="Calibri"/>
          <w:noProof/>
        </w:rPr>
        <w:t>(Orr et al., 2020)</w:t>
      </w:r>
      <w:r w:rsidR="00A541ED" w:rsidRPr="50BA1442">
        <w:fldChar w:fldCharType="end"/>
      </w:r>
      <w:r w:rsidRPr="00554E42">
        <w:rPr>
          <w:rFonts w:cs="Calibri"/>
        </w:rPr>
        <w:t>.</w:t>
      </w:r>
    </w:p>
    <w:p w14:paraId="285A4EBA" w14:textId="7B35DA93" w:rsidR="00EC7C70" w:rsidRPr="008C69E1" w:rsidRDefault="00136126" w:rsidP="00210185">
      <w:pPr>
        <w:pStyle w:val="Heading4"/>
      </w:pPr>
      <w:bookmarkStart w:id="54" w:name="_Ref31968934"/>
      <w:r>
        <w:t>Beetaloo GBA extended region</w:t>
      </w:r>
      <w:bookmarkEnd w:id="54"/>
    </w:p>
    <w:p w14:paraId="3BDF6093" w14:textId="25FD74B4" w:rsidR="00EC7C70" w:rsidRPr="00746B2A" w:rsidRDefault="00D25F52" w:rsidP="00407F26">
      <w:pPr>
        <w:pStyle w:val="BodyText"/>
      </w:pPr>
      <w:r>
        <w:t>A broader region, referred to as the ‘Beetaloo GBA extended region’, has also been defined (</w:t>
      </w:r>
      <w:r>
        <w:fldChar w:fldCharType="begin"/>
      </w:r>
      <w:r>
        <w:instrText xml:space="preserve"> REF _Ref3801464 \h </w:instrText>
      </w:r>
      <w:r>
        <w:fldChar w:fldCharType="separate"/>
      </w:r>
      <w:r w:rsidR="00B177F5">
        <w:t xml:space="preserve">Figure </w:t>
      </w:r>
      <w:r w:rsidR="00B177F5">
        <w:rPr>
          <w:noProof/>
        </w:rPr>
        <w:t>1</w:t>
      </w:r>
      <w:r>
        <w:fldChar w:fldCharType="end"/>
      </w:r>
      <w:r>
        <w:t xml:space="preserve">). This larger region is used to constrain additional data discovery and to allow impacts immediately adjacent to the Beetaloo GBA region to be considered. </w:t>
      </w:r>
      <w:r w:rsidR="00DE5C53">
        <w:t>The Beetaloo GBA extended region</w:t>
      </w:r>
      <w:r>
        <w:t xml:space="preserve"> has been developed in consultation with the Northern Territory Government and defines the area for a Strategic </w:t>
      </w:r>
      <w:r w:rsidR="00DE5C53">
        <w:t xml:space="preserve">Regional </w:t>
      </w:r>
      <w:r>
        <w:t>Environmental Baseline Assessment</w:t>
      </w:r>
      <w:r w:rsidRPr="00D25F52">
        <w:t xml:space="preserve"> </w:t>
      </w:r>
      <w:r w:rsidR="00DE5C53">
        <w:t xml:space="preserve">(SREBA) </w:t>
      </w:r>
      <w:r w:rsidRPr="00D25F52">
        <w:rPr>
          <w:rFonts w:eastAsia="Times New Roman"/>
        </w:rPr>
        <w:t>for the Beetaloo Sub-basin</w:t>
      </w:r>
      <w:r>
        <w:rPr>
          <w:rFonts w:eastAsia="Times New Roman"/>
        </w:rPr>
        <w:t xml:space="preserve"> (see Section 1.5.2.10 in</w:t>
      </w:r>
      <w:r w:rsidR="006E0DD7">
        <w:rPr>
          <w:rFonts w:eastAsia="Times New Roman"/>
        </w:rPr>
        <w:t xml:space="preserve"> </w:t>
      </w:r>
      <w:r w:rsidR="006E0DD7" w:rsidRPr="50BA1442">
        <w:fldChar w:fldCharType="begin"/>
      </w:r>
      <w:r w:rsidR="00F76E0D">
        <w:instrText xml:space="preserve"> ADDIN EN.CITE &lt;EndNote&gt;&lt;Cite&gt;&lt;Author&gt;Frery&lt;/Author&gt;&lt;Year&gt;2020&lt;/Year&gt;&lt;RecNum&gt;1351&lt;/RecNum&gt;&lt;DisplayText&gt;(Huddlestone-Holmes et al., 2020)&lt;/DisplayText&gt;&lt;record&gt;&lt;rec-number&gt;1351&lt;/rec-number&gt;&lt;foreign-keys&gt;&lt;key app="EN" db-id="wdf9tzzdhw2saee559kv0vezt0wfsta0zedv" timestamp="1571623756"&gt;1351&lt;/key&gt;&lt;/foreign-keys&gt;&lt;ref-type name="Report"&gt;27&lt;/ref-type&gt;&lt;contributors&gt;&lt;authors&gt;&lt;author&gt;Huddlestone-Holmes, C.R.,&lt;/author&gt;&lt;author&gt;Frery, E.,&lt;/author&gt;&lt;author&gt;Wilkes, P.,&lt;/author&gt;&lt;author&gt;Bailey, A.H.E.,&lt;/author&gt;&lt;author&gt;Bernadel, G.,&lt;/author&gt;&lt;author&gt;Brandon, C.,&lt;/author&gt;&lt;author&gt;Buchanan, S.,&lt;/author&gt;&lt;author&gt;Cook, S.B.,&lt;/author&gt;&lt;author&gt;Crosbie, R.S.,&lt;/author&gt;&lt;author&gt;Evans, T.,&lt;/author&gt;&lt;author&gt;Golding, L.,&lt;/author&gt;&lt;author&gt;Gonzalez, D.,&lt;/author&gt;&lt;author&gt;Gunning, M.E.,&lt;/author&gt;&lt;author&gt;Hall, L.S.,&lt;/author&gt;&lt;author&gt;Henderson, B.,&lt;/author&gt;&lt;author&gt;Herr, A.,&lt;/author&gt;&lt;author&gt;Holland, K.L.,&lt;/author&gt;&lt;author&gt;Jarrett, A.,&lt;/author&gt;&lt;author&gt;Kear, J.,&lt;/author&gt;&lt;author&gt;Kirby, J.,&lt;/author&gt;&lt;author&gt;Lech, M.E.,&lt;/author&gt;&lt;author&gt;Lewis, S.,&lt;/author&gt;&lt;author&gt;Macfarlane, C.,&lt;/author&gt;&lt;author&gt;Martinez, J.,&lt;/author&gt;&lt;author&gt;Murray, J.,&lt;/author&gt;&lt;author&gt;Northover, S.,&lt;/author&gt;&lt;author&gt;O&amp;apos;Grady, A.,&lt;/author&gt;&lt;author&gt;Orr, M.L.,&lt;/author&gt;&lt;author&gt;Owens, R.,&lt;/author&gt;&lt;author&gt;Pavey, C.,&lt;/author&gt;&lt;author&gt;Post, D.,&lt;/author&gt;&lt;author&gt;Sundaram, B.,&lt;/author&gt;&lt;author&gt;Rachakonda, P.,&lt;/author&gt;&lt;author&gt;Raiber, M.,&lt;/author&gt;&lt;author&gt;Ransley, T.R.,&lt;/author&gt;&lt;author&gt;Tetreault-Campbell, S.,&lt;/author&gt;&lt;author&gt;Wang, L.,&lt;/author&gt;&lt;/authors&gt;&lt;/contributors&gt;&lt;titles&gt;&lt;title&gt;Geological and environmental baseline assessment for the Beetaloo GBA region. Geological and Bioregional Assessment Program: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6E0DD7" w:rsidRPr="50BA1442">
        <w:rPr>
          <w:rFonts w:eastAsia="Times New Roman"/>
        </w:rPr>
        <w:fldChar w:fldCharType="separate"/>
      </w:r>
      <w:r w:rsidR="00F76E0D" w:rsidRPr="00F76E0D">
        <w:rPr>
          <w:noProof/>
        </w:rPr>
        <w:t>(Huddlestone-Holmes et al., 2020)</w:t>
      </w:r>
      <w:r w:rsidR="006E0DD7" w:rsidRPr="50BA1442">
        <w:fldChar w:fldCharType="end"/>
      </w:r>
      <w:r w:rsidR="00292391">
        <w:rPr>
          <w:rFonts w:eastAsia="Times New Roman"/>
        </w:rPr>
        <w:t>)</w:t>
      </w:r>
      <w:r w:rsidRPr="00D25F52">
        <w:rPr>
          <w:rFonts w:eastAsia="Times New Roman"/>
        </w:rPr>
        <w:t xml:space="preserve"> and follows the principles in the SREBA guidelines (in draft form at time of writing). The Beetaloo GBA extended region captures appropriate catchment or sub</w:t>
      </w:r>
      <w:r w:rsidR="00E872E9">
        <w:rPr>
          <w:rFonts w:eastAsia="Times New Roman"/>
        </w:rPr>
        <w:t>catchment</w:t>
      </w:r>
      <w:r w:rsidRPr="00D25F52">
        <w:rPr>
          <w:rFonts w:eastAsia="Times New Roman"/>
        </w:rPr>
        <w:t xml:space="preserve"> boundaries, biogeographical boundaries and wetlands listed in </w:t>
      </w:r>
      <w:r w:rsidRPr="00746B2A">
        <w:rPr>
          <w:rStyle w:val="Italic"/>
        </w:rPr>
        <w:t>A directory of important wetlands in Australia</w:t>
      </w:r>
      <w:r w:rsidRPr="00D25F52">
        <w:rPr>
          <w:rFonts w:eastAsia="Times New Roman"/>
        </w:rPr>
        <w:t xml:space="preserve"> (DIWA)</w:t>
      </w:r>
      <w:r w:rsidR="005202AA">
        <w:rPr>
          <w:rFonts w:eastAsia="Times New Roman"/>
        </w:rPr>
        <w:t>,</w:t>
      </w:r>
      <w:r w:rsidRPr="00D25F52">
        <w:rPr>
          <w:rFonts w:eastAsia="Times New Roman"/>
        </w:rPr>
        <w:t xml:space="preserve"> </w:t>
      </w:r>
      <w:r w:rsidRPr="00746B2A">
        <w:t>such as Mataranka Thermal Pools in the north and Lake Woods in the south</w:t>
      </w:r>
      <w:r w:rsidR="00407F26" w:rsidRPr="00746B2A">
        <w:t>.</w:t>
      </w:r>
    </w:p>
    <w:p w14:paraId="5F4A3F42" w14:textId="71EFAD4A" w:rsidR="002E5B35" w:rsidRPr="00966D0B" w:rsidRDefault="002E5B35" w:rsidP="00407F26">
      <w:pPr>
        <w:pStyle w:val="BodyText"/>
      </w:pPr>
      <w:r w:rsidRPr="00746B2A">
        <w:t>To date, there has been limited exploration for petroleum resources in the Beetaloo Sub-basin, with exploration permits currently operated by Origin Energy, Santos and Pangaea Resources. Recently, Origin Energy and Santos have recommenced exploration activities in the sub-basin.</w:t>
      </w:r>
    </w:p>
    <w:p w14:paraId="094631BC" w14:textId="163B793D" w:rsidR="008A32D1" w:rsidRDefault="006557D8" w:rsidP="001F0A6B">
      <w:pPr>
        <w:pStyle w:val="Figures"/>
      </w:pPr>
      <w:r>
        <w:rPr>
          <w:noProof/>
        </w:rPr>
        <w:drawing>
          <wp:inline distT="0" distB="0" distL="0" distR="0" wp14:anchorId="3210B38B" wp14:editId="612AB331">
            <wp:extent cx="6115050" cy="7219952"/>
            <wp:effectExtent l="0" t="0" r="0" b="0"/>
            <wp:docPr id="1471698954" name="Picture 27" descr="T:\proj\ba2\Stage2\3_Beetaloo\MapsAndFigures\Figures\GBA-BEE-2-215_GW_AO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47">
                      <a:extLst>
                        <a:ext uri="{28A0092B-C50C-407E-A947-70E740481C1C}">
                          <a14:useLocalDpi xmlns:a14="http://schemas.microsoft.com/office/drawing/2010/main" val="0"/>
                        </a:ext>
                      </a:extLst>
                    </a:blip>
                    <a:stretch>
                      <a:fillRect/>
                    </a:stretch>
                  </pic:blipFill>
                  <pic:spPr>
                    <a:xfrm>
                      <a:off x="0" y="0"/>
                      <a:ext cx="6115050" cy="7219952"/>
                    </a:xfrm>
                    <a:prstGeom prst="rect">
                      <a:avLst/>
                    </a:prstGeom>
                  </pic:spPr>
                </pic:pic>
              </a:graphicData>
            </a:graphic>
          </wp:inline>
        </w:drawing>
      </w:r>
    </w:p>
    <w:p w14:paraId="3839FF57" w14:textId="007673B8" w:rsidR="008A32D1" w:rsidRDefault="008A32D1" w:rsidP="008A32D1">
      <w:pPr>
        <w:pStyle w:val="Caption"/>
      </w:pPr>
      <w:bookmarkStart w:id="55" w:name="_Ref3801464"/>
      <w:bookmarkStart w:id="56" w:name="_Toc4072428"/>
      <w:bookmarkStart w:id="57" w:name="_Toc4670941"/>
      <w:bookmarkStart w:id="58" w:name="_Toc4754361"/>
      <w:bookmarkStart w:id="59" w:name="_Toc5020746"/>
      <w:bookmarkStart w:id="60" w:name="_Toc5021553"/>
      <w:bookmarkStart w:id="61" w:name="_Toc5097079"/>
      <w:bookmarkStart w:id="62" w:name="_Toc5108471"/>
      <w:bookmarkStart w:id="63" w:name="_Toc5284135"/>
      <w:bookmarkStart w:id="64" w:name="_Toc5635349"/>
      <w:bookmarkStart w:id="65" w:name="_Toc5808308"/>
      <w:bookmarkStart w:id="66" w:name="_Toc5895000"/>
      <w:bookmarkStart w:id="67" w:name="_Toc6308889"/>
      <w:bookmarkStart w:id="68" w:name="_Toc6327554"/>
      <w:bookmarkStart w:id="69" w:name="_Toc38990455"/>
      <w:r>
        <w:t xml:space="preserve">Figure </w:t>
      </w:r>
      <w:r w:rsidR="0079748A">
        <w:rPr>
          <w:noProof/>
        </w:rPr>
        <w:fldChar w:fldCharType="begin"/>
      </w:r>
      <w:r w:rsidR="0079748A">
        <w:rPr>
          <w:noProof/>
        </w:rPr>
        <w:instrText xml:space="preserve"> SEQ Figure \* ARABIC </w:instrText>
      </w:r>
      <w:r w:rsidR="0079748A">
        <w:rPr>
          <w:noProof/>
        </w:rPr>
        <w:fldChar w:fldCharType="separate"/>
      </w:r>
      <w:r w:rsidR="00B177F5">
        <w:rPr>
          <w:noProof/>
        </w:rPr>
        <w:t>1</w:t>
      </w:r>
      <w:r w:rsidR="0079748A">
        <w:rPr>
          <w:noProof/>
        </w:rPr>
        <w:fldChar w:fldCharType="end"/>
      </w:r>
      <w:bookmarkEnd w:id="55"/>
      <w:r>
        <w:t xml:space="preserve"> Beetaloo GBA regio</w:t>
      </w:r>
      <w:r w:rsidR="002E5B35">
        <w:t>n</w:t>
      </w:r>
      <w:bookmarkEnd w:id="56"/>
      <w:bookmarkEnd w:id="57"/>
      <w:bookmarkEnd w:id="58"/>
      <w:bookmarkEnd w:id="59"/>
      <w:bookmarkEnd w:id="60"/>
      <w:bookmarkEnd w:id="61"/>
      <w:bookmarkEnd w:id="62"/>
      <w:bookmarkEnd w:id="63"/>
      <w:bookmarkEnd w:id="64"/>
      <w:r w:rsidR="00AC53D6">
        <w:t xml:space="preserve"> </w:t>
      </w:r>
      <w:bookmarkEnd w:id="65"/>
      <w:bookmarkEnd w:id="66"/>
      <w:bookmarkEnd w:id="67"/>
      <w:bookmarkEnd w:id="68"/>
      <w:r w:rsidR="002E5B35">
        <w:t xml:space="preserve">and </w:t>
      </w:r>
      <w:r w:rsidR="008D0F5D">
        <w:t>its</w:t>
      </w:r>
      <w:r w:rsidR="002E5B35">
        <w:t xml:space="preserve"> relationship to major geological provinces in </w:t>
      </w:r>
      <w:r w:rsidR="00DE5C53">
        <w:t xml:space="preserve">the </w:t>
      </w:r>
      <w:r w:rsidR="002E5B35">
        <w:t>Northern Territory</w:t>
      </w:r>
      <w:bookmarkEnd w:id="69"/>
    </w:p>
    <w:p w14:paraId="12742461" w14:textId="324226DA" w:rsidR="00172478" w:rsidRDefault="002E5B35" w:rsidP="00397577">
      <w:pPr>
        <w:pStyle w:val="SourceornoteforTableorFigure"/>
      </w:pPr>
      <w:r>
        <w:t xml:space="preserve">The Beetaloo GBA region corresponds to the geological limits of the Beetaloo Sub-basin as detailed in Section </w:t>
      </w:r>
      <w:r>
        <w:fldChar w:fldCharType="begin"/>
      </w:r>
      <w:r>
        <w:instrText xml:space="preserve"> REF _Ref31968832 \r \h </w:instrText>
      </w:r>
      <w:r>
        <w:fldChar w:fldCharType="separate"/>
      </w:r>
      <w:r w:rsidR="00B177F5">
        <w:t>1.1</w:t>
      </w:r>
      <w:r>
        <w:fldChar w:fldCharType="end"/>
      </w:r>
      <w:r>
        <w:t xml:space="preserve">. The Beetaloo GBA extended region is defined in Section </w:t>
      </w:r>
      <w:r>
        <w:fldChar w:fldCharType="begin"/>
      </w:r>
      <w:r>
        <w:instrText xml:space="preserve"> REF _Ref31968934 \r \h </w:instrText>
      </w:r>
      <w:r>
        <w:fldChar w:fldCharType="separate"/>
      </w:r>
      <w:r w:rsidR="00B177F5">
        <w:t>1.1.1</w:t>
      </w:r>
      <w:r>
        <w:fldChar w:fldCharType="end"/>
      </w:r>
      <w:r>
        <w:t>.</w:t>
      </w:r>
      <w:r>
        <w:br/>
      </w:r>
      <w:r w:rsidR="00F47820" w:rsidRPr="000E6F36">
        <w:t xml:space="preserve">Data: </w:t>
      </w:r>
      <w:r w:rsidR="00DE5C53">
        <w:t>g</w:t>
      </w:r>
      <w:r w:rsidR="0027062F" w:rsidRPr="000E6F36">
        <w:t xml:space="preserve">eology </w:t>
      </w:r>
      <w:r w:rsidR="004D6411">
        <w:fldChar w:fldCharType="begin"/>
      </w:r>
      <w:r w:rsidR="00F76E0D">
        <w:instrText xml:space="preserve"> ADDIN EN.CITE &lt;EndNote&gt;&lt;Cite&gt;&lt;Author&gt;Department of Primary Industry and Resources (NT)&lt;/Author&gt;&lt;Year&gt;2018&lt;/Year&gt;&lt;RecNum&gt;993&lt;/RecNum&gt;&lt;DisplayText&gt;(Department of Primary Industry and Resources (NT), 2018)&lt;/DisplayText&gt;&lt;record&gt;&lt;rec-number&gt;993&lt;/rec-number&gt;&lt;foreign-keys&gt;&lt;key app="EN" db-id="wdf9tzzdhw2saee559kv0vezt0wfsta0zedv" timestamp="1557991361"&gt;993&lt;/key&gt;&lt;/foreign-keys&gt;&lt;ref-type name="Journal Article"&gt;17&lt;/ref-type&gt;&lt;contributors&gt;&lt;authors&gt;&lt;author&gt;Department of Primary Industry and Resources (NT),&lt;/author&gt;&lt;/authors&gt;&lt;/contributors&gt;&lt;titles&gt;&lt;title&gt;Northern Territory Geological Regions 2500K&lt;/title&gt;&lt;secondary-title&gt;ANZLIC Identifier: FA83D24C788060ABE040CD9B2144317B&lt;/secondary-title&gt;&lt;/titles&gt;&lt;periodical&gt;&lt;full-title&gt;ANZLIC Identifier: FA83D24C788060ABE040CD9B2144317B&lt;/full-title&gt;&lt;/periodical&gt;&lt;dates&gt;&lt;year&gt;2018&lt;/year&gt;&lt;/dates&gt;&lt;label&gt;1B01C953-3ADE-4955-A7C4-BA32E2A3C1EF&lt;/label&gt;&lt;urls&gt;&lt;/urls&gt;&lt;access-date&gt;21 August 2019&lt;/access-date&gt;&lt;/record&gt;&lt;/Cite&gt;&lt;/EndNote&gt;</w:instrText>
      </w:r>
      <w:r w:rsidR="004D6411">
        <w:fldChar w:fldCharType="separate"/>
      </w:r>
      <w:r w:rsidR="00D22ECF">
        <w:rPr>
          <w:noProof/>
        </w:rPr>
        <w:t>(Department of Primary Industry and Resources (NT), 2018)</w:t>
      </w:r>
      <w:r w:rsidR="004D6411">
        <w:fldChar w:fldCharType="end"/>
      </w:r>
      <w:r w:rsidR="00883D94">
        <w:br/>
      </w:r>
      <w:r w:rsidR="00F47820" w:rsidRPr="000E6F36">
        <w:t>Element: GBA-BEE-2-</w:t>
      </w:r>
      <w:r w:rsidR="002026A8">
        <w:t>21</w:t>
      </w:r>
      <w:r w:rsidR="00F47820" w:rsidRPr="000E6F36">
        <w:t>5</w:t>
      </w:r>
      <w:r w:rsidR="00172478">
        <w:br w:type="page"/>
      </w:r>
    </w:p>
    <w:p w14:paraId="4F77D415" w14:textId="77777777" w:rsidR="00F47820" w:rsidRPr="00AC6435" w:rsidRDefault="00F47820" w:rsidP="00172478">
      <w:pPr>
        <w:pStyle w:val="BodyText"/>
      </w:pPr>
    </w:p>
    <w:p w14:paraId="775BBAD7" w14:textId="01BBA1BC" w:rsidR="000902F6" w:rsidRPr="000B6198" w:rsidRDefault="00070E10" w:rsidP="00A06AB8">
      <w:pPr>
        <w:pStyle w:val="Heading2"/>
      </w:pPr>
      <w:bookmarkStart w:id="70" w:name="_Ref534806538"/>
      <w:bookmarkStart w:id="71" w:name="_Toc4072459"/>
      <w:bookmarkStart w:id="72" w:name="_Toc5020789"/>
      <w:bookmarkStart w:id="73" w:name="_Toc5021596"/>
      <w:bookmarkStart w:id="74" w:name="_Toc5808357"/>
      <w:bookmarkStart w:id="75" w:name="_Toc5895049"/>
      <w:bookmarkStart w:id="76" w:name="_Toc6308937"/>
      <w:bookmarkStart w:id="77" w:name="_Toc6327601"/>
      <w:bookmarkStart w:id="78" w:name="_Toc38990437"/>
      <w:r>
        <w:t>G</w:t>
      </w:r>
      <w:r w:rsidR="002935EE">
        <w:t>roundwater data inventory</w:t>
      </w:r>
      <w:bookmarkEnd w:id="70"/>
      <w:bookmarkEnd w:id="71"/>
      <w:bookmarkEnd w:id="72"/>
      <w:bookmarkEnd w:id="73"/>
      <w:bookmarkEnd w:id="74"/>
      <w:bookmarkEnd w:id="75"/>
      <w:bookmarkEnd w:id="76"/>
      <w:bookmarkEnd w:id="77"/>
      <w:bookmarkEnd w:id="78"/>
    </w:p>
    <w:p w14:paraId="33CCB551" w14:textId="7422E773" w:rsidR="000902F6" w:rsidRPr="00541E79" w:rsidRDefault="002935EE" w:rsidP="00541E79">
      <w:pPr>
        <w:pStyle w:val="Heading3"/>
      </w:pPr>
      <w:bookmarkStart w:id="79" w:name="_Toc5802859"/>
      <w:bookmarkStart w:id="80" w:name="_Toc5802937"/>
      <w:bookmarkStart w:id="81" w:name="_Toc5804948"/>
      <w:bookmarkStart w:id="82" w:name="_Toc5805040"/>
      <w:bookmarkStart w:id="83" w:name="_Toc5805118"/>
      <w:bookmarkStart w:id="84" w:name="_Toc5805480"/>
      <w:bookmarkStart w:id="85" w:name="_Toc5805354"/>
      <w:bookmarkStart w:id="86" w:name="_Toc5805746"/>
      <w:bookmarkStart w:id="87" w:name="_Toc5808206"/>
      <w:bookmarkStart w:id="88" w:name="_Toc5808770"/>
      <w:bookmarkStart w:id="89" w:name="_Toc5808847"/>
      <w:bookmarkStart w:id="90" w:name="_Toc5894896"/>
      <w:bookmarkStart w:id="91" w:name="_Toc5894973"/>
      <w:bookmarkStart w:id="92" w:name="_Toc5895050"/>
      <w:bookmarkStart w:id="93" w:name="_Toc5895355"/>
      <w:bookmarkStart w:id="94" w:name="_Toc5895472"/>
      <w:bookmarkStart w:id="95" w:name="_Toc5895588"/>
      <w:bookmarkStart w:id="96" w:name="_Toc5895907"/>
      <w:bookmarkStart w:id="97" w:name="_Toc6308296"/>
      <w:bookmarkStart w:id="98" w:name="_Toc6308862"/>
      <w:bookmarkStart w:id="99" w:name="_Toc6308938"/>
      <w:bookmarkStart w:id="100" w:name="_Toc6309014"/>
      <w:bookmarkStart w:id="101" w:name="_Toc6309466"/>
      <w:bookmarkStart w:id="102" w:name="_Toc6314508"/>
      <w:bookmarkStart w:id="103" w:name="_Toc6314983"/>
      <w:bookmarkStart w:id="104" w:name="_Toc6315548"/>
      <w:bookmarkStart w:id="105" w:name="_Toc6316789"/>
      <w:bookmarkStart w:id="106" w:name="_Toc6316865"/>
      <w:bookmarkStart w:id="107" w:name="_Toc6316941"/>
      <w:bookmarkStart w:id="108" w:name="_Toc6317474"/>
      <w:bookmarkStart w:id="109" w:name="_Toc6317713"/>
      <w:bookmarkStart w:id="110" w:name="_Toc6317163"/>
      <w:bookmarkStart w:id="111" w:name="_Toc6318100"/>
      <w:bookmarkStart w:id="112" w:name="_Toc6319103"/>
      <w:bookmarkStart w:id="113" w:name="_Toc6319131"/>
      <w:bookmarkStart w:id="114" w:name="_Toc6320533"/>
      <w:bookmarkStart w:id="115" w:name="_Toc6321363"/>
      <w:bookmarkStart w:id="116" w:name="_Toc6321467"/>
      <w:bookmarkStart w:id="117" w:name="_Toc6322721"/>
      <w:bookmarkStart w:id="118" w:name="_Toc6323203"/>
      <w:bookmarkStart w:id="119" w:name="_Toc6323476"/>
      <w:bookmarkStart w:id="120" w:name="_Toc6323580"/>
      <w:bookmarkStart w:id="121" w:name="_Toc6323655"/>
      <w:bookmarkStart w:id="122" w:name="_Toc6323769"/>
      <w:bookmarkStart w:id="123" w:name="_Toc6323946"/>
      <w:bookmarkStart w:id="124" w:name="_Toc6324482"/>
      <w:bookmarkStart w:id="125" w:name="_Toc6324719"/>
      <w:bookmarkStart w:id="126" w:name="_Toc6324794"/>
      <w:bookmarkStart w:id="127" w:name="_Toc6324869"/>
      <w:bookmarkStart w:id="128" w:name="_Toc6325054"/>
      <w:bookmarkStart w:id="129" w:name="_Toc6325179"/>
      <w:bookmarkStart w:id="130" w:name="_Toc6325254"/>
      <w:bookmarkStart w:id="131" w:name="_Toc6325352"/>
      <w:bookmarkStart w:id="132" w:name="_Toc6325563"/>
      <w:bookmarkStart w:id="133" w:name="_Toc6325735"/>
      <w:bookmarkStart w:id="134" w:name="_Toc6325810"/>
      <w:bookmarkStart w:id="135" w:name="_Toc6325917"/>
      <w:bookmarkStart w:id="136" w:name="_Toc6326165"/>
      <w:bookmarkStart w:id="137" w:name="_Toc6326267"/>
      <w:bookmarkStart w:id="138" w:name="_Toc6326342"/>
      <w:bookmarkStart w:id="139" w:name="_Toc6326418"/>
      <w:bookmarkStart w:id="140" w:name="_Toc6327435"/>
      <w:bookmarkStart w:id="141" w:name="_Toc6327510"/>
      <w:bookmarkStart w:id="142" w:name="_Toc6327602"/>
      <w:bookmarkStart w:id="143" w:name="_Ref521333"/>
      <w:bookmarkStart w:id="144" w:name="_Toc4072460"/>
      <w:bookmarkStart w:id="145" w:name="_Toc5020790"/>
      <w:bookmarkStart w:id="146" w:name="_Toc5021597"/>
      <w:bookmarkStart w:id="147" w:name="_Toc5808358"/>
      <w:bookmarkStart w:id="148" w:name="_Toc5895051"/>
      <w:bookmarkStart w:id="149" w:name="_Toc6308939"/>
      <w:bookmarkStart w:id="150" w:name="_Toc6327603"/>
      <w:bookmarkStart w:id="151" w:name="_Toc3899043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r w:rsidRPr="00541E79">
        <w:t>Source datasets</w:t>
      </w:r>
      <w:bookmarkEnd w:id="143"/>
      <w:bookmarkEnd w:id="144"/>
      <w:bookmarkEnd w:id="145"/>
      <w:bookmarkEnd w:id="146"/>
      <w:bookmarkEnd w:id="147"/>
      <w:bookmarkEnd w:id="148"/>
      <w:bookmarkEnd w:id="149"/>
      <w:bookmarkEnd w:id="150"/>
      <w:bookmarkEnd w:id="151"/>
    </w:p>
    <w:p w14:paraId="563E8C06" w14:textId="2D06E8D6" w:rsidR="003B1371" w:rsidRPr="001F0A6B" w:rsidRDefault="003B1371" w:rsidP="00C82685">
      <w:pPr>
        <w:pStyle w:val="Heading4"/>
      </w:pPr>
      <w:r w:rsidRPr="001F0A6B">
        <w:t xml:space="preserve">Petroleum </w:t>
      </w:r>
      <w:r w:rsidR="00292391">
        <w:t>w</w:t>
      </w:r>
      <w:r w:rsidRPr="001F0A6B">
        <w:t>ell</w:t>
      </w:r>
      <w:r w:rsidR="00A06196" w:rsidRPr="001F0A6B">
        <w:t xml:space="preserve"> data</w:t>
      </w:r>
    </w:p>
    <w:p w14:paraId="388EA95B" w14:textId="54498D0F" w:rsidR="003B1371" w:rsidRPr="0024671D" w:rsidRDefault="003B1371" w:rsidP="003B1371">
      <w:pPr>
        <w:pStyle w:val="BodyText"/>
      </w:pPr>
      <w:r w:rsidRPr="0024671D">
        <w:t xml:space="preserve">Information about </w:t>
      </w:r>
      <w:r>
        <w:t>petroleum well</w:t>
      </w:r>
      <w:r w:rsidRPr="0024671D">
        <w:t xml:space="preserve"> datasets has been outlined in</w:t>
      </w:r>
      <w:r>
        <w:t xml:space="preserve"> </w:t>
      </w:r>
      <w:r w:rsidR="00A541ED">
        <w:fldChar w:fldCharType="begin"/>
      </w:r>
      <w:r w:rsidR="00F76E0D">
        <w:instrText xml:space="preserve"> ADDIN EN.CITE &lt;EndNote&gt;&lt;Cite&gt;&lt;Author&gt;Orr&lt;/Author&gt;&lt;Year&gt;2020&lt;/Year&gt;&lt;RecNum&gt;797&lt;/RecNum&gt;&lt;DisplayText&gt;(Orr et al., 2020)&lt;/DisplayText&gt;&lt;record&gt;&lt;rec-number&gt;797&lt;/rec-number&gt;&lt;foreign-keys&gt;&lt;key app="EN" db-id="wdf9tzzdhw2saee559kv0vezt0wfsta0zedv" timestamp="1552607511"&gt;797&lt;/key&gt;&lt;/foreign-keys&gt;&lt;ref-type name="Report"&gt;27&lt;/ref-type&gt;&lt;contributors&gt;&lt;authors&gt;&lt;author&gt;Orr, M.L.,&lt;/author&gt;&lt;author&gt;Bernardel, G.,&lt;/author&gt;&lt;author&gt;Owens, R.,&lt;/author&gt;&lt;author&gt;Hall,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A541ED">
        <w:fldChar w:fldCharType="separate"/>
      </w:r>
      <w:r w:rsidR="006456ED">
        <w:rPr>
          <w:noProof/>
        </w:rPr>
        <w:t>(Orr et al., 2020)</w:t>
      </w:r>
      <w:r w:rsidR="00A541ED">
        <w:fldChar w:fldCharType="end"/>
      </w:r>
      <w:r w:rsidRPr="0024671D">
        <w:t>. Petroleum well data of interest for hydrogeological studies include well stratigraphy, formation pressure</w:t>
      </w:r>
      <w:r>
        <w:t>, temperature,</w:t>
      </w:r>
      <w:r w:rsidRPr="0024671D">
        <w:t xml:space="preserve"> water analyses, porosity-permeability measurements and well logs</w:t>
      </w:r>
      <w:r>
        <w:t xml:space="preserve"> (geophysical and rock properties logs)</w:t>
      </w:r>
      <w:r w:rsidRPr="0024671D">
        <w:t xml:space="preserve">. </w:t>
      </w:r>
    </w:p>
    <w:p w14:paraId="414F94E8" w14:textId="2E2EB352" w:rsidR="00F92340" w:rsidRPr="001F0A6B" w:rsidRDefault="00F92340" w:rsidP="00C82685">
      <w:pPr>
        <w:pStyle w:val="Heading4"/>
      </w:pPr>
      <w:r w:rsidRPr="001F0A6B">
        <w:t xml:space="preserve">Digital Earth Australia – Landsat </w:t>
      </w:r>
      <w:r w:rsidR="00BB6D37">
        <w:t>a</w:t>
      </w:r>
      <w:r w:rsidRPr="001F0A6B">
        <w:t>rchive</w:t>
      </w:r>
    </w:p>
    <w:p w14:paraId="648D3DA5" w14:textId="71089DFA" w:rsidR="007F417C" w:rsidRDefault="00F92340" w:rsidP="00F92340">
      <w:pPr>
        <w:pStyle w:val="BodyText"/>
      </w:pPr>
      <w:r>
        <w:t xml:space="preserve">Remote sensing information </w:t>
      </w:r>
      <w:r w:rsidR="00E147BC">
        <w:t xml:space="preserve">provides </w:t>
      </w:r>
      <w:r>
        <w:t>a nationally</w:t>
      </w:r>
      <w:r w:rsidR="00C30378">
        <w:t xml:space="preserve"> </w:t>
      </w:r>
      <w:r>
        <w:t xml:space="preserve">consistent tool for understanding the spatial and temporal patterns of surface water across Australia. Geoscience Australia has recently developed products from </w:t>
      </w:r>
      <w:r w:rsidR="00A00A2A">
        <w:t>E</w:t>
      </w:r>
      <w:r>
        <w:t>arth observation data as part of Digita</w:t>
      </w:r>
      <w:r w:rsidR="00BA6D12">
        <w:t>l Earth Australia</w:t>
      </w:r>
      <w:r w:rsidR="00513538">
        <w:t xml:space="preserve"> (DEA)</w:t>
      </w:r>
      <w:r w:rsidR="00BA6D12">
        <w:t xml:space="preserve"> </w:t>
      </w:r>
      <w:r w:rsidR="00E31E78">
        <w:fldChar w:fldCharType="begin"/>
      </w:r>
      <w:r w:rsidR="00F76E0D">
        <w:instrText xml:space="preserve"> ADDIN EN.CITE &lt;EndNote&gt;&lt;Cite&gt;&lt;Author&gt;Haines&lt;/Author&gt;&lt;Year&gt;2013&lt;/Year&gt;&lt;RecNum&gt;1333&lt;/RecNum&gt;&lt;DisplayText&gt;(Haines et al., 2013)&lt;/DisplayText&gt;&lt;record&gt;&lt;rec-number&gt;1333&lt;/rec-number&gt;&lt;foreign-keys&gt;&lt;key app="EN" db-id="wdf9tzzdhw2saee559kv0vezt0wfsta0zedv" timestamp="1570582576"&gt;1333&lt;/key&gt;&lt;key app="ENWeb" db-id=""&gt;0&lt;/key&gt;&lt;/foreign-keys&gt;&lt;ref-type name="Journal Article"&gt;17&lt;/ref-type&gt;&lt;contributors&gt;&lt;authors&gt;&lt;author&gt;Haines, Seth S.&lt;/author&gt;&lt;author&gt;Diffendorfer, Jay E.&lt;/author&gt;&lt;author&gt;Balistrieri, Laurie&lt;/author&gt;&lt;author&gt;Berger, Byron&lt;/author&gt;&lt;author&gt;Cook, Troy&lt;/author&gt;&lt;author&gt;DeAngelis, Don&lt;/author&gt;&lt;author&gt;Doremus, Holly&lt;/author&gt;&lt;author&gt;Gautier, Donald L.&lt;/author&gt;&lt;author&gt;Gallegos, Tanya&lt;/author&gt;&lt;author&gt;Gerritsen, Margot&lt;/author&gt;&lt;author&gt;Graffy, Elisabeth&lt;/author&gt;&lt;author&gt;Hawkins, Sarah&lt;/author&gt;&lt;author&gt;Johnson, Kathleen M.&lt;/author&gt;&lt;author&gt;Macknick, Jordan&lt;/author&gt;&lt;author&gt;McMahon, Peter&lt;/author&gt;&lt;author&gt;Modde, Tim&lt;/author&gt;&lt;author&gt;Pierce, Brenda&lt;/author&gt;&lt;author&gt;Schuenemeyer, John H.&lt;/author&gt;&lt;author&gt;Semmens, Darius&lt;/author&gt;&lt;author&gt;Simon, Benjamin&lt;/author&gt;&lt;author&gt;Taylor, Jason&lt;/author&gt;&lt;author&gt;Walton-Day, Katie&lt;/author&gt;&lt;/authors&gt;&lt;/contributors&gt;&lt;titles&gt;&lt;title&gt;A Framework for Quantitative Assessment of Impacts Related to Energy and Mineral Resource Development&lt;/title&gt;&lt;secondary-title&gt;Natural Resources Research&lt;/secondary-title&gt;&lt;/titles&gt;&lt;periodical&gt;&lt;full-title&gt;Natural Resources Research&lt;/full-title&gt;&lt;/periodical&gt;&lt;pages&gt;3-17&lt;/pages&gt;&lt;volume&gt;23&lt;/volume&gt;&lt;number&gt;1&lt;/number&gt;&lt;section&gt;3&lt;/section&gt;&lt;dates&gt;&lt;year&gt;2013&lt;/year&gt;&lt;/dates&gt;&lt;isbn&gt;1520-7439&amp;#xD;1573-8981&lt;/isbn&gt;&lt;urls&gt;&lt;/urls&gt;&lt;electronic-resource-num&gt;10.1007/s11053-013-9208-6&lt;/electronic-resource-num&gt;&lt;/record&gt;&lt;/Cite&gt;&lt;/EndNote&gt;</w:instrText>
      </w:r>
      <w:r w:rsidR="00E31E78">
        <w:fldChar w:fldCharType="separate"/>
      </w:r>
      <w:r w:rsidR="0071633B">
        <w:rPr>
          <w:noProof/>
        </w:rPr>
        <w:t>(Haines et al., 2013)</w:t>
      </w:r>
      <w:r w:rsidR="00E31E78">
        <w:fldChar w:fldCharType="end"/>
      </w:r>
      <w:r>
        <w:t xml:space="preserve">. </w:t>
      </w:r>
      <w:r w:rsidR="007F417C">
        <w:t>DEA</w:t>
      </w:r>
      <w:r>
        <w:t xml:space="preserve"> is an analysis platform for satellite imagery and other </w:t>
      </w:r>
      <w:r w:rsidR="00A00A2A">
        <w:t>E</w:t>
      </w:r>
      <w:r>
        <w:t xml:space="preserve">arth observation data based on the Australian Geoscience Data Cube </w:t>
      </w:r>
      <w:r w:rsidR="00A541ED">
        <w:fldChar w:fldCharType="begin"/>
      </w:r>
      <w:r w:rsidR="00F76E0D">
        <w:instrText xml:space="preserve"> ADDIN EN.CITE &lt;EndNote&gt;&lt;Cite&gt;&lt;Author&gt;Lewis&lt;/Author&gt;&lt;Year&gt;2017&lt;/Year&gt;&lt;RecNum&gt;1364&lt;/RecNum&gt;&lt;DisplayText&gt;(Lewis et al., 2017)&lt;/DisplayText&gt;&lt;record&gt;&lt;rec-number&gt;1364&lt;/rec-number&gt;&lt;foreign-keys&gt;&lt;key app="EN" db-id="wdf9tzzdhw2saee559kv0vezt0wfsta0zedv" timestamp="1574643594"&gt;1364&lt;/key&gt;&lt;/foreign-keys&gt;&lt;ref-type name="Journal Article"&gt;17&lt;/ref-type&gt;&lt;contributors&gt;&lt;authors&gt;&lt;author&gt;Lewis, Adam&lt;/author&gt;&lt;author&gt;Oliver, Simon&lt;/author&gt;&lt;author&gt;Lymburner, Leo&lt;/author&gt;&lt;author&gt;Evans, Ben&lt;/author&gt;&lt;author&gt;Wyborn, Lesley&lt;/author&gt;&lt;author&gt;Mueller, Norman&lt;/author&gt;&lt;author&gt;Raevksi, Gregory&lt;/author&gt;&lt;author&gt;Hooke, Jeremy&lt;/author&gt;&lt;author&gt;Woodcock, Rob&lt;/author&gt;&lt;author&gt;Sixsmith, Joshua&lt;/author&gt;&lt;author&gt;Wu, Wenjun&lt;/author&gt;&lt;author&gt;Tan, Peter&lt;/author&gt;&lt;author&gt;Li, Fuqin&lt;/author&gt;&lt;author&gt;Killough, Brian&lt;/author&gt;&lt;author&gt;Minchin, Stuart&lt;/author&gt;&lt;author&gt;Roberts, Dale&lt;/author&gt;&lt;author&gt;Ayers, Damien&lt;/author&gt;&lt;author&gt;Bala, Biswajit&lt;/author&gt;&lt;author&gt;Dwyer, John&lt;/author&gt;&lt;author&gt;Dekker, Arnold&lt;/author&gt;&lt;author&gt;Dhu, Trevor&lt;/author&gt;&lt;author&gt;Hicks, Andrew&lt;/author&gt;&lt;author&gt;Ip, Alex&lt;/author&gt;&lt;author&gt;Purss, Matt&lt;/author&gt;&lt;author&gt;Richards, Clare&lt;/author&gt;&lt;author&gt;Sagar, Stephen&lt;/author&gt;&lt;author&gt;Trenham, Claire&lt;/author&gt;&lt;author&gt;Wang, Peter&lt;/author&gt;&lt;author&gt;Wang, Lan-Wei&lt;/author&gt;&lt;/authors&gt;&lt;/contributors&gt;&lt;titles&gt;&lt;title&gt;The Australian Geoscience Data Cube — Foundations and lessons learned&lt;/title&gt;&lt;secondary-title&gt;Remote Sensing of Environment&lt;/secondary-title&gt;&lt;/titles&gt;&lt;periodical&gt;&lt;full-title&gt;Remote Sensing of Environment&lt;/full-title&gt;&lt;/periodical&gt;&lt;pages&gt;276-292&lt;/pages&gt;&lt;volume&gt;202&lt;/volume&gt;&lt;dates&gt;&lt;year&gt;2017&lt;/year&gt;&lt;/dates&gt;&lt;urls&gt;&lt;/urls&gt;&lt;electronic-resource-num&gt;10.1016/j.rse.2017.03.015&lt;/electronic-resource-num&gt;&lt;/record&gt;&lt;/Cite&gt;&lt;/EndNote&gt;</w:instrText>
      </w:r>
      <w:r w:rsidR="00A541ED">
        <w:fldChar w:fldCharType="separate"/>
      </w:r>
      <w:r w:rsidR="00A541ED">
        <w:rPr>
          <w:noProof/>
        </w:rPr>
        <w:t>(Lewis et al., 2017)</w:t>
      </w:r>
      <w:r w:rsidR="00A541ED">
        <w:fldChar w:fldCharType="end"/>
      </w:r>
      <w:r>
        <w:t>. DEA holds an archive of 30 years of corrected and processed Landsat data</w:t>
      </w:r>
      <w:r w:rsidR="008B774F">
        <w:t>. In addition</w:t>
      </w:r>
      <w:r>
        <w:t xml:space="preserve"> </w:t>
      </w:r>
      <w:r w:rsidR="008B774F">
        <w:t>to</w:t>
      </w:r>
      <w:r>
        <w:t xml:space="preserve"> </w:t>
      </w:r>
      <w:r w:rsidR="008B774F">
        <w:t xml:space="preserve">other </w:t>
      </w:r>
      <w:r w:rsidR="00A00A2A">
        <w:t>E</w:t>
      </w:r>
      <w:r w:rsidR="008B774F">
        <w:t xml:space="preserve">arth observation </w:t>
      </w:r>
      <w:r>
        <w:t xml:space="preserve">time-series </w:t>
      </w:r>
      <w:r w:rsidR="008B774F">
        <w:t>datasets, DEA</w:t>
      </w:r>
      <w:r>
        <w:t xml:space="preserve"> provides </w:t>
      </w:r>
      <w:r w:rsidR="007F417C">
        <w:t>data interaction tools</w:t>
      </w:r>
      <w:r>
        <w:t xml:space="preserve"> through the Australian National Computational Infrastructure (NCI) </w:t>
      </w:r>
      <w:r w:rsidDel="0085577D">
        <w:t>high</w:t>
      </w:r>
      <w:r w:rsidR="0085577D">
        <w:t>-</w:t>
      </w:r>
      <w:r>
        <w:t xml:space="preserve">performance computing environments. </w:t>
      </w:r>
    </w:p>
    <w:p w14:paraId="2510517D" w14:textId="5E11E2F4" w:rsidR="00F92340" w:rsidRDefault="00F92340" w:rsidP="00F92340">
      <w:pPr>
        <w:pStyle w:val="BodyText"/>
      </w:pPr>
      <w:r>
        <w:t>Published DEA products to date based on remotely sensed data include Water Observations from Space (WOfS)</w:t>
      </w:r>
      <w:r w:rsidR="007F417C">
        <w:t>, which show where water has been identified in the landscape over time</w:t>
      </w:r>
      <w:r>
        <w:t xml:space="preserve"> </w:t>
      </w:r>
      <w:r w:rsidR="00A541ED">
        <w:fldChar w:fldCharType="begin"/>
      </w:r>
      <w:r w:rsidR="00F76E0D">
        <w:instrText xml:space="preserve"> ADDIN EN.CITE &lt;EndNote&gt;&lt;Cite&gt;&lt;Author&gt;Mueller&lt;/Author&gt;&lt;Year&gt;2016&lt;/Year&gt;&lt;RecNum&gt;462&lt;/RecNum&gt;&lt;DisplayText&gt;(Mueller et al., 2016)&lt;/DisplayText&gt;&lt;record&gt;&lt;rec-number&gt;462&lt;/rec-number&gt;&lt;foreign-keys&gt;&lt;key app="EN" db-id="wdf9tzzdhw2saee559kv0vezt0wfsta0zedv" timestamp="1544416857"&gt;462&lt;/key&gt;&lt;key app="ENWeb" db-id=""&gt;0&lt;/key&gt;&lt;/foreign-keys&gt;&lt;ref-type name="Journal Article"&gt;17&lt;/ref-type&gt;&lt;contributors&gt;&lt;authors&gt;&lt;author&gt;Mueller, N.&lt;/author&gt;&lt;author&gt;Lewis, A.&lt;/author&gt;&lt;author&gt;Roberts, D.&lt;/author&gt;&lt;author&gt;Ring, S.&lt;/author&gt;&lt;author&gt;Melrose, R.&lt;/author&gt;&lt;author&gt;Sixsmith, J.&lt;/author&gt;&lt;author&gt;Lymburner, L.&lt;/author&gt;&lt;author&gt;McIntyre, A.&lt;/author&gt;&lt;author&gt;Tan, P.&lt;/author&gt;&lt;author&gt;Curnow, S.&lt;/author&gt;&lt;author&gt;Ip, A.&lt;/author&gt;&lt;/authors&gt;&lt;/contributors&gt;&lt;titles&gt;&lt;title&gt;Water observations from space: mapping surface water from 25 years of Landsat imagery across Australia&lt;/title&gt;&lt;secondary-title&gt;Remote Sensing of Environment&lt;/secondary-title&gt;&lt;/titles&gt;&lt;periodical&gt;&lt;full-title&gt;Remote Sensing of Environment&lt;/full-title&gt;&lt;/periodical&gt;&lt;pages&gt;341–352&lt;/pages&gt;&lt;volume&gt;174&lt;/volume&gt;&lt;keywords&gt;&lt;keyword&gt;Landsat&lt;/keyword&gt;&lt;keyword&gt;Surface water&lt;/keyword&gt;&lt;keyword&gt;Flood&lt;/keyword&gt;&lt;keyword&gt;Time series&lt;/keyword&gt;&lt;keyword&gt;Water resources&lt;/keyword&gt;&lt;keyword&gt;Water Observations from Space&lt;/keyword&gt;&lt;keyword&gt;Digital Earth Australia&lt;/keyword&gt;&lt;keyword&gt;earth observations from space&lt;/keyword&gt;&lt;keyword&gt;remote sensing&lt;/keyword&gt;&lt;/keywords&gt;&lt;dates&gt;&lt;year&gt;2016&lt;/year&gt;&lt;pub-dates&gt;&lt;date&gt;2016/03/01/&lt;/date&gt;&lt;/pub-dates&gt;&lt;/dates&gt;&lt;isbn&gt;0034-4257&lt;/isbn&gt;&lt;urls&gt;&lt;related-urls&gt;&lt;url&gt;&lt;style face="underline" font="default" size="100%"&gt;http://www.sciencedirect.com/science/article/pii/S0034425715301929&lt;/style&gt;&lt;/url&gt;&lt;/related-urls&gt;&lt;/urls&gt;&lt;electronic-resource-num&gt;10.1016/j.rse.2015.11.003&lt;/electronic-resource-num&gt;&lt;/record&gt;&lt;/Cite&gt;&lt;/EndNote&gt;</w:instrText>
      </w:r>
      <w:r w:rsidR="00A541ED">
        <w:fldChar w:fldCharType="separate"/>
      </w:r>
      <w:r w:rsidR="00A541ED">
        <w:rPr>
          <w:noProof/>
        </w:rPr>
        <w:t>(Mueller et al., 2016)</w:t>
      </w:r>
      <w:r w:rsidR="00A541ED">
        <w:fldChar w:fldCharType="end"/>
      </w:r>
      <w:r>
        <w:t>. Other products derived from the DEA</w:t>
      </w:r>
      <w:r w:rsidR="001C4C27">
        <w:t>,</w:t>
      </w:r>
      <w:r>
        <w:t xml:space="preserve"> such as </w:t>
      </w:r>
      <w:r w:rsidR="00117743">
        <w:t>Tasselled</w:t>
      </w:r>
      <w:r>
        <w:t xml:space="preserve"> </w:t>
      </w:r>
      <w:r w:rsidR="00117743">
        <w:t>C</w:t>
      </w:r>
      <w:r>
        <w:t xml:space="preserve">ap </w:t>
      </w:r>
      <w:r w:rsidR="00117743">
        <w:t>W</w:t>
      </w:r>
      <w:r>
        <w:t>etness</w:t>
      </w:r>
      <w:r w:rsidR="00117743">
        <w:t xml:space="preserve"> (TCW)</w:t>
      </w:r>
      <w:r w:rsidR="001C4C27">
        <w:t>,</w:t>
      </w:r>
      <w:r>
        <w:t xml:space="preserve"> </w:t>
      </w:r>
      <w:r w:rsidR="00405089">
        <w:t>can be</w:t>
      </w:r>
      <w:r>
        <w:t xml:space="preserve"> used to </w:t>
      </w:r>
      <w:r w:rsidR="00405089">
        <w:t>assess the persistence of surface water in the landscape</w:t>
      </w:r>
      <w:r>
        <w:t xml:space="preserve">. </w:t>
      </w:r>
      <w:r w:rsidR="007F417C">
        <w:t xml:space="preserve">DEA products are presented and analysed for the Beetaloo GBA region in </w:t>
      </w:r>
      <w:r>
        <w:t>Section</w:t>
      </w:r>
      <w:r w:rsidR="0071633B">
        <w:t xml:space="preserve"> </w:t>
      </w:r>
      <w:r w:rsidR="0071633B">
        <w:fldChar w:fldCharType="begin"/>
      </w:r>
      <w:r w:rsidR="0071633B">
        <w:instrText xml:space="preserve"> REF _Ref34913906 \n \h </w:instrText>
      </w:r>
      <w:r w:rsidR="0071633B">
        <w:fldChar w:fldCharType="separate"/>
      </w:r>
      <w:r w:rsidR="00B177F5">
        <w:t>3</w:t>
      </w:r>
      <w:r w:rsidR="0071633B">
        <w:fldChar w:fldCharType="end"/>
      </w:r>
      <w:r>
        <w:t>.</w:t>
      </w:r>
      <w:r w:rsidRPr="0053510A">
        <w:t xml:space="preserve"> </w:t>
      </w:r>
    </w:p>
    <w:p w14:paraId="616D0C93" w14:textId="11F9E7CA" w:rsidR="00907946" w:rsidRDefault="00CA6719" w:rsidP="00CA6719">
      <w:pPr>
        <w:pStyle w:val="Heading4"/>
      </w:pPr>
      <w:r>
        <w:t>Groundwater data</w:t>
      </w:r>
    </w:p>
    <w:p w14:paraId="68703498" w14:textId="2071BDE2" w:rsidR="00A06196" w:rsidRDefault="00A06196" w:rsidP="00A4151E">
      <w:pPr>
        <w:pStyle w:val="BodyText"/>
        <w:rPr>
          <w:rFonts w:cs="Calibri"/>
        </w:rPr>
      </w:pPr>
      <w:r>
        <w:rPr>
          <w:rFonts w:cs="Calibri"/>
        </w:rPr>
        <w:t xml:space="preserve">Key datasets consulted for the groundwater sections of this report are summarised </w:t>
      </w:r>
      <w:r w:rsidR="00513538">
        <w:rPr>
          <w:rFonts w:cs="Calibri"/>
        </w:rPr>
        <w:t>in the following sections</w:t>
      </w:r>
      <w:r>
        <w:rPr>
          <w:rFonts w:cs="Calibri"/>
        </w:rPr>
        <w:t xml:space="preserve">. They are generally limited to those considered appropriate and available at the </w:t>
      </w:r>
      <w:r w:rsidR="00CB2518">
        <w:rPr>
          <w:rFonts w:cs="Calibri"/>
        </w:rPr>
        <w:t xml:space="preserve">end of </w:t>
      </w:r>
      <w:r>
        <w:rPr>
          <w:rFonts w:cs="Calibri"/>
        </w:rPr>
        <w:t xml:space="preserve">December 2018. </w:t>
      </w:r>
    </w:p>
    <w:p w14:paraId="63C23DDA" w14:textId="77777777" w:rsidR="00A06196" w:rsidRPr="00BE4472" w:rsidRDefault="00A06196" w:rsidP="00CB2518">
      <w:pPr>
        <w:pStyle w:val="Heading5"/>
      </w:pPr>
      <w:bookmarkStart w:id="152" w:name="_Ref5895794"/>
      <w:r w:rsidRPr="00BE4472">
        <w:t>Lithology and hydrostratigraphy</w:t>
      </w:r>
      <w:bookmarkEnd w:id="152"/>
    </w:p>
    <w:p w14:paraId="2DCBBF0B" w14:textId="10653234" w:rsidR="00A06196" w:rsidRDefault="00513538" w:rsidP="00A4151E">
      <w:pPr>
        <w:pStyle w:val="BodyText"/>
        <w:rPr>
          <w:rFonts w:cs="Calibri"/>
        </w:rPr>
      </w:pPr>
      <w:r>
        <w:t>The</w:t>
      </w:r>
      <w:r w:rsidR="005552DD">
        <w:t xml:space="preserve"> </w:t>
      </w:r>
      <w:r w:rsidR="005552DD">
        <w:fldChar w:fldCharType="begin"/>
      </w:r>
      <w:r w:rsidR="005D0C32">
        <w:instrText xml:space="preserve"> ADDIN EN.CITE &lt;EndNote&gt;&lt;Cite AuthorYear="1"&gt;&lt;Author&gt;(NT)&lt;/Author&gt;&lt;Year&gt;2018&lt;/Year&gt;&lt;RecNum&gt;1541&lt;/RecNum&gt;&lt;DisplayText&gt;Department of Environment and Natural Resources (NT) (2018a)&lt;/DisplayText&gt;&lt;record&gt;&lt;rec-number&gt;1541&lt;/rec-number&gt;&lt;foreign-keys&gt;&lt;key app="EN" db-id="wdf9tzzdhw2saee559kv0vezt0wfsta0zedv" timestamp="1588042411"&gt;1541&lt;/key&gt;&lt;/foreign-keys&gt;&lt;ref-type name="Dataset"&gt;59&lt;/ref-type&gt;&lt;contributors&gt;&lt;authors&gt;&lt;author&gt;Department of Environment and Natural Resources (NT),&lt;/author&gt;&lt;/authors&gt;&lt;secondary-authors&gt;&lt;author&gt;Geoscience Australia,&lt;/author&gt;&lt;/secondary-authors&gt;&lt;/contributors&gt;&lt;titles&gt;&lt;title&gt;NT Groundwater Monitoring Bores Database&lt;/title&gt;&lt;/titles&gt;&lt;keywords&gt;&lt;keyword&gt;hydrogeology, WATER Quality&lt;/keyword&gt;&lt;/keywords&gt;&lt;dates&gt;&lt;year&gt;2018&lt;/year&gt;&lt;/dates&gt;&lt;pub-location&gt;Canberra&lt;/pub-location&gt;&lt;label&gt;527F422D-52CD-4D50-A5FA-923CBBB36C60&lt;/label&gt;&lt;urls&gt;&lt;related-urls&gt;&lt;url&gt;https://denr.nt.gov.au/&lt;/url&gt;&lt;/related-urls&gt;&lt;/urls&gt;&lt;custom2&gt;unit of observation&lt;/custom2&gt;&lt;custom3&gt;spatial&lt;/custom3&gt;&lt;custom4&gt;dataset&lt;/custom4&gt;&lt;access-date&gt;28 April 2020&lt;/access-date&gt;&lt;/record&gt;&lt;/Cite&gt;&lt;/EndNote&gt;</w:instrText>
      </w:r>
      <w:r w:rsidR="005552DD">
        <w:fldChar w:fldCharType="separate"/>
      </w:r>
      <w:r w:rsidR="005D0C32">
        <w:rPr>
          <w:noProof/>
        </w:rPr>
        <w:t>Department of Environment and Natural Resources (NT) (2018a)</w:t>
      </w:r>
      <w:r w:rsidR="005552DD">
        <w:fldChar w:fldCharType="end"/>
      </w:r>
      <w:r>
        <w:t xml:space="preserve"> </w:t>
      </w:r>
      <w:r w:rsidR="00A06196">
        <w:rPr>
          <w:rFonts w:cs="Calibri"/>
        </w:rPr>
        <w:t xml:space="preserve">summarises groundwater </w:t>
      </w:r>
      <w:r w:rsidR="00D26079">
        <w:rPr>
          <w:rFonts w:cs="Calibri"/>
        </w:rPr>
        <w:t>bores</w:t>
      </w:r>
      <w:r w:rsidR="00A06196">
        <w:rPr>
          <w:rFonts w:cs="Calibri"/>
        </w:rPr>
        <w:t xml:space="preserve"> registered with the Northern Territory Government and includes a range of information used in the current study (e.g. standing water levels, borehole yield and links to online borehole logs).</w:t>
      </w:r>
    </w:p>
    <w:p w14:paraId="7C6CE395" w14:textId="774295D7" w:rsidR="00A06196" w:rsidRDefault="00A06196" w:rsidP="00A4151E">
      <w:pPr>
        <w:pStyle w:val="BodyText"/>
        <w:rPr>
          <w:rFonts w:cs="Calibri"/>
        </w:rPr>
      </w:pPr>
      <w:r>
        <w:rPr>
          <w:rFonts w:cs="Calibri"/>
        </w:rPr>
        <w:t>In addition to</w:t>
      </w:r>
      <w:r w:rsidR="00E17B9C">
        <w:rPr>
          <w:rFonts w:cs="Calibri"/>
        </w:rPr>
        <w:t xml:space="preserve"> </w:t>
      </w:r>
      <w:r w:rsidR="00E17B9C">
        <w:rPr>
          <w:rFonts w:cs="Calibri"/>
        </w:rPr>
        <w:fldChar w:fldCharType="begin"/>
      </w:r>
      <w:r w:rsidR="005D0C32">
        <w:rPr>
          <w:rFonts w:cs="Calibri"/>
        </w:rPr>
        <w:instrText xml:space="preserve"> ADDIN EN.CITE &lt;EndNote&gt;&lt;Cite AuthorYear="1"&gt;&lt;Author&gt;Department of Environment and Natural Resources (NT)&lt;/Author&gt;&lt;Year&gt;2018&lt;/Year&gt;&lt;RecNum&gt;1541&lt;/RecNum&gt;&lt;DisplayText&gt;Department of Environment and Natural Resources (NT) (2018a)&lt;/DisplayText&gt;&lt;record&gt;&lt;rec-number&gt;1541&lt;/rec-number&gt;&lt;foreign-keys&gt;&lt;key app="EN" db-id="wdf9tzzdhw2saee559kv0vezt0wfsta0zedv" timestamp="1588042411"&gt;1541&lt;/key&gt;&lt;/foreign-keys&gt;&lt;ref-type name="Dataset"&gt;59&lt;/ref-type&gt;&lt;contributors&gt;&lt;authors&gt;&lt;author&gt;Department of Environment and Natural Resources (NT),&lt;/author&gt;&lt;/authors&gt;&lt;secondary-authors&gt;&lt;author&gt;Geoscience Australia,&lt;/author&gt;&lt;/secondary-authors&gt;&lt;/contributors&gt;&lt;titles&gt;&lt;title&gt;NT Groundwater Monitoring Bores Database&lt;/title&gt;&lt;/titles&gt;&lt;keywords&gt;&lt;keyword&gt;hydrogeology, WATER Quality&lt;/keyword&gt;&lt;/keywords&gt;&lt;dates&gt;&lt;year&gt;2018&lt;/year&gt;&lt;/dates&gt;&lt;pub-location&gt;Canberra&lt;/pub-location&gt;&lt;label&gt;527F422D-52CD-4D50-A5FA-923CBBB36C60&lt;/label&gt;&lt;urls&gt;&lt;related-urls&gt;&lt;url&gt;https://denr.nt.gov.au/&lt;/url&gt;&lt;/related-urls&gt;&lt;/urls&gt;&lt;custom2&gt;unit of observation&lt;/custom2&gt;&lt;custom3&gt;spatial&lt;/custom3&gt;&lt;custom4&gt;dataset&lt;/custom4&gt;&lt;access-date&gt;28 April 2020&lt;/access-date&gt;&lt;/record&gt;&lt;/Cite&gt;&lt;/EndNote&gt;</w:instrText>
      </w:r>
      <w:r w:rsidR="00E17B9C">
        <w:rPr>
          <w:rFonts w:cs="Calibri"/>
        </w:rPr>
        <w:fldChar w:fldCharType="separate"/>
      </w:r>
      <w:r w:rsidR="005D0C32">
        <w:rPr>
          <w:rFonts w:cs="Calibri"/>
          <w:noProof/>
        </w:rPr>
        <w:t>Department of Environment and Natural Resources (NT) (2018a)</w:t>
      </w:r>
      <w:r w:rsidR="00E17B9C">
        <w:rPr>
          <w:rFonts w:cs="Calibri"/>
        </w:rPr>
        <w:fldChar w:fldCharType="end"/>
      </w:r>
      <w:r>
        <w:rPr>
          <w:rFonts w:cs="Calibri"/>
        </w:rPr>
        <w:t>, DENR provided the following interpreted layer files that were used in hydrogeological conceptualisation (note that many of these files are periodically updated):</w:t>
      </w:r>
    </w:p>
    <w:p w14:paraId="2534C7CE" w14:textId="3C20D65C" w:rsidR="00A06196" w:rsidRPr="001020EA" w:rsidRDefault="001020EA" w:rsidP="001020EA">
      <w:pPr>
        <w:pStyle w:val="ListBullet"/>
        <w:rPr>
          <w:rFonts w:cs="Calibri"/>
        </w:rPr>
      </w:pPr>
      <w:r>
        <w:fldChar w:fldCharType="begin"/>
      </w:r>
      <w:r w:rsidR="005D0C32">
        <w:instrText xml:space="preserve"> ADDIN EN.CITE &lt;EndNote&gt;&lt;Cite AuthorYear="1"&gt;&lt;Author&gt;Department of Environment and Natural Resources (NT)&lt;/Author&gt;&lt;Year&gt;2018&lt;/Year&gt;&lt;RecNum&gt;1511&lt;/RecNum&gt;&lt;DisplayText&gt;Department of Environment and Natural Resources (NT) (2018c)&lt;/DisplayText&gt;&lt;record&gt;&lt;rec-number&gt;1511&lt;/rec-number&gt;&lt;foreign-keys&gt;&lt;key app="EN" db-id="wdf9tzzdhw2saee559kv0vezt0wfsta0zedv" timestamp="1586412276"&gt;1511&lt;/key&gt;&lt;/foreign-keys&gt;&lt;ref-type name="Dataset"&gt;59&lt;/ref-type&gt;&lt;contributors&gt;&lt;authors&gt;&lt;author&gt;Department of Environment and Natural Resources (NT),&lt;/author&gt;&lt;/authors&gt;&lt;/contributors&gt;&lt;titles&gt;&lt;title&gt;Base of the Jinduckin and Tindall Formations&lt;/title&gt;&lt;/titles&gt;&lt;dates&gt;&lt;year&gt;2018&lt;/year&gt;&lt;/dates&gt;&lt;label&gt;F44AB442-944E-40B8-8EEE-06991E0D1184&lt;/label&gt;&lt;urls&gt;&lt;related-urls&gt;&lt;url&gt;https://denr.nt.gov.au/land-resource-management/info-systems/natural-resource-maps/spatial-data-requests&lt;/url&gt;&lt;/related-urls&gt;&lt;/urls&gt;&lt;custom3&gt;ArcGIS shape file&lt;/custom3&gt;&lt;access-date&gt;27 March 2020&lt;/access-date&gt;&lt;/record&gt;&lt;/Cite&gt;&lt;/EndNote&gt;</w:instrText>
      </w:r>
      <w:r>
        <w:fldChar w:fldCharType="separate"/>
      </w:r>
      <w:r w:rsidR="005D0C32">
        <w:rPr>
          <w:noProof/>
        </w:rPr>
        <w:t>Department of Environment and Natural Resources (NT) (2018c)</w:t>
      </w:r>
      <w:r>
        <w:fldChar w:fldCharType="end"/>
      </w:r>
      <w:r w:rsidR="00A06196">
        <w:rPr>
          <w:rFonts w:cs="Calibri"/>
        </w:rPr>
        <w:t xml:space="preserve">, which </w:t>
      </w:r>
      <w:r w:rsidR="00A06196" w:rsidRPr="00804579">
        <w:rPr>
          <w:rFonts w:cs="Calibri"/>
        </w:rPr>
        <w:t>show</w:t>
      </w:r>
      <w:r w:rsidR="00A06196">
        <w:rPr>
          <w:rFonts w:cs="Calibri"/>
        </w:rPr>
        <w:t>s</w:t>
      </w:r>
      <w:r w:rsidR="00A06196" w:rsidRPr="00804579">
        <w:rPr>
          <w:rFonts w:cs="Calibri"/>
        </w:rPr>
        <w:t xml:space="preserve"> the </w:t>
      </w:r>
      <w:r w:rsidR="000B1022">
        <w:rPr>
          <w:rFonts w:cs="Calibri"/>
        </w:rPr>
        <w:t xml:space="preserve">interpreted </w:t>
      </w:r>
      <w:r w:rsidR="00A06196" w:rsidRPr="00804579">
        <w:rPr>
          <w:rFonts w:cs="Calibri"/>
        </w:rPr>
        <w:t xml:space="preserve">extent of the </w:t>
      </w:r>
      <w:r w:rsidR="004F189E">
        <w:rPr>
          <w:rFonts w:cs="Calibri"/>
        </w:rPr>
        <w:t xml:space="preserve">Gum Ridge </w:t>
      </w:r>
      <w:r w:rsidR="00A06196" w:rsidRPr="00804579">
        <w:rPr>
          <w:rFonts w:cs="Calibri"/>
        </w:rPr>
        <w:t>Formation and its equivalents (</w:t>
      </w:r>
      <w:r w:rsidR="00A06196" w:rsidRPr="00181BCC">
        <w:rPr>
          <w:rFonts w:cs="Calibri"/>
        </w:rPr>
        <w:t xml:space="preserve">Montejinni Limestone </w:t>
      </w:r>
      <w:r w:rsidR="004F189E" w:rsidRPr="00181BCC">
        <w:rPr>
          <w:rFonts w:cs="Calibri"/>
        </w:rPr>
        <w:t>in the Wiso Basin and Tindall Limestone Formation in the Daly Basin)</w:t>
      </w:r>
      <w:r>
        <w:rPr>
          <w:rFonts w:cs="Calibri"/>
        </w:rPr>
        <w:t xml:space="preserve"> </w:t>
      </w:r>
      <w:r>
        <w:t>and the Anthony Lagoon Formation and its equivalents (Hooker Creek Formation in the Wiso Basin and Jinduckin Formation in the Daly Basin)</w:t>
      </w:r>
      <w:r w:rsidR="00A06196">
        <w:rPr>
          <w:rFonts w:cs="Calibri"/>
        </w:rPr>
        <w:t xml:space="preserve">. It </w:t>
      </w:r>
      <w:r w:rsidR="00A06196" w:rsidRPr="00804579">
        <w:rPr>
          <w:rFonts w:cs="Calibri"/>
        </w:rPr>
        <w:t>includ</w:t>
      </w:r>
      <w:r w:rsidR="00A06196">
        <w:rPr>
          <w:rFonts w:cs="Calibri"/>
        </w:rPr>
        <w:t>es</w:t>
      </w:r>
      <w:r w:rsidR="00A06196" w:rsidRPr="00804579">
        <w:rPr>
          <w:rFonts w:cs="Calibri"/>
        </w:rPr>
        <w:t xml:space="preserve"> elevation contours for the base of these systems </w:t>
      </w:r>
      <w:r w:rsidR="00A06196">
        <w:rPr>
          <w:rFonts w:cs="Calibri"/>
        </w:rPr>
        <w:t>relative to Australian Height Datum (</w:t>
      </w:r>
      <w:r w:rsidR="00A06196" w:rsidRPr="00804579">
        <w:rPr>
          <w:rFonts w:cs="Calibri"/>
        </w:rPr>
        <w:t>AHD</w:t>
      </w:r>
      <w:r w:rsidR="00A06196">
        <w:rPr>
          <w:rFonts w:cs="Calibri"/>
        </w:rPr>
        <w:t>)</w:t>
      </w:r>
      <w:r w:rsidR="00A06196" w:rsidRPr="00804579">
        <w:rPr>
          <w:rFonts w:cs="Calibri"/>
        </w:rPr>
        <w:t>.</w:t>
      </w:r>
      <w:r w:rsidR="00A06196">
        <w:rPr>
          <w:rFonts w:cs="Calibri"/>
        </w:rPr>
        <w:t xml:space="preserve"> DENR indicated that basal elevations in the southern Wiso Basin (from approximately 60 km north of Newcastle Waters) may not be reliable</w:t>
      </w:r>
      <w:r w:rsidR="0034465B">
        <w:rPr>
          <w:rFonts w:cs="Calibri"/>
        </w:rPr>
        <w:t xml:space="preserve"> due to </w:t>
      </w:r>
      <w:r w:rsidR="002E6955">
        <w:rPr>
          <w:rFonts w:cs="Calibri"/>
        </w:rPr>
        <w:t>density</w:t>
      </w:r>
      <w:r w:rsidR="0034465B">
        <w:rPr>
          <w:rFonts w:cs="Calibri"/>
        </w:rPr>
        <w:t xml:space="preserve"> of data in the area</w:t>
      </w:r>
      <w:r w:rsidR="00A06196">
        <w:rPr>
          <w:rFonts w:cs="Calibri"/>
        </w:rPr>
        <w:t>.</w:t>
      </w:r>
      <w:r>
        <w:rPr>
          <w:rFonts w:cs="Calibri"/>
        </w:rPr>
        <w:t xml:space="preserve"> </w:t>
      </w:r>
    </w:p>
    <w:p w14:paraId="74E1FBE1" w14:textId="04B620CC" w:rsidR="00A06196" w:rsidRPr="00804579" w:rsidRDefault="003F45C0" w:rsidP="000C6AF6">
      <w:pPr>
        <w:pStyle w:val="ListBullet"/>
        <w:rPr>
          <w:rFonts w:cs="Calibri"/>
        </w:rPr>
      </w:pPr>
      <w:r>
        <w:fldChar w:fldCharType="begin"/>
      </w:r>
      <w:r>
        <w:instrText xml:space="preserve"> ADDIN EN.CITE &lt;EndNote&gt;&lt;Cite AuthorYear="1"&gt;&lt;Author&gt;Department of Environment and Natural Resources (NT)&lt;/Author&gt;&lt;Year&gt;2020&lt;/Year&gt;&lt;RecNum&gt;1537&lt;/RecNum&gt;&lt;DisplayText&gt;Department of Environment and Natural Resources (NT) (2020)&lt;/DisplayText&gt;&lt;record&gt;&lt;rec-number&gt;1537&lt;/rec-number&gt;&lt;foreign-keys&gt;&lt;key app="EN" db-id="wdf9tzzdhw2saee559kv0vezt0wfsta0zedv" timestamp="1587948243"&gt;1537&lt;/key&gt;&lt;/foreign-keys&gt;&lt;ref-type name="Dataset"&gt;59&lt;/ref-type&gt;&lt;contributors&gt;&lt;authors&gt;&lt;author&gt;Department of Environment and Natural Resources (NT),&lt;/author&gt;&lt;/authors&gt;&lt;secondary-authors&gt;&lt;author&gt;Geoscience Australia,&lt;/author&gt;&lt;/secondary-authors&gt;&lt;/contributors&gt;&lt;titles&gt;&lt;title&gt;Cretaceous extent in the Beetaloo GBA region&lt;/title&gt;&lt;/titles&gt;&lt;keywords&gt;&lt;keyword&gt;Geology&lt;/keyword&gt;&lt;/keywords&gt;&lt;dates&gt;&lt;year&gt;2020&lt;/year&gt;&lt;/dates&gt;&lt;pub-location&gt;Canberra&lt;/pub-location&gt;&lt;label&gt;D1AD3D5A-FA13-4F6C-AD1C-5BCDE9167F73&lt;/label&gt;&lt;urls&gt;&lt;related-urls&gt;&lt;url&gt;https://denr.nt.gov.au/&lt;/url&gt;&lt;/related-urls&gt;&lt;/urls&gt;&lt;custom2&gt;unit of observation&lt;/custom2&gt;&lt;custom3&gt;spatial&lt;/custom3&gt;&lt;custom4&gt;dataset&lt;/custom4&gt;&lt;access-date&gt;27 March 2020&lt;/access-date&gt;&lt;/record&gt;&lt;/Cite&gt;&lt;/EndNote&gt;</w:instrText>
      </w:r>
      <w:r>
        <w:fldChar w:fldCharType="separate"/>
      </w:r>
      <w:r>
        <w:rPr>
          <w:noProof/>
        </w:rPr>
        <w:t>Department of Environment and Natural Resources (NT) (2020)</w:t>
      </w:r>
      <w:r>
        <w:fldChar w:fldCharType="end"/>
      </w:r>
      <w:r w:rsidR="00A06196">
        <w:rPr>
          <w:rFonts w:cs="Calibri"/>
        </w:rPr>
        <w:t>, which shows</w:t>
      </w:r>
      <w:r w:rsidR="00A06196" w:rsidRPr="00804579">
        <w:rPr>
          <w:rFonts w:cs="Calibri"/>
        </w:rPr>
        <w:t xml:space="preserve"> the </w:t>
      </w:r>
      <w:r w:rsidR="00971B3F">
        <w:rPr>
          <w:rFonts w:cs="Calibri"/>
        </w:rPr>
        <w:t xml:space="preserve">interpreted </w:t>
      </w:r>
      <w:r w:rsidR="00A06196" w:rsidRPr="00804579">
        <w:rPr>
          <w:rFonts w:cs="Calibri"/>
        </w:rPr>
        <w:t>lateral extent of Cretaceous sediments</w:t>
      </w:r>
      <w:r w:rsidR="007F29F6">
        <w:rPr>
          <w:rFonts w:cs="Calibri"/>
        </w:rPr>
        <w:t xml:space="preserve"> in the Beetaloo GBA area</w:t>
      </w:r>
      <w:r w:rsidR="00A06196" w:rsidRPr="00804579">
        <w:rPr>
          <w:rFonts w:cs="Calibri"/>
        </w:rPr>
        <w:t>.</w:t>
      </w:r>
    </w:p>
    <w:p w14:paraId="1C88E2F9" w14:textId="36EB75F5" w:rsidR="00A06196" w:rsidRDefault="003F45C0" w:rsidP="000C6AF6">
      <w:pPr>
        <w:pStyle w:val="ListBullet"/>
        <w:rPr>
          <w:rFonts w:cs="Calibri"/>
        </w:rPr>
      </w:pPr>
      <w:r>
        <w:fldChar w:fldCharType="begin"/>
      </w:r>
      <w:r>
        <w:instrText xml:space="preserve"> ADDIN EN.CITE &lt;EndNote&gt;&lt;Cite AuthorYear="1"&gt;&lt;Author&gt;Department of Environment and Natural Resources (NT)&lt;/Author&gt;&lt;Year&gt;2015&lt;/Year&gt;&lt;RecNum&gt;1538&lt;/RecNum&gt;&lt;DisplayText&gt;Department of Environment and Natural Resources (NT) (2015)&lt;/DisplayText&gt;&lt;record&gt;&lt;rec-number&gt;1538&lt;/rec-number&gt;&lt;foreign-keys&gt;&lt;key app="EN" db-id="wdf9tzzdhw2saee559kv0vezt0wfsta0zedv" timestamp="1587948243"&gt;1538&lt;/key&gt;&lt;/foreign-keys&gt;&lt;ref-type name="Dataset"&gt;59&lt;/ref-type&gt;&lt;contributors&gt;&lt;authors&gt;&lt;author&gt;Department of Environment and Natural Resources (NT),&lt;/author&gt;&lt;/authors&gt;&lt;secondary-authors&gt;&lt;author&gt;Geoscience Australia,&lt;/author&gt;&lt;/secondary-authors&gt;&lt;/contributors&gt;&lt;titles&gt;&lt;title&gt;NT Groundwater Aquifers 2M&lt;/title&gt;&lt;/titles&gt;&lt;keywords&gt;&lt;keyword&gt;hydrogeology, Geology&lt;/keyword&gt;&lt;/keywords&gt;&lt;dates&gt;&lt;year&gt;2015&lt;/year&gt;&lt;/dates&gt;&lt;pub-location&gt;Canberra&lt;/pub-location&gt;&lt;label&gt;528B8454-9C18-412A-AD0E-8FD9076FDFA4&lt;/label&gt;&lt;urls&gt;&lt;related-urls&gt;&lt;url&gt;http://www.ntlis.nt.gov.au/metadata/export_data?type=html&amp;amp;metadata_id=535D1EECEB0F528AE040CD9B21446C20&lt;/url&gt;&lt;/related-urls&gt;&lt;/urls&gt;&lt;custom2&gt;unit of observation&lt;/custom2&gt;&lt;custom3&gt;spatial&lt;/custom3&gt;&lt;custom4&gt;dataset&lt;/custom4&gt;&lt;access-date&gt;25 March 2020&lt;/access-date&gt;&lt;/record&gt;&lt;/Cite&gt;&lt;/EndNote&gt;</w:instrText>
      </w:r>
      <w:r>
        <w:fldChar w:fldCharType="separate"/>
      </w:r>
      <w:r>
        <w:rPr>
          <w:noProof/>
        </w:rPr>
        <w:t>Department of Environment and Natural Resources (NT) (2015)</w:t>
      </w:r>
      <w:r>
        <w:fldChar w:fldCharType="end"/>
      </w:r>
      <w:r w:rsidR="00A06196">
        <w:rPr>
          <w:rFonts w:cs="Calibri"/>
        </w:rPr>
        <w:t>, which shows the</w:t>
      </w:r>
      <w:r w:rsidR="00971B3F">
        <w:rPr>
          <w:rFonts w:cs="Calibri"/>
        </w:rPr>
        <w:t xml:space="preserve"> interpreted</w:t>
      </w:r>
      <w:r w:rsidR="00A06196" w:rsidRPr="00804579">
        <w:rPr>
          <w:rFonts w:cs="Calibri"/>
        </w:rPr>
        <w:t xml:space="preserve"> lateral extent</w:t>
      </w:r>
      <w:r w:rsidR="00A06196">
        <w:rPr>
          <w:rFonts w:cs="Calibri"/>
        </w:rPr>
        <w:t>s</w:t>
      </w:r>
      <w:r w:rsidR="00A06196" w:rsidRPr="00804579">
        <w:rPr>
          <w:rFonts w:cs="Calibri"/>
        </w:rPr>
        <w:t xml:space="preserve"> of aquifers in the </w:t>
      </w:r>
      <w:r w:rsidR="001C4C27">
        <w:rPr>
          <w:rFonts w:cs="Calibri"/>
        </w:rPr>
        <w:t>NT</w:t>
      </w:r>
      <w:r w:rsidR="00A06196">
        <w:rPr>
          <w:rFonts w:cs="Calibri"/>
        </w:rPr>
        <w:t xml:space="preserve">. </w:t>
      </w:r>
    </w:p>
    <w:p w14:paraId="4A78243A" w14:textId="2974CB91" w:rsidR="00A06196" w:rsidRDefault="00A541ED" w:rsidP="000C6AF6">
      <w:pPr>
        <w:pStyle w:val="ListBullet"/>
        <w:rPr>
          <w:rFonts w:cs="Calibri"/>
        </w:rPr>
      </w:pPr>
      <w:r>
        <w:fldChar w:fldCharType="begin"/>
      </w:r>
      <w:r w:rsidR="00F76E0D">
        <w:instrText xml:space="preserve"> ADDIN EN.CITE &lt;EndNote&gt;&lt;Cite AuthorYear="1"&gt;&lt;Author&gt;Department of Environment and Natural Resources (NT)&lt;/Author&gt;&lt;Year&gt;2013&lt;/Year&gt;&lt;RecNum&gt;830&lt;/RecNum&gt;&lt;DisplayText&gt;Department of Environment and Natural Resources (NT) (2013)&lt;/DisplayText&gt;&lt;record&gt;&lt;rec-number&gt;830&lt;/rec-number&gt;&lt;foreign-keys&gt;&lt;key app="EN" db-id="wdf9tzzdhw2saee559kv0vezt0wfsta0zedv" timestamp="1553215245"&gt;830&lt;/key&gt;&lt;/foreign-keys&gt;&lt;ref-type name="Dataset"&gt;59&lt;/ref-type&gt;&lt;contributors&gt;&lt;authors&gt;&lt;author&gt;Department of Environment and Natural Resources (NT),&lt;/author&gt;&lt;/authors&gt;&lt;secondary-authors&gt;&lt;author&gt;,&lt;/author&gt;&lt;/secondary-authors&gt;&lt;/contributors&gt;&lt;titles&gt;&lt;title&gt;Springs of the Northern Territory&lt;/title&gt;&lt;/titles&gt;&lt;keywords&gt;&lt;keyword&gt;WATER Hydrology Mapping, ECOLOGY biophysical, WATER Hydrology Mapping&lt;/keyword&gt;&lt;/keywords&gt;&lt;dates&gt;&lt;year&gt;2013&lt;/year&gt;&lt;/dates&gt;&lt;pub-location&gt;Canberra&lt;/pub-location&gt;&lt;label&gt;1D351848-02FB-4E90-9390-4E2F895B9F89&lt;/label&gt;&lt;urls&gt;&lt;related-urls&gt;&lt;url&gt;http://www.ntlis.nt.gov.au/metadata/export_data?type=html&amp;amp;metadata_id=E9D78F668FC02B33E040CD9B214403C3&lt;/url&gt;&lt;/related-urls&gt;&lt;/urls&gt;&lt;custom2&gt;unit of observation&lt;/custom2&gt;&lt;custom3&gt;spatial&lt;/custom3&gt;&lt;custom4&gt;dataset&lt;/custom4&gt;&lt;access-date&gt;20 March 2019&lt;/access-date&gt;&lt;/record&gt;&lt;/Cite&gt;&lt;/EndNote&gt;</w:instrText>
      </w:r>
      <w:r>
        <w:fldChar w:fldCharType="separate"/>
      </w:r>
      <w:r w:rsidR="005064C6">
        <w:rPr>
          <w:noProof/>
        </w:rPr>
        <w:t>Department of Environment and Natural Resources (NT) (2013)</w:t>
      </w:r>
      <w:r>
        <w:fldChar w:fldCharType="end"/>
      </w:r>
      <w:r w:rsidR="00A06196">
        <w:rPr>
          <w:rFonts w:cs="Calibri"/>
        </w:rPr>
        <w:t>, which shows the locations of springs in the N</w:t>
      </w:r>
      <w:r w:rsidR="008867D1">
        <w:rPr>
          <w:rFonts w:cs="Calibri"/>
        </w:rPr>
        <w:t>T</w:t>
      </w:r>
      <w:r w:rsidR="00A06196">
        <w:rPr>
          <w:rFonts w:cs="Calibri"/>
        </w:rPr>
        <w:t>. In addition to geographic location, the database includes a range of information for several springs (e.g. flow rate, temperature, electrical conductivity, pH, hardness).</w:t>
      </w:r>
    </w:p>
    <w:p w14:paraId="7E12A0A1" w14:textId="77777777" w:rsidR="00A06196" w:rsidRDefault="00A06196" w:rsidP="00011E85">
      <w:pPr>
        <w:pStyle w:val="Heading5"/>
      </w:pPr>
      <w:bookmarkStart w:id="153" w:name="_Ref38979260"/>
      <w:r w:rsidRPr="00B437B6">
        <w:t>Hydrochemistry data</w:t>
      </w:r>
      <w:bookmarkEnd w:id="153"/>
    </w:p>
    <w:p w14:paraId="2BA93F58" w14:textId="382F8F39" w:rsidR="00A06196" w:rsidRPr="002B3C8A" w:rsidRDefault="00A06196" w:rsidP="00A06196">
      <w:pPr>
        <w:rPr>
          <w:rFonts w:cs="Calibri"/>
        </w:rPr>
      </w:pPr>
      <w:r w:rsidRPr="002B3C8A">
        <w:rPr>
          <w:rFonts w:cs="Calibri"/>
        </w:rPr>
        <w:t>Hydrochemistry data w</w:t>
      </w:r>
      <w:r w:rsidR="00011E85">
        <w:rPr>
          <w:rFonts w:cs="Calibri"/>
        </w:rPr>
        <w:t>ere</w:t>
      </w:r>
      <w:r w:rsidRPr="002B3C8A">
        <w:rPr>
          <w:rFonts w:cs="Calibri"/>
        </w:rPr>
        <w:t xml:space="preserve"> compiled from a number of sources, including:</w:t>
      </w:r>
    </w:p>
    <w:p w14:paraId="16EFDA61" w14:textId="142FF517" w:rsidR="00A06196" w:rsidRDefault="00E17B9C" w:rsidP="009A31C8">
      <w:pPr>
        <w:pStyle w:val="ListBullet"/>
      </w:pPr>
      <w:r>
        <w:rPr>
          <w:rFonts w:ascii="Calibri" w:hAnsi="Calibri"/>
          <w:color w:val="000000"/>
        </w:rPr>
        <w:fldChar w:fldCharType="begin"/>
      </w:r>
      <w:r w:rsidR="005D0C32">
        <w:rPr>
          <w:rFonts w:ascii="Calibri" w:hAnsi="Calibri"/>
          <w:color w:val="000000"/>
        </w:rPr>
        <w:instrText xml:space="preserve"> ADDIN EN.CITE &lt;EndNote&gt;&lt;Cite AuthorYear="1"&gt;&lt;Author&gt;Department of Environment and Natural Resources (NT)&lt;/Author&gt;&lt;Year&gt;2018&lt;/Year&gt;&lt;RecNum&gt;1541&lt;/RecNum&gt;&lt;DisplayText&gt;Department of Environment and Natural Resources (NT) (2018a)&lt;/DisplayText&gt;&lt;record&gt;&lt;rec-number&gt;1541&lt;/rec-number&gt;&lt;foreign-keys&gt;&lt;key app="EN" db-id="wdf9tzzdhw2saee559kv0vezt0wfsta0zedv" timestamp="1588042411"&gt;1541&lt;/key&gt;&lt;/foreign-keys&gt;&lt;ref-type name="Dataset"&gt;59&lt;/ref-type&gt;&lt;contributors&gt;&lt;authors&gt;&lt;author&gt;Department of Environment and Natural Resources (NT),&lt;/author&gt;&lt;/authors&gt;&lt;secondary-authors&gt;&lt;author&gt;Geoscience Australia,&lt;/author&gt;&lt;/secondary-authors&gt;&lt;/contributors&gt;&lt;titles&gt;&lt;title&gt;NT Groundwater Monitoring Bores Database&lt;/title&gt;&lt;/titles&gt;&lt;keywords&gt;&lt;keyword&gt;hydrogeology, WATER Quality&lt;/keyword&gt;&lt;/keywords&gt;&lt;dates&gt;&lt;year&gt;2018&lt;/year&gt;&lt;/dates&gt;&lt;pub-location&gt;Canberra&lt;/pub-location&gt;&lt;label&gt;527F422D-52CD-4D50-A5FA-923CBBB36C60&lt;/label&gt;&lt;urls&gt;&lt;related-urls&gt;&lt;url&gt;https://denr.nt.gov.au/&lt;/url&gt;&lt;/related-urls&gt;&lt;/urls&gt;&lt;custom2&gt;unit of observation&lt;/custom2&gt;&lt;custom3&gt;spatial&lt;/custom3&gt;&lt;custom4&gt;dataset&lt;/custom4&gt;&lt;access-date&gt;28 April 2020&lt;/access-date&gt;&lt;/record&gt;&lt;/Cite&gt;&lt;/EndNote&gt;</w:instrText>
      </w:r>
      <w:r>
        <w:rPr>
          <w:rFonts w:ascii="Calibri" w:hAnsi="Calibri"/>
          <w:color w:val="000000"/>
        </w:rPr>
        <w:fldChar w:fldCharType="separate"/>
      </w:r>
      <w:r w:rsidR="005D0C32">
        <w:rPr>
          <w:rFonts w:ascii="Calibri" w:hAnsi="Calibri"/>
          <w:noProof/>
          <w:color w:val="000000"/>
        </w:rPr>
        <w:t>Department of Environment and Natural Resources (NT) (2018a)</w:t>
      </w:r>
      <w:r>
        <w:rPr>
          <w:rFonts w:ascii="Calibri" w:hAnsi="Calibri"/>
          <w:color w:val="000000"/>
        </w:rPr>
        <w:fldChar w:fldCharType="end"/>
      </w:r>
      <w:r w:rsidR="00A06196">
        <w:t xml:space="preserve">, which includes groundwater quality information for groundwater </w:t>
      </w:r>
      <w:r w:rsidR="00D26079">
        <w:t>bores</w:t>
      </w:r>
      <w:r w:rsidR="00A06196">
        <w:t xml:space="preserve"> across the N</w:t>
      </w:r>
      <w:r w:rsidR="008867D1">
        <w:t>T</w:t>
      </w:r>
      <w:r w:rsidR="00A06196">
        <w:t xml:space="preserve"> held by the Northern Territory Government. </w:t>
      </w:r>
    </w:p>
    <w:p w14:paraId="0A9972B0" w14:textId="04346D51" w:rsidR="00A06196" w:rsidRDefault="00F37069" w:rsidP="009A31C8">
      <w:pPr>
        <w:pStyle w:val="ListBullet"/>
      </w:pPr>
      <w:r>
        <w:rPr>
          <w:rFonts w:ascii="Calibri" w:hAnsi="Calibri"/>
          <w:color w:val="000000"/>
        </w:rPr>
        <w:fldChar w:fldCharType="begin"/>
      </w:r>
      <w:r>
        <w:rPr>
          <w:rFonts w:ascii="Calibri" w:hAnsi="Calibri"/>
          <w:color w:val="000000"/>
        </w:rPr>
        <w:instrText xml:space="preserve"> ADDIN EN.CITE &lt;EndNote&gt;&lt;Cite AuthorYear="1"&gt;&lt;Author&gt;Origin Energy&lt;/Author&gt;&lt;Year&gt;2019&lt;/Year&gt;&lt;RecNum&gt;1519&lt;/RecNum&gt;&lt;DisplayText&gt;Origin Energy (2019)&lt;/DisplayText&gt;&lt;record&gt;&lt;rec-number&gt;1519&lt;/rec-number&gt;&lt;foreign-keys&gt;&lt;key app="EN" db-id="wdf9tzzdhw2saee559kv0vezt0wfsta0zedv" timestamp="1587707256"&gt;1519&lt;/key&gt;&lt;/foreign-keys&gt;&lt;ref-type name="Dataset"&gt;59&lt;/ref-type&gt;&lt;contributors&gt;&lt;authors&gt;&lt;author&gt;Origin Energy,&lt;/author&gt;&lt;/authors&gt;&lt;secondary-authors&gt;&lt;author&gt;Geoscience Australia,&lt;/author&gt;&lt;/secondary-authors&gt;&lt;/contributors&gt;&lt;titles&gt;&lt;title&gt;Origin Data Package&lt;/title&gt;&lt;/titles&gt;&lt;keywords&gt;&lt;keyword&gt;WATER Quality, hydrogeology&lt;/keyword&gt;&lt;/keywords&gt;&lt;dates&gt;&lt;year&gt;2019&lt;/year&gt;&lt;/dates&gt;&lt;pub-location&gt;Canberra&lt;/pub-location&gt;&lt;label&gt;0BE0A3FE-7C2E-48EF-B890-F42C38EEF24F&lt;/label&gt;&lt;urls&gt;&lt;related-urls&gt;&lt;url&gt;https://www.originenergy.com.au/&lt;/url&gt;&lt;/related-urls&gt;&lt;/urls&gt;&lt;custom2&gt;unit of observation&lt;/custom2&gt;&lt;custom3&gt;tabular&lt;/custom3&gt;&lt;custom4&gt;dataset&lt;/custom4&gt;&lt;access-date&gt;24 April 2020&lt;/access-date&gt;&lt;/record&gt;&lt;/Cite&gt;&lt;/EndNote&gt;</w:instrText>
      </w:r>
      <w:r>
        <w:rPr>
          <w:rFonts w:ascii="Calibri" w:hAnsi="Calibri"/>
          <w:color w:val="000000"/>
        </w:rPr>
        <w:fldChar w:fldCharType="separate"/>
      </w:r>
      <w:r>
        <w:rPr>
          <w:rFonts w:ascii="Calibri" w:hAnsi="Calibri"/>
          <w:noProof/>
          <w:color w:val="000000"/>
        </w:rPr>
        <w:t>Origin Energy (2019)</w:t>
      </w:r>
      <w:r>
        <w:rPr>
          <w:rFonts w:ascii="Calibri" w:hAnsi="Calibri"/>
          <w:color w:val="000000"/>
        </w:rPr>
        <w:fldChar w:fldCharType="end"/>
      </w:r>
      <w:r w:rsidR="00F515BE" w:rsidRPr="003E1F1E">
        <w:rPr>
          <w:rStyle w:val="BodyTextChar"/>
        </w:rPr>
        <w:t>,</w:t>
      </w:r>
      <w:r w:rsidR="00A06196">
        <w:t xml:space="preserve"> which includes groundwater quality information for several groundwater </w:t>
      </w:r>
      <w:r w:rsidR="00D26079">
        <w:t>bores</w:t>
      </w:r>
      <w:r w:rsidR="00A06196">
        <w:t xml:space="preserve"> in the central parts of the </w:t>
      </w:r>
      <w:r w:rsidR="00A06196" w:rsidRPr="00451CDC">
        <w:t>Beetaloo GBA region and surrounds</w:t>
      </w:r>
      <w:r w:rsidR="00A06196">
        <w:t xml:space="preserve">. The dataset </w:t>
      </w:r>
      <w:r w:rsidR="00AE3677">
        <w:t xml:space="preserve">mostly </w:t>
      </w:r>
      <w:r w:rsidR="00A06196">
        <w:t xml:space="preserve">focuses on groundwater </w:t>
      </w:r>
      <w:r w:rsidR="00D26079">
        <w:t>bores</w:t>
      </w:r>
      <w:r w:rsidR="00A06196">
        <w:t xml:space="preserve"> located east of the </w:t>
      </w:r>
      <w:r w:rsidR="00A06196" w:rsidRPr="00451CDC">
        <w:t>western sub-basin</w:t>
      </w:r>
      <w:r w:rsidR="00A06196">
        <w:t>.</w:t>
      </w:r>
    </w:p>
    <w:p w14:paraId="3BD18D4C" w14:textId="3BA67C79" w:rsidR="00A06196" w:rsidRDefault="00F02706" w:rsidP="009A31C8">
      <w:pPr>
        <w:pStyle w:val="ListBullet"/>
      </w:pPr>
      <w:r>
        <w:rPr>
          <w:rFonts w:ascii="Calibri" w:hAnsi="Calibri"/>
          <w:color w:val="000000"/>
        </w:rPr>
        <w:fldChar w:fldCharType="begin"/>
      </w:r>
      <w:r>
        <w:rPr>
          <w:rFonts w:ascii="Calibri" w:hAnsi="Calibri"/>
          <w:color w:val="000000"/>
        </w:rPr>
        <w:instrText xml:space="preserve"> ADDIN EN.CITE &lt;EndNote&gt;&lt;Cite AuthorYear="1"&gt;&lt;Author&gt;Pangaea Resources&lt;/Author&gt;&lt;Year&gt;2019&lt;/Year&gt;&lt;RecNum&gt;1520&lt;/RecNum&gt;&lt;DisplayText&gt;Pangaea Resources (2019)&lt;/DisplayText&gt;&lt;record&gt;&lt;rec-number&gt;1520&lt;/rec-number&gt;&lt;foreign-keys&gt;&lt;key app="EN" db-id="wdf9tzzdhw2saee559kv0vezt0wfsta0zedv" timestamp="1587948241"&gt;1520&lt;/key&gt;&lt;/foreign-keys&gt;&lt;ref-type name="Dataset"&gt;59&lt;/ref-type&gt;&lt;contributors&gt;&lt;authors&gt;&lt;author&gt;Pangaea Resources,&lt;/author&gt;&lt;/authors&gt;&lt;secondary-authors&gt;&lt;author&gt;Geoscience Australia,&lt;/author&gt;&lt;/secondary-authors&gt;&lt;/contributors&gt;&lt;titles&gt;&lt;title&gt;Pangaea Resources Groundwater Quality Dataset&lt;/title&gt;&lt;/titles&gt;&lt;keywords&gt;&lt;keyword&gt;hydrogeology&lt;/keyword&gt;&lt;/keywords&gt;&lt;dates&gt;&lt;year&gt;2019&lt;/year&gt;&lt;/dates&gt;&lt;pub-location&gt;Canberra&lt;/pub-location&gt;&lt;label&gt;FE6B6C2F-B2AA-40EB-9EEB-5DA12ECDFAAC&lt;/label&gt;&lt;urls&gt;&lt;related-urls&gt;&lt;url&gt;https://www.pangaea.net.au/&lt;/url&gt;&lt;/related-urls&gt;&lt;/urls&gt;&lt;custom2&gt;unit of observation&lt;/custom2&gt;&lt;custom3&gt;tabular&lt;/custom3&gt;&lt;custom4&gt;dataset&lt;/custom4&gt;&lt;access-date&gt;24 April 2020&lt;/access-date&gt;&lt;/record&gt;&lt;/Cite&gt;&lt;/EndNote&gt;</w:instrText>
      </w:r>
      <w:r>
        <w:rPr>
          <w:rFonts w:ascii="Calibri" w:hAnsi="Calibri"/>
          <w:color w:val="000000"/>
        </w:rPr>
        <w:fldChar w:fldCharType="separate"/>
      </w:r>
      <w:r>
        <w:rPr>
          <w:rFonts w:ascii="Calibri" w:hAnsi="Calibri"/>
          <w:noProof/>
          <w:color w:val="000000"/>
        </w:rPr>
        <w:t>Pangaea Resources (2019)</w:t>
      </w:r>
      <w:r>
        <w:rPr>
          <w:rFonts w:ascii="Calibri" w:hAnsi="Calibri"/>
          <w:color w:val="000000"/>
        </w:rPr>
        <w:fldChar w:fldCharType="end"/>
      </w:r>
      <w:r w:rsidR="0065444A" w:rsidRPr="003E1F1E">
        <w:rPr>
          <w:rStyle w:val="BodyTextChar"/>
        </w:rPr>
        <w:t xml:space="preserve">, </w:t>
      </w:r>
      <w:r w:rsidR="00A06196" w:rsidRPr="0065444A">
        <w:t>which</w:t>
      </w:r>
      <w:r w:rsidR="00A06196">
        <w:t xml:space="preserve"> </w:t>
      </w:r>
      <w:r w:rsidR="00A06196" w:rsidRPr="00506B6E">
        <w:t xml:space="preserve">includes groundwater quality information for several groundwater </w:t>
      </w:r>
      <w:r w:rsidR="00D26079">
        <w:t>bores</w:t>
      </w:r>
      <w:r w:rsidR="00A06196" w:rsidRPr="00506B6E">
        <w:t xml:space="preserve"> in the north</w:t>
      </w:r>
      <w:r w:rsidR="00737C45">
        <w:t>-</w:t>
      </w:r>
      <w:r w:rsidR="00A06196" w:rsidRPr="00506B6E">
        <w:t xml:space="preserve">west of the </w:t>
      </w:r>
      <w:r w:rsidR="00A06196" w:rsidRPr="00C226F1">
        <w:t>Beetaloo GBA region and surrounds</w:t>
      </w:r>
      <w:r w:rsidR="00A06196" w:rsidRPr="00506B6E">
        <w:t>.</w:t>
      </w:r>
    </w:p>
    <w:p w14:paraId="712681C3" w14:textId="15FA8AA4" w:rsidR="00A06196" w:rsidRPr="0089450C" w:rsidRDefault="00666287" w:rsidP="001C4C27">
      <w:pPr>
        <w:pStyle w:val="ListBullet"/>
      </w:pPr>
      <w:r>
        <w:fldChar w:fldCharType="begin"/>
      </w:r>
      <w:r w:rsidR="00F76E0D">
        <w:instrText xml:space="preserve"> ADDIN EN.CITE &lt;EndNote&gt;&lt;Cite AuthorYear="1"&gt;&lt;Author&gt;Wilkes&lt;/Author&gt;&lt;Year&gt;2019&lt;/Year&gt;&lt;RecNum&gt;1457&lt;/RecNum&gt;&lt;DisplayText&gt;Wilkes et al. (2019)&lt;/DisplayText&gt;&lt;record&gt;&lt;rec-number&gt;1457&lt;/rec-number&gt;&lt;foreign-keys&gt;&lt;key app="EN" db-id="wdf9tzzdhw2saee559kv0vezt0wfsta0zedv" timestamp="1584491637"&gt;1457&lt;/key&gt;&lt;/foreign-keys&gt;&lt;ref-type name="Report"&gt;27&lt;/ref-type&gt;&lt;contributors&gt;&lt;authors&gt;&lt;author&gt;Wilkes, P.&lt;/author&gt;&lt;author&gt;Rachakonda, P. K.&lt;/author&gt;&lt;author&gt;Larcher, A.&lt;/author&gt;&lt;author&gt;Woltering, M.&lt;/author&gt;&lt;/authors&gt;&lt;/contributors&gt;&lt;titles&gt;&lt;title&gt;Baseline assessment of groundwater characteristics in the Beetaloo Sub-basin, NT. Geochemistry Analysis report to the Gas Industry Social and Environmental Research Alliance (GISERA)&lt;/title&gt;&lt;/titles&gt;&lt;dates&gt;&lt;year&gt;2019&lt;/year&gt;&lt;/dates&gt;&lt;pub-location&gt;Canberra&lt;/pub-location&gt;&lt;publisher&gt;CSIRO&lt;/publisher&gt;&lt;urls&gt;&lt;related-urls&gt;&lt;url&gt;https://gisera.csiro.au/wp-content/uploads/2019/09/GISERA-W16-Task-4-Report_.pdf&lt;/url&gt;&lt;/related-urls&gt;&lt;/urls&gt;&lt;access-date&gt;20 November 2019&lt;/access-date&gt;&lt;/record&gt;&lt;/Cite&gt;&lt;/EndNote&gt;</w:instrText>
      </w:r>
      <w:r>
        <w:fldChar w:fldCharType="separate"/>
      </w:r>
      <w:r>
        <w:rPr>
          <w:noProof/>
        </w:rPr>
        <w:t>Wilkes et al. (2019)</w:t>
      </w:r>
      <w:r>
        <w:fldChar w:fldCharType="end"/>
      </w:r>
      <w:r w:rsidR="001C4C27">
        <w:t>, which presents groundwater sampling results from an isotopes study focusing predominantly on the eastern Beetaloo GBA region and northern areas.</w:t>
      </w:r>
    </w:p>
    <w:p w14:paraId="6D4CF7EB" w14:textId="45A6692B" w:rsidR="00A06196" w:rsidRPr="00C46667" w:rsidRDefault="00D26079" w:rsidP="00C46667">
      <w:pPr>
        <w:pStyle w:val="Heading6"/>
      </w:pPr>
      <w:bookmarkStart w:id="154" w:name="_Hlk38884098"/>
      <w:r w:rsidRPr="00C46667">
        <w:t>Hydrostratigraphic formation picks for groundwater bores</w:t>
      </w:r>
    </w:p>
    <w:bookmarkStart w:id="155" w:name="_Hlk35252589"/>
    <w:p w14:paraId="651BB419" w14:textId="0C4B9DD0" w:rsidR="00467813" w:rsidRPr="00F76E0D" w:rsidRDefault="00113630" w:rsidP="50BA1442">
      <w:pPr>
        <w:pStyle w:val="BodyText"/>
      </w:pPr>
      <w:r>
        <w:fldChar w:fldCharType="begin"/>
      </w:r>
      <w:r w:rsidR="008F30E0">
        <w:instrText xml:space="preserve"> ADDIN EN.CITE &lt;EndNote&gt;&lt;Cite AuthorYear="1"&gt;&lt;Author&gt;Fulton&lt;/Author&gt;&lt;Year&gt;2015&lt;/Year&gt;&lt;RecNum&gt;671&lt;/RecNum&gt;&lt;DisplayText&gt;Fulton and Knapton (2015b)&lt;/DisplayText&gt;&lt;record&gt;&lt;rec-number&gt;671&lt;/rec-number&gt;&lt;foreign-keys&gt;&lt;key app="EN" db-id="wdf9tzzdhw2saee559kv0vezt0wfsta0zedv" timestamp="1545264407"&gt;671&lt;/key&gt;&lt;key app="ENWeb" db-id=""&gt;0&lt;/key&gt;&lt;/foreign-keys&gt;&lt;ref-type name="Report"&gt;27&lt;/ref-type&gt;&lt;contributors&gt;&lt;authors&gt;&lt;author&gt;Fulton, S.&lt;/author&gt;&lt;author&gt;Knapton, A.&lt;/author&gt;&lt;/authors&gt;&lt;/contributors&gt;&lt;titles&gt;&lt;title&gt;Beetaloo Basin hydrogeological assessment. Cloud GMS&lt;/title&gt;&lt;/titles&gt;&lt;pages&gt;70&lt;/pages&gt;&lt;dates&gt;&lt;year&gt;2015&lt;/year&gt;&lt;pub-dates&gt;&lt;date&gt;February 2015&lt;/date&gt;&lt;/pub-dates&gt;&lt;/dates&gt;&lt;publisher&gt;Origin Energy Report 1 for Fracking Enquiry NT&lt;/publisher&gt;&lt;urls&gt;&lt;related-urls&gt;&lt;url&gt;https://frackinginquiry.nt.gov.au/?a=410609&lt;/url&gt;&lt;/related-urls&gt;&lt;/urls&gt;&lt;access-date&gt;28 November 2019&lt;/access-date&gt;&lt;/record&gt;&lt;/Cite&gt;&lt;/EndNote&gt;</w:instrText>
      </w:r>
      <w:r>
        <w:fldChar w:fldCharType="separate"/>
      </w:r>
      <w:r w:rsidR="008F30E0">
        <w:rPr>
          <w:noProof/>
        </w:rPr>
        <w:t>Fulton and Knapton (2015b)</w:t>
      </w:r>
      <w:r>
        <w:fldChar w:fldCharType="end"/>
      </w:r>
      <w:r>
        <w:t xml:space="preserve"> </w:t>
      </w:r>
      <w:r w:rsidR="00A06196">
        <w:rPr>
          <w:rFonts w:cs="Calibri"/>
        </w:rPr>
        <w:t xml:space="preserve">included </w:t>
      </w:r>
      <w:r w:rsidR="00E43A80">
        <w:rPr>
          <w:rFonts w:cs="Calibri"/>
        </w:rPr>
        <w:t xml:space="preserve">formation </w:t>
      </w:r>
      <w:r w:rsidR="00A06196">
        <w:rPr>
          <w:rFonts w:cs="Calibri"/>
        </w:rPr>
        <w:t xml:space="preserve">designations for many groundwater </w:t>
      </w:r>
      <w:r w:rsidR="00D26079">
        <w:rPr>
          <w:rFonts w:cs="Calibri"/>
        </w:rPr>
        <w:t>bores</w:t>
      </w:r>
      <w:r w:rsidR="00A06196">
        <w:rPr>
          <w:rFonts w:cs="Calibri"/>
        </w:rPr>
        <w:t xml:space="preserve"> in the study area. Origin Energy provided the database of these</w:t>
      </w:r>
      <w:r w:rsidR="00A06196" w:rsidDel="00E43A80">
        <w:rPr>
          <w:rFonts w:cs="Calibri"/>
        </w:rPr>
        <w:t xml:space="preserve"> </w:t>
      </w:r>
      <w:r w:rsidR="00A06196">
        <w:rPr>
          <w:rFonts w:cs="Calibri"/>
        </w:rPr>
        <w:t>designations</w:t>
      </w:r>
      <w:r w:rsidR="00403806">
        <w:rPr>
          <w:rFonts w:cs="Calibri"/>
        </w:rPr>
        <w:t xml:space="preserve"> as</w:t>
      </w:r>
      <w:r w:rsidR="00F76E0D">
        <w:rPr>
          <w:rFonts w:cs="Calibri"/>
        </w:rPr>
        <w:t xml:space="preserve"> </w:t>
      </w:r>
      <w:r w:rsidR="00F76E0D">
        <w:rPr>
          <w:rFonts w:cs="Calibri"/>
        </w:rPr>
        <w:fldChar w:fldCharType="begin"/>
      </w:r>
      <w:r w:rsidR="00F76E0D">
        <w:rPr>
          <w:rFonts w:cs="Calibri"/>
        </w:rPr>
        <w:instrText xml:space="preserve"> ADDIN EN.CITE &lt;EndNote&gt;&lt;Cite AuthorYear="1"&gt;&lt;Author&gt;Origin Energy&lt;/Author&gt;&lt;Year&gt;2019&lt;/Year&gt;&lt;RecNum&gt;1519&lt;/RecNum&gt;&lt;DisplayText&gt;Origin Energy (2019)&lt;/DisplayText&gt;&lt;record&gt;&lt;rec-number&gt;1519&lt;/rec-number&gt;&lt;foreign-keys&gt;&lt;key app="EN" db-id="wdf9tzzdhw2saee559kv0vezt0wfsta0zedv" timestamp="1587707256"&gt;1519&lt;/key&gt;&lt;/foreign-keys&gt;&lt;ref-type name="Dataset"&gt;59&lt;/ref-type&gt;&lt;contributors&gt;&lt;authors&gt;&lt;author&gt;Origin Energy,&lt;/author&gt;&lt;/authors&gt;&lt;secondary-authors&gt;&lt;author&gt;Geoscience Australia,&lt;/author&gt;&lt;/secondary-authors&gt;&lt;/contributors&gt;&lt;titles&gt;&lt;title&gt;Origin Data Package&lt;/title&gt;&lt;/titles&gt;&lt;keywords&gt;&lt;keyword&gt;WATER Quality, hydrogeology&lt;/keyword&gt;&lt;/keywords&gt;&lt;dates&gt;&lt;year&gt;2019&lt;/year&gt;&lt;/dates&gt;&lt;pub-location&gt;Canberra&lt;/pub-location&gt;&lt;label&gt;0BE0A3FE-7C2E-48EF-B890-F42C38EEF24F&lt;/label&gt;&lt;urls&gt;&lt;related-urls&gt;&lt;url&gt;https://www.originenergy.com.au/&lt;/url&gt;&lt;/related-urls&gt;&lt;/urls&gt;&lt;custom2&gt;unit of observation&lt;/custom2&gt;&lt;custom3&gt;tabular&lt;/custom3&gt;&lt;custom4&gt;dataset&lt;/custom4&gt;&lt;access-date&gt;24 April 2020&lt;/access-date&gt;&lt;/record&gt;&lt;/Cite&gt;&lt;/EndNote&gt;</w:instrText>
      </w:r>
      <w:r w:rsidR="00F76E0D">
        <w:rPr>
          <w:rFonts w:cs="Calibri"/>
        </w:rPr>
        <w:fldChar w:fldCharType="separate"/>
      </w:r>
      <w:r w:rsidR="00F76E0D">
        <w:rPr>
          <w:rFonts w:cs="Calibri"/>
          <w:noProof/>
        </w:rPr>
        <w:t>Origin Energy (2019)</w:t>
      </w:r>
      <w:r w:rsidR="00F76E0D">
        <w:rPr>
          <w:rFonts w:cs="Calibri"/>
        </w:rPr>
        <w:fldChar w:fldCharType="end"/>
      </w:r>
      <w:r w:rsidR="0019036A">
        <w:rPr>
          <w:rFonts w:cs="Calibri"/>
        </w:rPr>
        <w:t>. This</w:t>
      </w:r>
      <w:r w:rsidR="00A06196" w:rsidDel="0019036A">
        <w:rPr>
          <w:rFonts w:cs="Calibri"/>
        </w:rPr>
        <w:t xml:space="preserve"> was</w:t>
      </w:r>
      <w:r w:rsidR="00A06196">
        <w:rPr>
          <w:rFonts w:cs="Calibri"/>
        </w:rPr>
        <w:t xml:space="preserve"> supplemented during the current study </w:t>
      </w:r>
      <w:r w:rsidR="0019036A">
        <w:rPr>
          <w:rFonts w:cs="Calibri"/>
        </w:rPr>
        <w:t xml:space="preserve">with information </w:t>
      </w:r>
      <w:r w:rsidR="00A16BFB">
        <w:rPr>
          <w:rFonts w:cs="Calibri"/>
        </w:rPr>
        <w:t>from</w:t>
      </w:r>
      <w:r w:rsidR="0019036A">
        <w:rPr>
          <w:rFonts w:cs="Calibri"/>
        </w:rPr>
        <w:t xml:space="preserve"> </w:t>
      </w:r>
      <w:r w:rsidR="00A06196">
        <w:rPr>
          <w:rFonts w:cs="Calibri"/>
        </w:rPr>
        <w:t>borehole logs listed in</w:t>
      </w:r>
      <w:r w:rsidR="00E17B9C">
        <w:rPr>
          <w:rFonts w:cs="Calibri"/>
        </w:rPr>
        <w:t xml:space="preserve"> </w:t>
      </w:r>
      <w:r w:rsidR="00E17B9C">
        <w:rPr>
          <w:rFonts w:cs="Calibri"/>
        </w:rPr>
        <w:fldChar w:fldCharType="begin"/>
      </w:r>
      <w:r w:rsidR="005D0C32">
        <w:rPr>
          <w:rFonts w:cs="Calibri"/>
        </w:rPr>
        <w:instrText xml:space="preserve"> ADDIN EN.CITE &lt;EndNote&gt;&lt;Cite AuthorYear="1"&gt;&lt;Author&gt;Department of Environment and Natural Resources (NT)&lt;/Author&gt;&lt;Year&gt;2018&lt;/Year&gt;&lt;RecNum&gt;1541&lt;/RecNum&gt;&lt;DisplayText&gt;Department of Environment and Natural Resources (NT) (2018a)&lt;/DisplayText&gt;&lt;record&gt;&lt;rec-number&gt;1541&lt;/rec-number&gt;&lt;foreign-keys&gt;&lt;key app="EN" db-id="wdf9tzzdhw2saee559kv0vezt0wfsta0zedv" timestamp="1588042411"&gt;1541&lt;/key&gt;&lt;/foreign-keys&gt;&lt;ref-type name="Dataset"&gt;59&lt;/ref-type&gt;&lt;contributors&gt;&lt;authors&gt;&lt;author&gt;Department of Environment and Natural Resources (NT),&lt;/author&gt;&lt;/authors&gt;&lt;secondary-authors&gt;&lt;author&gt;Geoscience Australia,&lt;/author&gt;&lt;/secondary-authors&gt;&lt;/contributors&gt;&lt;titles&gt;&lt;title&gt;NT Groundwater Monitoring Bores Database&lt;/title&gt;&lt;/titles&gt;&lt;keywords&gt;&lt;keyword&gt;hydrogeology, WATER Quality&lt;/keyword&gt;&lt;/keywords&gt;&lt;dates&gt;&lt;year&gt;2018&lt;/year&gt;&lt;/dates&gt;&lt;pub-location&gt;Canberra&lt;/pub-location&gt;&lt;label&gt;527F422D-52CD-4D50-A5FA-923CBBB36C60&lt;/label&gt;&lt;urls&gt;&lt;related-urls&gt;&lt;url&gt;https://denr.nt.gov.au/&lt;/url&gt;&lt;/related-urls&gt;&lt;/urls&gt;&lt;custom2&gt;unit of observation&lt;/custom2&gt;&lt;custom3&gt;spatial&lt;/custom3&gt;&lt;custom4&gt;dataset&lt;/custom4&gt;&lt;access-date&gt;28 April 2020&lt;/access-date&gt;&lt;/record&gt;&lt;/Cite&gt;&lt;/EndNote&gt;</w:instrText>
      </w:r>
      <w:r w:rsidR="00E17B9C">
        <w:rPr>
          <w:rFonts w:cs="Calibri"/>
        </w:rPr>
        <w:fldChar w:fldCharType="separate"/>
      </w:r>
      <w:r w:rsidR="005D0C32">
        <w:rPr>
          <w:rFonts w:cs="Calibri"/>
          <w:noProof/>
        </w:rPr>
        <w:t>Department of Environment and Natural Resources (NT) (2018a)</w:t>
      </w:r>
      <w:r w:rsidR="00E17B9C">
        <w:rPr>
          <w:rFonts w:cs="Calibri"/>
        </w:rPr>
        <w:fldChar w:fldCharType="end"/>
      </w:r>
      <w:r w:rsidR="00577F12" w:rsidRPr="2777F559">
        <w:t xml:space="preserve"> </w:t>
      </w:r>
      <w:r w:rsidR="00E24CD7">
        <w:rPr>
          <w:rFonts w:cs="Calibri"/>
        </w:rPr>
        <w:t>within the groundwater bore data extraction area</w:t>
      </w:r>
      <w:r w:rsidR="00A06196" w:rsidRPr="0019036A">
        <w:rPr>
          <w:rFonts w:cs="Calibri"/>
        </w:rPr>
        <w:t xml:space="preserve">. The </w:t>
      </w:r>
      <w:r w:rsidR="00E43A80" w:rsidRPr="0019036A">
        <w:rPr>
          <w:rFonts w:cs="Calibri"/>
        </w:rPr>
        <w:t>formation</w:t>
      </w:r>
      <w:r w:rsidR="00467813" w:rsidRPr="0019036A">
        <w:rPr>
          <w:rFonts w:cs="Calibri"/>
        </w:rPr>
        <w:t xml:space="preserve"> </w:t>
      </w:r>
      <w:r w:rsidR="00A06196" w:rsidRPr="0019036A">
        <w:rPr>
          <w:rFonts w:cs="Calibri"/>
        </w:rPr>
        <w:t xml:space="preserve">designations </w:t>
      </w:r>
      <w:r w:rsidR="00867932">
        <w:rPr>
          <w:rFonts w:cs="Calibri"/>
        </w:rPr>
        <w:t>for the were only crosschecked if there were discrepancies</w:t>
      </w:r>
      <w:r w:rsidR="00467813" w:rsidRPr="0019036A">
        <w:rPr>
          <w:rFonts w:cs="Calibri"/>
          <w:noProof/>
        </w:rPr>
        <w:t>.</w:t>
      </w:r>
      <w:r w:rsidR="4CA61411" w:rsidRPr="0019036A">
        <w:rPr>
          <w:rFonts w:cs="Calibri"/>
          <w:noProof/>
        </w:rPr>
        <w:t xml:space="preserve"> </w:t>
      </w:r>
    </w:p>
    <w:bookmarkEnd w:id="154"/>
    <w:bookmarkEnd w:id="155"/>
    <w:p w14:paraId="79F19379" w14:textId="1C3FC981" w:rsidR="3C583D25" w:rsidRDefault="00A06196" w:rsidP="3C583D25">
      <w:pPr>
        <w:pStyle w:val="BodyText"/>
        <w:rPr>
          <w:rFonts w:cs="Calibri"/>
        </w:rPr>
      </w:pPr>
      <w:r>
        <w:rPr>
          <w:rFonts w:cs="Calibri"/>
        </w:rPr>
        <w:t xml:space="preserve">The revised database is included as </w:t>
      </w:r>
      <w:r w:rsidR="00A541ED" w:rsidRPr="4CA61411">
        <w:fldChar w:fldCharType="begin"/>
      </w:r>
      <w:r w:rsidR="008F30E0">
        <w:instrText xml:space="preserve"> ADDIN EN.CITE &lt;EndNote&gt;&lt;Cite AuthorYear="1"&gt;&lt;Author&gt;Geological and Bioregional Assessment Program&lt;/Author&gt;&lt;Year&gt;2019&lt;/Year&gt;&lt;RecNum&gt;836&lt;/RecNum&gt;&lt;DisplayText&gt;Geological and Bioregional Assessment Program (2019i)&lt;/DisplayText&gt;&lt;record&gt;&lt;rec-number&gt;836&lt;/rec-number&gt;&lt;foreign-keys&gt;&lt;key app="EN" db-id="wdf9tzzdhw2saee559kv0vezt0wfsta0zedv" timestamp="1553215246"&gt;836&lt;/key&gt;&lt;/foreign-keys&gt;&lt;ref-type name="Dataset"&gt;59&lt;/ref-type&gt;&lt;contributors&gt;&lt;authors&gt;&lt;author&gt;Geological and Bioregional Assessment Program,&lt;/author&gt;&lt;/authors&gt;&lt;secondary-authors&gt;&lt;author&gt;Geoscience Australia,&lt;/author&gt;&lt;/secondary-authors&gt;&lt;/contributors&gt;&lt;titles&gt;&lt;title&gt;Beetaloo basin GDE&lt;/title&gt;&lt;/titles&gt;&lt;keywords&gt;&lt;keyword&gt;Environmental resources protection and conservation&lt;/keyword&gt;&lt;/keywords&gt;&lt;dates&gt;&lt;year&gt;2019&lt;/year&gt;&lt;/dates&gt;&lt;pub-location&gt;Canberra&lt;/pub-location&gt;&lt;label&gt;E4C2B147-8338-4821-BC5E-DE300E9B6362&lt;/label&gt;&lt;urls&gt;&lt;related-urls&gt;&lt;url&gt;https://repo.bioregionalassessments.gov.au/metadata/E4C2B147-8338-4821-BC5E-DE300E9B6362&lt;/url&gt;&lt;/related-urls&gt;&lt;/urls&gt;&lt;custom2&gt;unit of observation&lt;/custom2&gt;&lt;custom3&gt;spatial&lt;/custom3&gt;&lt;custom4&gt;dataset&lt;/custom4&gt;&lt;access-date&gt;12 October 2018&lt;/access-date&gt;&lt;/record&gt;&lt;/Cite&gt;&lt;/EndNote&gt;</w:instrText>
      </w:r>
      <w:r w:rsidR="00A541ED" w:rsidRPr="4CA61411">
        <w:rPr>
          <w:rFonts w:cs="Calibri"/>
        </w:rPr>
        <w:fldChar w:fldCharType="separate"/>
      </w:r>
      <w:r w:rsidR="008F30E0" w:rsidRPr="008F30E0">
        <w:rPr>
          <w:noProof/>
        </w:rPr>
        <w:t>Geological and Bioregional Assessment Program (2019i)</w:t>
      </w:r>
      <w:r w:rsidR="00A541ED" w:rsidRPr="4CA61411">
        <w:fldChar w:fldCharType="end"/>
      </w:r>
      <w:r>
        <w:rPr>
          <w:rFonts w:cs="Calibri"/>
        </w:rPr>
        <w:t xml:space="preserve"> in the online data repository. It was used in assessing groundwater chemistry and monitoring well hydrographs.</w:t>
      </w:r>
      <w:r w:rsidR="00D2397F">
        <w:rPr>
          <w:rFonts w:cs="Calibri"/>
        </w:rPr>
        <w:t xml:space="preserve"> Groundwater </w:t>
      </w:r>
      <w:r w:rsidR="00D26079">
        <w:rPr>
          <w:rFonts w:cs="Calibri"/>
        </w:rPr>
        <w:t>bores</w:t>
      </w:r>
      <w:r w:rsidR="00D2397F">
        <w:rPr>
          <w:rFonts w:cs="Calibri"/>
        </w:rPr>
        <w:t xml:space="preserve"> screened in sands interbedded with the Antrim Plateau Volcanics (known as the Jindare Formation) have been designated as Antrim Plateau Volcanics for the current study. There may be merit in considering them separately in future study phases.</w:t>
      </w:r>
      <w:r w:rsidR="00100407">
        <w:rPr>
          <w:rFonts w:cs="Calibri"/>
        </w:rPr>
        <w:t xml:space="preserve"> </w:t>
      </w:r>
      <w:r w:rsidR="00100407">
        <w:rPr>
          <w:rFonts w:cs="Calibri"/>
          <w:noProof/>
        </w:rPr>
        <w:t xml:space="preserve">Due to time constraints, the entire </w:t>
      </w:r>
      <w:r w:rsidR="00100407" w:rsidRPr="4CA61411">
        <w:fldChar w:fldCharType="begin"/>
      </w:r>
      <w:r w:rsidR="008F30E0">
        <w:instrText xml:space="preserve"> ADDIN EN.CITE &lt;EndNote&gt;&lt;Cite AuthorYear="1"&gt;&lt;Author&gt;Fulton&lt;/Author&gt;&lt;Year&gt;2015&lt;/Year&gt;&lt;RecNum&gt;671&lt;/RecNum&gt;&lt;DisplayText&gt;Fulton and Knapton (2015b)&lt;/DisplayText&gt;&lt;record&gt;&lt;rec-number&gt;671&lt;/rec-number&gt;&lt;foreign-keys&gt;&lt;key app="EN" db-id="wdf9tzzdhw2saee559kv0vezt0wfsta0zedv" timestamp="1545264407"&gt;671&lt;/key&gt;&lt;key app="ENWeb" db-id=""&gt;0&lt;/key&gt;&lt;/foreign-keys&gt;&lt;ref-type name="Report"&gt;27&lt;/ref-type&gt;&lt;contributors&gt;&lt;authors&gt;&lt;author&gt;Fulton, S.&lt;/author&gt;&lt;author&gt;Knapton, A.&lt;/author&gt;&lt;/authors&gt;&lt;/contributors&gt;&lt;titles&gt;&lt;title&gt;Beetaloo Basin hydrogeological assessment. Cloud GMS&lt;/title&gt;&lt;/titles&gt;&lt;pages&gt;70&lt;/pages&gt;&lt;dates&gt;&lt;year&gt;2015&lt;/year&gt;&lt;pub-dates&gt;&lt;date&gt;February 2015&lt;/date&gt;&lt;/pub-dates&gt;&lt;/dates&gt;&lt;publisher&gt;Origin Energy Report 1 for Fracking Enquiry NT&lt;/publisher&gt;&lt;urls&gt;&lt;related-urls&gt;&lt;url&gt;https://frackinginquiry.nt.gov.au/?a=410609&lt;/url&gt;&lt;/related-urls&gt;&lt;/urls&gt;&lt;access-date&gt;28 November 2019&lt;/access-date&gt;&lt;/record&gt;&lt;/Cite&gt;&lt;/EndNote&gt;</w:instrText>
      </w:r>
      <w:r w:rsidR="00100407" w:rsidRPr="4CA61411">
        <w:rPr>
          <w:rFonts w:cs="Calibri"/>
        </w:rPr>
        <w:fldChar w:fldCharType="separate"/>
      </w:r>
      <w:r w:rsidR="008F30E0" w:rsidRPr="008F30E0">
        <w:rPr>
          <w:noProof/>
        </w:rPr>
        <w:t>Fulton and Knapton (2015b)</w:t>
      </w:r>
      <w:r w:rsidR="00100407" w:rsidRPr="4CA61411">
        <w:fldChar w:fldCharType="end"/>
      </w:r>
      <w:r w:rsidR="00100407">
        <w:rPr>
          <w:rFonts w:cs="Calibri"/>
          <w:noProof/>
        </w:rPr>
        <w:t xml:space="preserve"> database could not be checked for this project, but it is recommended that it be reviewed in future work stages</w:t>
      </w:r>
      <w:r w:rsidR="0019036A">
        <w:rPr>
          <w:rFonts w:cs="Calibri"/>
          <w:noProof/>
        </w:rPr>
        <w:t xml:space="preserve"> since some errors were noted </w:t>
      </w:r>
      <w:r w:rsidR="0034465B">
        <w:rPr>
          <w:rFonts w:cs="Calibri"/>
          <w:noProof/>
        </w:rPr>
        <w:t>when compared to</w:t>
      </w:r>
      <w:r w:rsidR="00F83B9A">
        <w:rPr>
          <w:rFonts w:cs="Calibri"/>
          <w:noProof/>
        </w:rPr>
        <w:t xml:space="preserve"> </w:t>
      </w:r>
      <w:r w:rsidR="00F83B9A">
        <w:rPr>
          <w:rFonts w:cs="Calibri"/>
          <w:noProof/>
        </w:rPr>
        <w:fldChar w:fldCharType="begin"/>
      </w:r>
      <w:r w:rsidR="00F83B9A">
        <w:rPr>
          <w:rFonts w:cs="Calibri"/>
          <w:noProof/>
        </w:rPr>
        <w:instrText xml:space="preserve"> ADDIN EN.CITE &lt;EndNote&gt;&lt;Cite AuthorYear="1"&gt;&lt;Author&gt;Origin Energy&lt;/Author&gt;&lt;Year&gt;2019&lt;/Year&gt;&lt;RecNum&gt;1519&lt;/RecNum&gt;&lt;DisplayText&gt;Origin Energy (2019)&lt;/DisplayText&gt;&lt;record&gt;&lt;rec-number&gt;1519&lt;/rec-number&gt;&lt;foreign-keys&gt;&lt;key app="EN" db-id="wdf9tzzdhw2saee559kv0vezt0wfsta0zedv" timestamp="1587707256"&gt;1519&lt;/key&gt;&lt;/foreign-keys&gt;&lt;ref-type name="Dataset"&gt;59&lt;/ref-type&gt;&lt;contributors&gt;&lt;authors&gt;&lt;author&gt;Origin Energy,&lt;/author&gt;&lt;/authors&gt;&lt;secondary-authors&gt;&lt;author&gt;Geoscience Australia,&lt;/author&gt;&lt;/secondary-authors&gt;&lt;/contributors&gt;&lt;titles&gt;&lt;title&gt;Origin Data Package&lt;/title&gt;&lt;/titles&gt;&lt;keywords&gt;&lt;keyword&gt;WATER Quality, hydrogeology&lt;/keyword&gt;&lt;/keywords&gt;&lt;dates&gt;&lt;year&gt;2019&lt;/year&gt;&lt;/dates&gt;&lt;pub-location&gt;Canberra&lt;/pub-location&gt;&lt;label&gt;0BE0A3FE-7C2E-48EF-B890-F42C38EEF24F&lt;/label&gt;&lt;urls&gt;&lt;related-urls&gt;&lt;url&gt;https://www.originenergy.com.au/&lt;/url&gt;&lt;/related-urls&gt;&lt;/urls&gt;&lt;custom2&gt;unit of observation&lt;/custom2&gt;&lt;custom3&gt;tabular&lt;/custom3&gt;&lt;custom4&gt;dataset&lt;/custom4&gt;&lt;access-date&gt;24 April 2020&lt;/access-date&gt;&lt;/record&gt;&lt;/Cite&gt;&lt;/EndNote&gt;</w:instrText>
      </w:r>
      <w:r w:rsidR="00F83B9A">
        <w:rPr>
          <w:rFonts w:cs="Calibri"/>
          <w:noProof/>
        </w:rPr>
        <w:fldChar w:fldCharType="separate"/>
      </w:r>
      <w:r w:rsidR="00F83B9A">
        <w:rPr>
          <w:rFonts w:cs="Calibri"/>
          <w:noProof/>
        </w:rPr>
        <w:t>Origin Energy (2019)</w:t>
      </w:r>
      <w:r w:rsidR="00F83B9A">
        <w:rPr>
          <w:rFonts w:cs="Calibri"/>
          <w:noProof/>
        </w:rPr>
        <w:fldChar w:fldCharType="end"/>
      </w:r>
      <w:r w:rsidR="00100407">
        <w:rPr>
          <w:rFonts w:cs="Calibri"/>
          <w:noProof/>
        </w:rPr>
        <w:t>.</w:t>
      </w:r>
    </w:p>
    <w:p w14:paraId="0F46926A" w14:textId="77777777" w:rsidR="00A06196" w:rsidRPr="00C437E5" w:rsidRDefault="00A06196" w:rsidP="00A06196">
      <w:pPr>
        <w:pStyle w:val="Heading6"/>
      </w:pPr>
      <w:bookmarkStart w:id="156" w:name="_Ref38979184"/>
      <w:r w:rsidRPr="00C437E5">
        <w:t>Groundwater level</w:t>
      </w:r>
      <w:r>
        <w:t>s and</w:t>
      </w:r>
      <w:r w:rsidRPr="00C437E5">
        <w:t xml:space="preserve"> hydrographs</w:t>
      </w:r>
      <w:bookmarkEnd w:id="156"/>
    </w:p>
    <w:bookmarkStart w:id="157" w:name="_Hlk35257659"/>
    <w:p w14:paraId="216B9A11" w14:textId="2A4A63FA" w:rsidR="00A06196" w:rsidRDefault="008F30E0" w:rsidP="00A06196">
      <w:pPr>
        <w:rPr>
          <w:rFonts w:cs="Calibri"/>
        </w:rPr>
      </w:pPr>
      <w:r>
        <w:rPr>
          <w:rFonts w:cs="Calibri"/>
        </w:rPr>
        <w:fldChar w:fldCharType="begin"/>
      </w:r>
      <w:r w:rsidR="005D0C32">
        <w:rPr>
          <w:rFonts w:cs="Calibri"/>
        </w:rPr>
        <w:instrText xml:space="preserve"> ADDIN EN.CITE &lt;EndNote&gt;&lt;Cite AuthorYear="1"&gt;&lt;Author&gt;Department of Environment and Natural Resources (NT)&lt;/Author&gt;&lt;Year&gt;2018&lt;/Year&gt;&lt;RecNum&gt;1541&lt;/RecNum&gt;&lt;DisplayText&gt;Department of Environment and Natural Resources (NT) (2018a)&lt;/DisplayText&gt;&lt;record&gt;&lt;rec-number&gt;1541&lt;/rec-number&gt;&lt;foreign-keys&gt;&lt;key app="EN" db-id="wdf9tzzdhw2saee559kv0vezt0wfsta0zedv" timestamp="1588042411"&gt;1541&lt;/key&gt;&lt;/foreign-keys&gt;&lt;ref-type name="Dataset"&gt;59&lt;/ref-type&gt;&lt;contributors&gt;&lt;authors&gt;&lt;author&gt;Department of Environment and Natural Resources (NT),&lt;/author&gt;&lt;/authors&gt;&lt;secondary-authors&gt;&lt;author&gt;Geoscience Australia,&lt;/author&gt;&lt;/secondary-authors&gt;&lt;/contributors&gt;&lt;titles&gt;&lt;title&gt;NT Groundwater Monitoring Bores Database&lt;/title&gt;&lt;/titles&gt;&lt;keywords&gt;&lt;keyword&gt;hydrogeology, WATER Quality&lt;/keyword&gt;&lt;/keywords&gt;&lt;dates&gt;&lt;year&gt;2018&lt;/year&gt;&lt;/dates&gt;&lt;pub-location&gt;Canberra&lt;/pub-location&gt;&lt;label&gt;527F422D-52CD-4D50-A5FA-923CBBB36C60&lt;/label&gt;&lt;urls&gt;&lt;related-urls&gt;&lt;url&gt;https://denr.nt.gov.au/&lt;/url&gt;&lt;/related-urls&gt;&lt;/urls&gt;&lt;custom2&gt;unit of observation&lt;/custom2&gt;&lt;custom3&gt;spatial&lt;/custom3&gt;&lt;custom4&gt;dataset&lt;/custom4&gt;&lt;access-date&gt;28 April 2020&lt;/access-date&gt;&lt;/record&gt;&lt;/Cite&gt;&lt;/EndNote&gt;</w:instrText>
      </w:r>
      <w:r>
        <w:rPr>
          <w:rFonts w:cs="Calibri"/>
        </w:rPr>
        <w:fldChar w:fldCharType="separate"/>
      </w:r>
      <w:r w:rsidR="005D0C32">
        <w:rPr>
          <w:rFonts w:cs="Calibri"/>
          <w:noProof/>
        </w:rPr>
        <w:t>Department of Environment and Natural Resources (NT) (2018a)</w:t>
      </w:r>
      <w:r>
        <w:rPr>
          <w:rFonts w:cs="Calibri"/>
        </w:rPr>
        <w:fldChar w:fldCharType="end"/>
      </w:r>
      <w:r>
        <w:rPr>
          <w:rFonts w:cs="Calibri"/>
        </w:rPr>
        <w:t xml:space="preserve"> </w:t>
      </w:r>
      <w:r w:rsidR="00A06196">
        <w:rPr>
          <w:rFonts w:cs="Calibri"/>
        </w:rPr>
        <w:t>includes water levels measured during drilling and pump testing</w:t>
      </w:r>
      <w:r w:rsidR="00A86D8F">
        <w:rPr>
          <w:rFonts w:cs="Calibri"/>
        </w:rPr>
        <w:t>,</w:t>
      </w:r>
      <w:r w:rsidR="00A06196">
        <w:rPr>
          <w:rFonts w:cs="Calibri"/>
        </w:rPr>
        <w:t xml:space="preserve"> which were used to </w:t>
      </w:r>
      <w:r w:rsidR="00B33B4B">
        <w:rPr>
          <w:rFonts w:cs="Calibri"/>
        </w:rPr>
        <w:t xml:space="preserve">assess depth to groundwater in the </w:t>
      </w:r>
      <w:r w:rsidR="00A63F29">
        <w:rPr>
          <w:rFonts w:cs="Calibri"/>
        </w:rPr>
        <w:t xml:space="preserve">Beetaloo GBA </w:t>
      </w:r>
      <w:r w:rsidR="000C1920">
        <w:rPr>
          <w:rFonts w:cs="Calibri"/>
        </w:rPr>
        <w:t>extended region</w:t>
      </w:r>
      <w:r w:rsidR="00A06196">
        <w:rPr>
          <w:rFonts w:cs="Calibri"/>
        </w:rPr>
        <w:t>. In addition, time-series groundwater level information was compiled from:</w:t>
      </w:r>
    </w:p>
    <w:p w14:paraId="38024270" w14:textId="26CC288F" w:rsidR="00A06196" w:rsidRPr="00A80F92" w:rsidRDefault="1D9CDB36" w:rsidP="009A31C8">
      <w:pPr>
        <w:pStyle w:val="ListBullet"/>
      </w:pPr>
      <w:bookmarkStart w:id="158" w:name="_Hlk38981982"/>
      <w:r>
        <w:t>DENR</w:t>
      </w:r>
      <w:r w:rsidR="0059659A">
        <w:t xml:space="preserve"> </w:t>
      </w:r>
      <w:r w:rsidR="0059659A">
        <w:rPr>
          <w:rFonts w:cstheme="minorHAnsi"/>
        </w:rPr>
        <w:t>–</w:t>
      </w:r>
      <w:r w:rsidR="0059659A">
        <w:t xml:space="preserve"> </w:t>
      </w:r>
      <w:r>
        <w:t xml:space="preserve">Information was provided in separate files </w:t>
      </w:r>
      <w:r w:rsidR="005D0C32">
        <w:t>for</w:t>
      </w:r>
      <w:r>
        <w:t xml:space="preserve"> the Beetaloo GBA </w:t>
      </w:r>
      <w:r w:rsidR="000C1920">
        <w:t>extended region</w:t>
      </w:r>
      <w:r>
        <w:t>.</w:t>
      </w:r>
      <w:r w:rsidR="00E17B9C">
        <w:t xml:space="preserve"> </w:t>
      </w:r>
      <w:r w:rsidR="005D0C32">
        <w:fldChar w:fldCharType="begin"/>
      </w:r>
      <w:r w:rsidR="005D0C32">
        <w:instrText xml:space="preserve"> ADDIN EN.CITE &lt;EndNote&gt;&lt;Cite AuthorYear="1"&gt;&lt;Author&gt;Department of Environment and Natural Resources (NT)&lt;/Author&gt;&lt;Year&gt;2018&lt;/Year&gt;&lt;RecNum&gt;1541&lt;/RecNum&gt;&lt;DisplayText&gt;Department of Environment and Natural Resources (NT) (2018a)&lt;/DisplayText&gt;&lt;record&gt;&lt;rec-number&gt;1541&lt;/rec-number&gt;&lt;foreign-keys&gt;&lt;key app="EN" db-id="wdf9tzzdhw2saee559kv0vezt0wfsta0zedv" timestamp="1588042411"&gt;1541&lt;/key&gt;&lt;/foreign-keys&gt;&lt;ref-type name="Dataset"&gt;59&lt;/ref-type&gt;&lt;contributors&gt;&lt;authors&gt;&lt;author&gt;Department of Environment and Natural Resources (NT),&lt;/author&gt;&lt;/authors&gt;&lt;secondary-authors&gt;&lt;author&gt;Geoscience Australia,&lt;/author&gt;&lt;/secondary-authors&gt;&lt;/contributors&gt;&lt;titles&gt;&lt;title&gt;NT Groundwater Monitoring Bores Database&lt;/title&gt;&lt;/titles&gt;&lt;keywords&gt;&lt;keyword&gt;hydrogeology, WATER Quality&lt;/keyword&gt;&lt;/keywords&gt;&lt;dates&gt;&lt;year&gt;2018&lt;/year&gt;&lt;/dates&gt;&lt;pub-location&gt;Canberra&lt;/pub-location&gt;&lt;label&gt;527F422D-52CD-4D50-A5FA-923CBBB36C60&lt;/label&gt;&lt;urls&gt;&lt;related-urls&gt;&lt;url&gt;https://denr.nt.gov.au/&lt;/url&gt;&lt;/related-urls&gt;&lt;/urls&gt;&lt;custom2&gt;unit of observation&lt;/custom2&gt;&lt;custom3&gt;spatial&lt;/custom3&gt;&lt;custom4&gt;dataset&lt;/custom4&gt;&lt;access-date&gt;28 April 2020&lt;/access-date&gt;&lt;/record&gt;&lt;/Cite&gt;&lt;/EndNote&gt;</w:instrText>
      </w:r>
      <w:r w:rsidR="005D0C32">
        <w:fldChar w:fldCharType="separate"/>
      </w:r>
      <w:r w:rsidR="005D0C32">
        <w:rPr>
          <w:noProof/>
        </w:rPr>
        <w:t>Department of Environment and Natural Resources (NT) (2018a)</w:t>
      </w:r>
      <w:r w:rsidR="005D0C32">
        <w:fldChar w:fldCharType="end"/>
      </w:r>
      <w:r w:rsidR="005D0C32">
        <w:t xml:space="preserve"> </w:t>
      </w:r>
      <w:r>
        <w:t>lists DENR’s current nearby groundwater monitoring wells</w:t>
      </w:r>
      <w:r w:rsidR="005D0C32">
        <w:t xml:space="preserve"> in the region and provides spatial context</w:t>
      </w:r>
      <w:r>
        <w:t>. Associated data w</w:t>
      </w:r>
      <w:r w:rsidR="005D0C32">
        <w:t>ere</w:t>
      </w:r>
      <w:r>
        <w:t xml:space="preserve"> provided separately in</w:t>
      </w:r>
      <w:r w:rsidR="005D0C32">
        <w:t xml:space="preserve"> </w:t>
      </w:r>
      <w:r w:rsidR="00A06196" w:rsidRPr="1D9CDB36">
        <w:rPr>
          <w:rFonts w:ascii="Calibri" w:hAnsi="Calibri"/>
          <w:color w:val="000000" w:themeColor="text1"/>
        </w:rPr>
        <w:fldChar w:fldCharType="begin"/>
      </w:r>
      <w:r w:rsidR="005D0C32">
        <w:rPr>
          <w:rFonts w:ascii="Calibri" w:hAnsi="Calibri"/>
          <w:color w:val="000000" w:themeColor="text1"/>
        </w:rPr>
        <w:instrText xml:space="preserve"> ADDIN EN.CITE &lt;EndNote&gt;&lt;Cite AuthorYear="1"&gt;&lt;Author&gt;Department of Environment and Natural Resources&lt;/Author&gt;&lt;Year&gt;2018&lt;/Year&gt;&lt;RecNum&gt;1539&lt;/RecNum&gt;&lt;DisplayText&gt;Department of Environment and Natural Resources (NT) (2018b)&lt;/DisplayText&gt;&lt;record&gt;&lt;rec-number&gt;1539&lt;/rec-number&gt;&lt;foreign-keys&gt;&lt;key app="EN" db-id="wdf9tzzdhw2saee559kv0vezt0wfsta0zedv" timestamp="1587958185"&gt;1539&lt;/key&gt;&lt;/foreign-keys&gt;&lt;ref-type name="Dataset"&gt;59&lt;/ref-type&gt;&lt;contributors&gt;&lt;authors&gt;&lt;author&gt;Department of Environment and Natural Resources (NT),&lt;/author&gt;&lt;/authors&gt;&lt;secondary-authors&gt;&lt;author&gt;CSIRO,&lt;/author&gt;&lt;/secondary-authors&gt;&lt;/contributors&gt;&lt;titles&gt;&lt;title&gt;Waterlevels from monitoring bores in Beetaloo GBA region&lt;/title&gt;&lt;/titles&gt;&lt;keywords&gt;&lt;keyword&gt;GROUNDWATER Waterlevel&lt;/keyword&gt;&lt;/keywords&gt;&lt;dates&gt;&lt;year&gt;2018&lt;/year&gt;&lt;/dates&gt;&lt;pub-location&gt;Canberra&lt;/pub-location&gt;&lt;label&gt;F2B1B357-6F0E-4E33-8DFA-6F6FD1A95DEF&lt;/label&gt;&lt;urls&gt;&lt;related-urls&gt;&lt;url&gt;https://denr.nt.gov.au/&lt;/url&gt;&lt;/related-urls&gt;&lt;/urls&gt;&lt;custom2&gt;unit of observation&lt;/custom2&gt;&lt;custom3&gt;spatial&lt;/custom3&gt;&lt;custom4&gt;dataset&lt;/custom4&gt;&lt;access-date&gt;27 April 2020&lt;/access-date&gt;&lt;/record&gt;&lt;/Cite&gt;&lt;/EndNote&gt;</w:instrText>
      </w:r>
      <w:r w:rsidR="00A06196" w:rsidRPr="1D9CDB36">
        <w:rPr>
          <w:rFonts w:ascii="Calibri" w:hAnsi="Calibri"/>
          <w:color w:val="000000" w:themeColor="text1"/>
        </w:rPr>
        <w:fldChar w:fldCharType="separate"/>
      </w:r>
      <w:r w:rsidR="005D0C32">
        <w:rPr>
          <w:rFonts w:ascii="Calibri" w:hAnsi="Calibri"/>
          <w:noProof/>
          <w:color w:val="000000" w:themeColor="text1"/>
        </w:rPr>
        <w:t>Department of Environment and Natural Resources (NT) (2018b)</w:t>
      </w:r>
      <w:r w:rsidR="00A06196" w:rsidRPr="1D9CDB36">
        <w:rPr>
          <w:rFonts w:ascii="Calibri" w:hAnsi="Calibri"/>
          <w:color w:val="000000" w:themeColor="text1"/>
        </w:rPr>
        <w:fldChar w:fldCharType="end"/>
      </w:r>
      <w:r>
        <w:t>.</w:t>
      </w:r>
      <w:r w:rsidR="005165C6">
        <w:t xml:space="preserve"> </w:t>
      </w:r>
      <w:r w:rsidR="005165C6">
        <w:fldChar w:fldCharType="begin"/>
      </w:r>
      <w:r w:rsidR="005D0C32">
        <w:instrText xml:space="preserve"> ADDIN EN.CITE &lt;EndNote&gt;&lt;Cite AuthorYear="1"&gt;&lt;Author&gt;Department of Environment and Natural Resources (NT)&lt;/Author&gt;&lt;Year&gt;2018&lt;/Year&gt;&lt;RecNum&gt;1539&lt;/RecNum&gt;&lt;DisplayText&gt;Department of Environment and Natural Resources (NT) (2018b)&lt;/DisplayText&gt;&lt;record&gt;&lt;rec-number&gt;1539&lt;/rec-number&gt;&lt;foreign-keys&gt;&lt;key app="EN" db-id="wdf9tzzdhw2saee559kv0vezt0wfsta0zedv" timestamp="1587958185"&gt;1539&lt;/key&gt;&lt;/foreign-keys&gt;&lt;ref-type name="Dataset"&gt;59&lt;/ref-type&gt;&lt;contributors&gt;&lt;authors&gt;&lt;author&gt;Department of Environment and Natural Resources (NT),&lt;/author&gt;&lt;/authors&gt;&lt;secondary-authors&gt;&lt;author&gt;CSIRO,&lt;/author&gt;&lt;/secondary-authors&gt;&lt;/contributors&gt;&lt;titles&gt;&lt;title&gt;Waterlevels from monitoring bores in Beetaloo GBA region&lt;/title&gt;&lt;/titles&gt;&lt;keywords&gt;&lt;keyword&gt;GROUNDWATER Waterlevel&lt;/keyword&gt;&lt;/keywords&gt;&lt;dates&gt;&lt;year&gt;2018&lt;/year&gt;&lt;/dates&gt;&lt;pub-location&gt;Canberra&lt;/pub-location&gt;&lt;label&gt;F2B1B357-6F0E-4E33-8DFA-6F6FD1A95DEF&lt;/label&gt;&lt;urls&gt;&lt;related-urls&gt;&lt;url&gt;https://denr.nt.gov.au/&lt;/url&gt;&lt;/related-urls&gt;&lt;/urls&gt;&lt;custom2&gt;unit of observation&lt;/custom2&gt;&lt;custom3&gt;spatial&lt;/custom3&gt;&lt;custom4&gt;dataset&lt;/custom4&gt;&lt;access-date&gt;27 April 2020&lt;/access-date&gt;&lt;/record&gt;&lt;/Cite&gt;&lt;/EndNote&gt;</w:instrText>
      </w:r>
      <w:r w:rsidR="005165C6">
        <w:fldChar w:fldCharType="separate"/>
      </w:r>
      <w:r w:rsidR="005D0C32">
        <w:rPr>
          <w:noProof/>
        </w:rPr>
        <w:t>Department of Environment and Natural Resources (NT) (2018b)</w:t>
      </w:r>
      <w:r w:rsidR="005165C6">
        <w:fldChar w:fldCharType="end"/>
      </w:r>
      <w:r>
        <w:t xml:space="preserve"> </w:t>
      </w:r>
      <w:r w:rsidR="005D0C32">
        <w:t>also includes</w:t>
      </w:r>
      <w:r>
        <w:t xml:space="preserve"> water levels for several groundwater bores in the Beetaloo GBA </w:t>
      </w:r>
      <w:r w:rsidR="000C1920">
        <w:t>extended region</w:t>
      </w:r>
      <w:r>
        <w:t xml:space="preserve"> that are not included in</w:t>
      </w:r>
      <w:r w:rsidR="005D0C32">
        <w:t xml:space="preserve"> </w:t>
      </w:r>
      <w:r w:rsidR="005D0C32">
        <w:fldChar w:fldCharType="begin"/>
      </w:r>
      <w:r w:rsidR="005D0C32">
        <w:instrText xml:space="preserve"> ADDIN EN.CITE &lt;EndNote&gt;&lt;Cite AuthorYear="1"&gt;&lt;Author&gt;Department of Environment and Natural Resources (NT)&lt;/Author&gt;&lt;Year&gt;2018&lt;/Year&gt;&lt;RecNum&gt;1541&lt;/RecNum&gt;&lt;DisplayText&gt;Department of Environment and Natural Resources (NT) (2018a)&lt;/DisplayText&gt;&lt;record&gt;&lt;rec-number&gt;1541&lt;/rec-number&gt;&lt;foreign-keys&gt;&lt;key app="EN" db-id="wdf9tzzdhw2saee559kv0vezt0wfsta0zedv" timestamp="1588042411"&gt;1541&lt;/key&gt;&lt;/foreign-keys&gt;&lt;ref-type name="Dataset"&gt;59&lt;/ref-type&gt;&lt;contributors&gt;&lt;authors&gt;&lt;author&gt;Department of Environment and Natural Resources (NT),&lt;/author&gt;&lt;/authors&gt;&lt;secondary-authors&gt;&lt;author&gt;Geoscience Australia,&lt;/author&gt;&lt;/secondary-authors&gt;&lt;/contributors&gt;&lt;titles&gt;&lt;title&gt;NT Groundwater Monitoring Bores Database&lt;/title&gt;&lt;/titles&gt;&lt;keywords&gt;&lt;keyword&gt;hydrogeology, WATER Quality&lt;/keyword&gt;&lt;/keywords&gt;&lt;dates&gt;&lt;year&gt;2018&lt;/year&gt;&lt;/dates&gt;&lt;pub-location&gt;Canberra&lt;/pub-location&gt;&lt;label&gt;527F422D-52CD-4D50-A5FA-923CBBB36C60&lt;/label&gt;&lt;urls&gt;&lt;related-urls&gt;&lt;url&gt;https://denr.nt.gov.au/&lt;/url&gt;&lt;/related-urls&gt;&lt;/urls&gt;&lt;custom2&gt;unit of observation&lt;/custom2&gt;&lt;custom3&gt;spatial&lt;/custom3&gt;&lt;custom4&gt;dataset&lt;/custom4&gt;&lt;access-date&gt;28 April 2020&lt;/access-date&gt;&lt;/record&gt;&lt;/Cite&gt;&lt;/EndNote&gt;</w:instrText>
      </w:r>
      <w:r w:rsidR="005D0C32">
        <w:fldChar w:fldCharType="separate"/>
      </w:r>
      <w:r w:rsidR="005D0C32">
        <w:rPr>
          <w:noProof/>
        </w:rPr>
        <w:t>Department of Environment and Natural Resources (NT) (2018a)</w:t>
      </w:r>
      <w:r w:rsidR="005D0C32">
        <w:fldChar w:fldCharType="end"/>
      </w:r>
      <w:r>
        <w:t xml:space="preserve">. These water levels were not considered in the current study but could be included in future work. </w:t>
      </w:r>
    </w:p>
    <w:bookmarkEnd w:id="158"/>
    <w:p w14:paraId="49BB885F" w14:textId="62311D1C" w:rsidR="00A06196" w:rsidRDefault="00A06196" w:rsidP="009A31C8">
      <w:pPr>
        <w:pStyle w:val="ListBullet"/>
      </w:pPr>
      <w:r>
        <w:t>Origin Energy</w:t>
      </w:r>
      <w:r w:rsidR="0059659A">
        <w:t xml:space="preserve"> </w:t>
      </w:r>
      <w:r w:rsidR="0059659A">
        <w:rPr>
          <w:rFonts w:cstheme="minorHAnsi"/>
        </w:rPr>
        <w:t xml:space="preserve">– </w:t>
      </w:r>
      <w:r>
        <w:t>Information was provided in</w:t>
      </w:r>
      <w:r w:rsidR="00A42DBA">
        <w:t xml:space="preserve"> </w:t>
      </w:r>
      <w:r w:rsidR="00F83B9A">
        <w:fldChar w:fldCharType="begin"/>
      </w:r>
      <w:r w:rsidR="00F83B9A">
        <w:instrText xml:space="preserve"> ADDIN EN.CITE &lt;EndNote&gt;&lt;Cite AuthorYear="1"&gt;&lt;Author&gt;Origin Energy&lt;/Author&gt;&lt;Year&gt;2019&lt;/Year&gt;&lt;RecNum&gt;1519&lt;/RecNum&gt;&lt;DisplayText&gt;Origin Energy (2019)&lt;/DisplayText&gt;&lt;record&gt;&lt;rec-number&gt;1519&lt;/rec-number&gt;&lt;foreign-keys&gt;&lt;key app="EN" db-id="wdf9tzzdhw2saee559kv0vezt0wfsta0zedv" timestamp="1587707256"&gt;1519&lt;/key&gt;&lt;/foreign-keys&gt;&lt;ref-type name="Dataset"&gt;59&lt;/ref-type&gt;&lt;contributors&gt;&lt;authors&gt;&lt;author&gt;Origin Energy,&lt;/author&gt;&lt;/authors&gt;&lt;secondary-authors&gt;&lt;author&gt;Geoscience Australia,&lt;/author&gt;&lt;/secondary-authors&gt;&lt;/contributors&gt;&lt;titles&gt;&lt;title&gt;Origin Data Package&lt;/title&gt;&lt;/titles&gt;&lt;keywords&gt;&lt;keyword&gt;WATER Quality, hydrogeology&lt;/keyword&gt;&lt;/keywords&gt;&lt;dates&gt;&lt;year&gt;2019&lt;/year&gt;&lt;/dates&gt;&lt;pub-location&gt;Canberra&lt;/pub-location&gt;&lt;label&gt;0BE0A3FE-7C2E-48EF-B890-F42C38EEF24F&lt;/label&gt;&lt;urls&gt;&lt;related-urls&gt;&lt;url&gt;https://www.originenergy.com.au/&lt;/url&gt;&lt;/related-urls&gt;&lt;/urls&gt;&lt;custom2&gt;unit of observation&lt;/custom2&gt;&lt;custom3&gt;tabular&lt;/custom3&gt;&lt;custom4&gt;dataset&lt;/custom4&gt;&lt;access-date&gt;24 April 2020&lt;/access-date&gt;&lt;/record&gt;&lt;/Cite&gt;&lt;/EndNote&gt;</w:instrText>
      </w:r>
      <w:r w:rsidR="00F83B9A">
        <w:fldChar w:fldCharType="separate"/>
      </w:r>
      <w:r w:rsidR="00F83B9A">
        <w:rPr>
          <w:noProof/>
        </w:rPr>
        <w:t>Origin Energy (2019)</w:t>
      </w:r>
      <w:r w:rsidR="00F83B9A">
        <w:fldChar w:fldCharType="end"/>
      </w:r>
      <w:r>
        <w:t xml:space="preserve">. The </w:t>
      </w:r>
      <w:r w:rsidR="001F2D53">
        <w:t>database</w:t>
      </w:r>
      <w:r>
        <w:t xml:space="preserve"> includes barometric pressure </w:t>
      </w:r>
      <w:r w:rsidR="00167D82">
        <w:t>measurements</w:t>
      </w:r>
      <w:r>
        <w:t xml:space="preserve"> covering some of the period of water level logging.</w:t>
      </w:r>
    </w:p>
    <w:bookmarkEnd w:id="157"/>
    <w:p w14:paraId="3A6B7B81" w14:textId="77777777" w:rsidR="00A06196" w:rsidRPr="00EB265B" w:rsidRDefault="00A06196" w:rsidP="00A06196">
      <w:pPr>
        <w:pStyle w:val="Heading6"/>
      </w:pPr>
      <w:r>
        <w:t>Rainfall</w:t>
      </w:r>
      <w:r w:rsidRPr="00EB265B">
        <w:t xml:space="preserve"> data</w:t>
      </w:r>
    </w:p>
    <w:p w14:paraId="101AEEC7" w14:textId="460FF784" w:rsidR="00F92340" w:rsidRPr="00F92340" w:rsidRDefault="00A541ED" w:rsidP="00A06196">
      <w:pPr>
        <w:pStyle w:val="BodyText"/>
      </w:pPr>
      <w:r w:rsidRPr="50BA1442">
        <w:fldChar w:fldCharType="begin"/>
      </w:r>
      <w:r w:rsidR="00F76E0D">
        <w:instrText xml:space="preserve"> ADDIN EN.CITE &lt;EndNote&gt;&lt;Cite AuthorYear="1"&gt;&lt;Author&gt;Department of Environment and Science (Qld)&lt;/Author&gt;&lt;Year&gt;2018&lt;/Year&gt;&lt;RecNum&gt;885&lt;/RecNum&gt;&lt;DisplayText&gt;Department of Environment and Science (Qld) (2018)&lt;/DisplayText&gt;&lt;record&gt;&lt;rec-number&gt;885&lt;/rec-number&gt;&lt;foreign-keys&gt;&lt;key app="EN" db-id="wdf9tzzdhw2saee559kv0vezt0wfsta0zedv" timestamp="1553822868"&gt;885&lt;/key&gt;&lt;/foreign-keys&gt;&lt;ref-type name="Dataset"&gt;59&lt;/ref-type&gt;&lt;contributors&gt;&lt;authors&gt;&lt;author&gt;Department of Environment and Science (Qld),&lt;/author&gt;&lt;/authors&gt;&lt;/contributors&gt;&lt;titles&gt;&lt;title&gt;Climate data for rainfall stations in the Beetaloo GBA area from the Queensland Government’s Scientific Information for Land Owners website&lt;/title&gt;&lt;/titles&gt;&lt;dates&gt;&lt;year&gt;2018&lt;/year&gt;&lt;/dates&gt;&lt;label&gt;E808103C-7DA8-4173-8027-C94AAA8CCBCE&lt;/label&gt;&lt;urls&gt;&lt;related-urls&gt;&lt;url&gt;&lt;style face="underline" font="default" size="100%"&gt;https://data.qld.gov.au/dataset/silo-climate-api&lt;/style&gt;&lt;/url&gt;&lt;/related-urls&gt;&lt;/urls&gt;&lt;custom3&gt;Space delimited txt file&lt;/custom3&gt;&lt;remote-database-name&gt;14618.txt,14642.txt,14902.txt,15086.txt&lt;/remote-database-name&gt;&lt;remote-database-provider&gt;Queensland Government Department of Environment and Science&lt;/remote-database-provider&gt;&lt;access-date&gt;24 October 2018&lt;/access-date&gt;&lt;/record&gt;&lt;/Cite&gt;&lt;/EndNote&gt;</w:instrText>
      </w:r>
      <w:r w:rsidRPr="50BA1442">
        <w:rPr>
          <w:rFonts w:cs="Calibri"/>
        </w:rPr>
        <w:fldChar w:fldCharType="separate"/>
      </w:r>
      <w:r w:rsidR="000C1920" w:rsidRPr="000C1920">
        <w:rPr>
          <w:noProof/>
        </w:rPr>
        <w:t>Department of Environment and Science (Qld) (2018)</w:t>
      </w:r>
      <w:r w:rsidRPr="50BA1442">
        <w:fldChar w:fldCharType="end"/>
      </w:r>
      <w:r w:rsidR="009168BD">
        <w:rPr>
          <w:rFonts w:cs="Calibri"/>
        </w:rPr>
        <w:t xml:space="preserve"> </w:t>
      </w:r>
      <w:r w:rsidR="00635112">
        <w:rPr>
          <w:rFonts w:cs="Calibri"/>
        </w:rPr>
        <w:t>presents</w:t>
      </w:r>
      <w:r w:rsidR="009168BD">
        <w:rPr>
          <w:rFonts w:cs="Calibri"/>
        </w:rPr>
        <w:t xml:space="preserve"> climate</w:t>
      </w:r>
      <w:r w:rsidR="00A06196" w:rsidRPr="0085635E">
        <w:rPr>
          <w:rFonts w:cs="Calibri"/>
        </w:rPr>
        <w:t xml:space="preserve"> data </w:t>
      </w:r>
      <w:r w:rsidR="00A06196">
        <w:rPr>
          <w:rFonts w:cs="Calibri"/>
        </w:rPr>
        <w:t>sourced</w:t>
      </w:r>
      <w:r w:rsidR="00A06196" w:rsidRPr="0085635E">
        <w:rPr>
          <w:rFonts w:cs="Calibri"/>
        </w:rPr>
        <w:t xml:space="preserve"> from the Queensland Government’s Scientific Information for Landowners website (</w:t>
      </w:r>
      <w:hyperlink r:id="rId48" w:history="1">
        <w:r w:rsidR="00A06196" w:rsidRPr="00BD129B">
          <w:rPr>
            <w:rStyle w:val="Hyperlink"/>
            <w:rFonts w:cs="Calibri"/>
          </w:rPr>
          <w:t>https://data.qld.gov.au/dataset/silo-climate-api</w:t>
        </w:r>
      </w:hyperlink>
      <w:r w:rsidR="00A06196">
        <w:rPr>
          <w:rFonts w:cs="Calibri"/>
        </w:rPr>
        <w:t>) for stations 14902 Katherine Council, 14642 Mataranka Station, 14618 Daly Waters and 15086 Newcastle Waters. The website files include interpolated rainfall readings for dates when measurements were not made at particular stations</w:t>
      </w:r>
      <w:r w:rsidR="009168BD">
        <w:rPr>
          <w:rFonts w:cs="Calibri"/>
        </w:rPr>
        <w:t xml:space="preserve"> by the Bureau of </w:t>
      </w:r>
      <w:r w:rsidR="003E4C79">
        <w:rPr>
          <w:rFonts w:cs="Calibri"/>
        </w:rPr>
        <w:t>Meteorology</w:t>
      </w:r>
      <w:r w:rsidR="00A06196">
        <w:rPr>
          <w:rFonts w:cs="Calibri"/>
        </w:rPr>
        <w:t>.</w:t>
      </w:r>
    </w:p>
    <w:p w14:paraId="1695FB11" w14:textId="38865DB7" w:rsidR="001511A7" w:rsidRDefault="002935EE" w:rsidP="00A06AB8">
      <w:pPr>
        <w:pStyle w:val="Heading3"/>
      </w:pPr>
      <w:bookmarkStart w:id="159" w:name="_Ref535508890"/>
      <w:bookmarkStart w:id="160" w:name="_Ref269655"/>
      <w:bookmarkStart w:id="161" w:name="_Toc4072461"/>
      <w:bookmarkStart w:id="162" w:name="_Toc5020791"/>
      <w:bookmarkStart w:id="163" w:name="_Toc5021598"/>
      <w:bookmarkStart w:id="164" w:name="_Toc5808359"/>
      <w:bookmarkStart w:id="165" w:name="_Toc5895052"/>
      <w:bookmarkStart w:id="166" w:name="_Toc6308940"/>
      <w:bookmarkStart w:id="167" w:name="_Toc6327604"/>
      <w:bookmarkStart w:id="168" w:name="_Toc38990439"/>
      <w:r>
        <w:t>Key derived datasets</w:t>
      </w:r>
      <w:bookmarkEnd w:id="159"/>
      <w:bookmarkEnd w:id="160"/>
      <w:bookmarkEnd w:id="161"/>
      <w:bookmarkEnd w:id="162"/>
      <w:bookmarkEnd w:id="163"/>
      <w:bookmarkEnd w:id="164"/>
      <w:bookmarkEnd w:id="165"/>
      <w:bookmarkEnd w:id="166"/>
      <w:bookmarkEnd w:id="167"/>
      <w:bookmarkEnd w:id="168"/>
    </w:p>
    <w:p w14:paraId="6861BF90" w14:textId="77777777" w:rsidR="00A06196" w:rsidRPr="006A28B9" w:rsidRDefault="00A06196" w:rsidP="00A06196">
      <w:pPr>
        <w:pStyle w:val="Heading6"/>
      </w:pPr>
      <w:r w:rsidRPr="006A28B9">
        <w:t>Hydrochemistry database</w:t>
      </w:r>
    </w:p>
    <w:p w14:paraId="08FED9D9" w14:textId="3ABEC747" w:rsidR="00A06196" w:rsidRDefault="00A06196" w:rsidP="409708BF">
      <w:pPr>
        <w:pStyle w:val="BodyText"/>
        <w:rPr>
          <w:rFonts w:cs="Calibri"/>
        </w:rPr>
      </w:pPr>
      <w:r>
        <w:rPr>
          <w:rFonts w:cs="Calibri"/>
        </w:rPr>
        <w:t xml:space="preserve">Hydrochemistry data </w:t>
      </w:r>
      <w:r w:rsidR="00D511B4">
        <w:rPr>
          <w:rFonts w:cs="Calibri"/>
        </w:rPr>
        <w:t xml:space="preserve">within the </w:t>
      </w:r>
      <w:r w:rsidR="000C1920">
        <w:rPr>
          <w:rFonts w:cs="Calibri"/>
        </w:rPr>
        <w:t>Beetaloo GBA extended region</w:t>
      </w:r>
      <w:r w:rsidR="00D511B4">
        <w:rPr>
          <w:rFonts w:cs="Calibri"/>
        </w:rPr>
        <w:t xml:space="preserve"> </w:t>
      </w:r>
      <w:r w:rsidR="00635112">
        <w:rPr>
          <w:rFonts w:cs="Calibri"/>
        </w:rPr>
        <w:t>from</w:t>
      </w:r>
      <w:r w:rsidR="00972246">
        <w:rPr>
          <w:rFonts w:cs="Calibri"/>
        </w:rPr>
        <w:t xml:space="preserve"> </w:t>
      </w:r>
      <w:r w:rsidR="00972246">
        <w:rPr>
          <w:rFonts w:cs="Calibri"/>
        </w:rPr>
        <w:fldChar w:fldCharType="begin"/>
      </w:r>
      <w:r w:rsidR="005D0C32">
        <w:rPr>
          <w:rFonts w:cs="Calibri"/>
        </w:rPr>
        <w:instrText xml:space="preserve"> ADDIN EN.CITE &lt;EndNote&gt;&lt;Cite AuthorYear="1"&gt;&lt;Author&gt;Department of Environment and Natural Resources (NT)&lt;/Author&gt;&lt;Year&gt;2018&lt;/Year&gt;&lt;RecNum&gt;1541&lt;/RecNum&gt;&lt;DisplayText&gt;Department of Environment and Natural Resources (NT) (2018a)&lt;/DisplayText&gt;&lt;record&gt;&lt;rec-number&gt;1541&lt;/rec-number&gt;&lt;foreign-keys&gt;&lt;key app="EN" db-id="wdf9tzzdhw2saee559kv0vezt0wfsta0zedv" timestamp="1588042411"&gt;1541&lt;/key&gt;&lt;/foreign-keys&gt;&lt;ref-type name="Dataset"&gt;59&lt;/ref-type&gt;&lt;contributors&gt;&lt;authors&gt;&lt;author&gt;Department of Environment and Natural Resources (NT),&lt;/author&gt;&lt;/authors&gt;&lt;secondary-authors&gt;&lt;author&gt;Geoscience Australia,&lt;/author&gt;&lt;/secondary-authors&gt;&lt;/contributors&gt;&lt;titles&gt;&lt;title&gt;NT Groundwater Monitoring Bores Database&lt;/title&gt;&lt;/titles&gt;&lt;keywords&gt;&lt;keyword&gt;hydrogeology, WATER Quality&lt;/keyword&gt;&lt;/keywords&gt;&lt;dates&gt;&lt;year&gt;2018&lt;/year&gt;&lt;/dates&gt;&lt;pub-location&gt;Canberra&lt;/pub-location&gt;&lt;label&gt;527F422D-52CD-4D50-A5FA-923CBBB36C60&lt;/label&gt;&lt;urls&gt;&lt;related-urls&gt;&lt;url&gt;https://denr.nt.gov.au/&lt;/url&gt;&lt;/related-urls&gt;&lt;/urls&gt;&lt;custom2&gt;unit of observation&lt;/custom2&gt;&lt;custom3&gt;spatial&lt;/custom3&gt;&lt;custom4&gt;dataset&lt;/custom4&gt;&lt;access-date&gt;28 April 2020&lt;/access-date&gt;&lt;/record&gt;&lt;/Cite&gt;&lt;/EndNote&gt;</w:instrText>
      </w:r>
      <w:r w:rsidR="00972246">
        <w:rPr>
          <w:rFonts w:cs="Calibri"/>
        </w:rPr>
        <w:fldChar w:fldCharType="separate"/>
      </w:r>
      <w:r w:rsidR="005D0C32">
        <w:rPr>
          <w:rFonts w:cs="Calibri"/>
          <w:noProof/>
        </w:rPr>
        <w:t>Department of Environment and Natural Resources (NT) (2018a)</w:t>
      </w:r>
      <w:r w:rsidR="00972246">
        <w:rPr>
          <w:rFonts w:cs="Calibri"/>
        </w:rPr>
        <w:fldChar w:fldCharType="end"/>
      </w:r>
      <w:r w:rsidR="00635112">
        <w:rPr>
          <w:rFonts w:cs="Calibri"/>
        </w:rPr>
        <w:t>,</w:t>
      </w:r>
      <w:r w:rsidR="00F37069">
        <w:rPr>
          <w:rFonts w:cs="Calibri"/>
        </w:rPr>
        <w:t xml:space="preserve"> </w:t>
      </w:r>
      <w:r w:rsidR="00F37069">
        <w:rPr>
          <w:rFonts w:cs="Calibri"/>
        </w:rPr>
        <w:fldChar w:fldCharType="begin"/>
      </w:r>
      <w:r w:rsidR="00F37069">
        <w:rPr>
          <w:rFonts w:cs="Calibri"/>
        </w:rPr>
        <w:instrText xml:space="preserve"> ADDIN EN.CITE &lt;EndNote&gt;&lt;Cite AuthorYear="1"&gt;&lt;Author&gt;Origin Energy&lt;/Author&gt;&lt;Year&gt;2019&lt;/Year&gt;&lt;RecNum&gt;1519&lt;/RecNum&gt;&lt;DisplayText&gt;Origin Energy (2019)&lt;/DisplayText&gt;&lt;record&gt;&lt;rec-number&gt;1519&lt;/rec-number&gt;&lt;foreign-keys&gt;&lt;key app="EN" db-id="wdf9tzzdhw2saee559kv0vezt0wfsta0zedv" timestamp="1587707256"&gt;1519&lt;/key&gt;&lt;/foreign-keys&gt;&lt;ref-type name="Dataset"&gt;59&lt;/ref-type&gt;&lt;contributors&gt;&lt;authors&gt;&lt;author&gt;Origin Energy,&lt;/author&gt;&lt;/authors&gt;&lt;secondary-authors&gt;&lt;author&gt;Geoscience Australia,&lt;/author&gt;&lt;/secondary-authors&gt;&lt;/contributors&gt;&lt;titles&gt;&lt;title&gt;Origin Data Package&lt;/title&gt;&lt;/titles&gt;&lt;keywords&gt;&lt;keyword&gt;WATER Quality, hydrogeology&lt;/keyword&gt;&lt;/keywords&gt;&lt;dates&gt;&lt;year&gt;2019&lt;/year&gt;&lt;/dates&gt;&lt;pub-location&gt;Canberra&lt;/pub-location&gt;&lt;label&gt;0BE0A3FE-7C2E-48EF-B890-F42C38EEF24F&lt;/label&gt;&lt;urls&gt;&lt;related-urls&gt;&lt;url&gt;https://www.originenergy.com.au/&lt;/url&gt;&lt;/related-urls&gt;&lt;/urls&gt;&lt;custom2&gt;unit of observation&lt;/custom2&gt;&lt;custom3&gt;tabular&lt;/custom3&gt;&lt;custom4&gt;dataset&lt;/custom4&gt;&lt;access-date&gt;24 April 2020&lt;/access-date&gt;&lt;/record&gt;&lt;/Cite&gt;&lt;/EndNote&gt;</w:instrText>
      </w:r>
      <w:r w:rsidR="00F37069">
        <w:rPr>
          <w:rFonts w:cs="Calibri"/>
        </w:rPr>
        <w:fldChar w:fldCharType="separate"/>
      </w:r>
      <w:r w:rsidR="00F37069">
        <w:rPr>
          <w:rFonts w:cs="Calibri"/>
          <w:noProof/>
        </w:rPr>
        <w:t>Origin Energy (2019)</w:t>
      </w:r>
      <w:r w:rsidR="00F37069">
        <w:rPr>
          <w:rFonts w:cs="Calibri"/>
        </w:rPr>
        <w:fldChar w:fldCharType="end"/>
      </w:r>
      <w:r>
        <w:rPr>
          <w:rFonts w:cs="Calibri"/>
        </w:rPr>
        <w:t>,</w:t>
      </w:r>
      <w:r w:rsidR="00F02706">
        <w:rPr>
          <w:rFonts w:cs="Calibri"/>
        </w:rPr>
        <w:t xml:space="preserve"> </w:t>
      </w:r>
      <w:r w:rsidR="00F02706">
        <w:rPr>
          <w:rFonts w:cs="Calibri"/>
        </w:rPr>
        <w:fldChar w:fldCharType="begin"/>
      </w:r>
      <w:r w:rsidR="00F02706">
        <w:rPr>
          <w:rFonts w:cs="Calibri"/>
        </w:rPr>
        <w:instrText xml:space="preserve"> ADDIN EN.CITE &lt;EndNote&gt;&lt;Cite AuthorYear="1"&gt;&lt;Author&gt;Pangaea Resources&lt;/Author&gt;&lt;Year&gt;2019&lt;/Year&gt;&lt;RecNum&gt;1520&lt;/RecNum&gt;&lt;DisplayText&gt;Pangaea Resources (2019)&lt;/DisplayText&gt;&lt;record&gt;&lt;rec-number&gt;1520&lt;/rec-number&gt;&lt;foreign-keys&gt;&lt;key app="EN" db-id="wdf9tzzdhw2saee559kv0vezt0wfsta0zedv" timestamp="1587948241"&gt;1520&lt;/key&gt;&lt;/foreign-keys&gt;&lt;ref-type name="Dataset"&gt;59&lt;/ref-type&gt;&lt;contributors&gt;&lt;authors&gt;&lt;author&gt;Pangaea Resources,&lt;/author&gt;&lt;/authors&gt;&lt;secondary-authors&gt;&lt;author&gt;Geoscience Australia,&lt;/author&gt;&lt;/secondary-authors&gt;&lt;/contributors&gt;&lt;titles&gt;&lt;title&gt;Pangaea Resources Groundwater Quality Dataset&lt;/title&gt;&lt;/titles&gt;&lt;keywords&gt;&lt;keyword&gt;hydrogeology&lt;/keyword&gt;&lt;/keywords&gt;&lt;dates&gt;&lt;year&gt;2019&lt;/year&gt;&lt;/dates&gt;&lt;pub-location&gt;Canberra&lt;/pub-location&gt;&lt;label&gt;FE6B6C2F-B2AA-40EB-9EEB-5DA12ECDFAAC&lt;/label&gt;&lt;urls&gt;&lt;related-urls&gt;&lt;url&gt;https://www.pangaea.net.au/&lt;/url&gt;&lt;/related-urls&gt;&lt;/urls&gt;&lt;custom2&gt;unit of observation&lt;/custom2&gt;&lt;custom3&gt;tabular&lt;/custom3&gt;&lt;custom4&gt;dataset&lt;/custom4&gt;&lt;access-date&gt;24 April 2020&lt;/access-date&gt;&lt;/record&gt;&lt;/Cite&gt;&lt;/EndNote&gt;</w:instrText>
      </w:r>
      <w:r w:rsidR="00F02706">
        <w:rPr>
          <w:rFonts w:cs="Calibri"/>
        </w:rPr>
        <w:fldChar w:fldCharType="separate"/>
      </w:r>
      <w:r w:rsidR="00F02706">
        <w:rPr>
          <w:rFonts w:cs="Calibri"/>
          <w:noProof/>
        </w:rPr>
        <w:t>Pangaea Resources (2019)</w:t>
      </w:r>
      <w:r w:rsidR="00F02706">
        <w:rPr>
          <w:rFonts w:cs="Calibri"/>
        </w:rPr>
        <w:fldChar w:fldCharType="end"/>
      </w:r>
      <w:r w:rsidR="00D511B4">
        <w:rPr>
          <w:rFonts w:cs="Calibri"/>
        </w:rPr>
        <w:t xml:space="preserve">, and </w:t>
      </w:r>
      <w:r w:rsidR="00666287">
        <w:rPr>
          <w:rFonts w:cs="Calibri"/>
        </w:rPr>
        <w:fldChar w:fldCharType="begin"/>
      </w:r>
      <w:r w:rsidR="00F76E0D">
        <w:rPr>
          <w:rFonts w:cs="Calibri"/>
        </w:rPr>
        <w:instrText xml:space="preserve"> ADDIN EN.CITE &lt;EndNote&gt;&lt;Cite AuthorYear="1"&gt;&lt;Author&gt;Wilkes&lt;/Author&gt;&lt;Year&gt;2019&lt;/Year&gt;&lt;RecNum&gt;1457&lt;/RecNum&gt;&lt;DisplayText&gt;Wilkes et al. (2019)&lt;/DisplayText&gt;&lt;record&gt;&lt;rec-number&gt;1457&lt;/rec-number&gt;&lt;foreign-keys&gt;&lt;key app="EN" db-id="wdf9tzzdhw2saee559kv0vezt0wfsta0zedv" timestamp="1584491637"&gt;1457&lt;/key&gt;&lt;/foreign-keys&gt;&lt;ref-type name="Report"&gt;27&lt;/ref-type&gt;&lt;contributors&gt;&lt;authors&gt;&lt;author&gt;Wilkes, P.&lt;/author&gt;&lt;author&gt;Rachakonda, P. K.&lt;/author&gt;&lt;author&gt;Larcher, A.&lt;/author&gt;&lt;author&gt;Woltering, M.&lt;/author&gt;&lt;/authors&gt;&lt;/contributors&gt;&lt;titles&gt;&lt;title&gt;Baseline assessment of groundwater characteristics in the Beetaloo Sub-basin, NT. Geochemistry Analysis report to the Gas Industry Social and Environmental Research Alliance (GISERA)&lt;/title&gt;&lt;/titles&gt;&lt;dates&gt;&lt;year&gt;2019&lt;/year&gt;&lt;/dates&gt;&lt;pub-location&gt;Canberra&lt;/pub-location&gt;&lt;publisher&gt;CSIRO&lt;/publisher&gt;&lt;urls&gt;&lt;related-urls&gt;&lt;url&gt;https://gisera.csiro.au/wp-content/uploads/2019/09/GISERA-W16-Task-4-Report_.pdf&lt;/url&gt;&lt;/related-urls&gt;&lt;/urls&gt;&lt;access-date&gt;20 November 2019&lt;/access-date&gt;&lt;/record&gt;&lt;/Cite&gt;&lt;/EndNote&gt;</w:instrText>
      </w:r>
      <w:r w:rsidR="00666287">
        <w:rPr>
          <w:rFonts w:cs="Calibri"/>
        </w:rPr>
        <w:fldChar w:fldCharType="separate"/>
      </w:r>
      <w:r w:rsidR="00666287">
        <w:rPr>
          <w:rFonts w:cs="Calibri"/>
          <w:noProof/>
        </w:rPr>
        <w:t>Wilkes et al. (2019)</w:t>
      </w:r>
      <w:r w:rsidR="00666287">
        <w:rPr>
          <w:rFonts w:cs="Calibri"/>
        </w:rPr>
        <w:fldChar w:fldCharType="end"/>
      </w:r>
      <w:r w:rsidR="00D511B4">
        <w:rPr>
          <w:rFonts w:cs="Calibri"/>
        </w:rPr>
        <w:t xml:space="preserve"> </w:t>
      </w:r>
      <w:r>
        <w:rPr>
          <w:rFonts w:cs="Calibri"/>
        </w:rPr>
        <w:t xml:space="preserve">were collated into a single database </w:t>
      </w:r>
      <w:r w:rsidR="00A541ED" w:rsidRPr="7451D1E6">
        <w:fldChar w:fldCharType="begin"/>
      </w:r>
      <w:r w:rsidR="008F30E0">
        <w:instrText xml:space="preserve"> ADDIN EN.CITE &lt;EndNote&gt;&lt;Cite&gt;&lt;Author&gt;Geological and Bioregional Assessment Program&lt;/Author&gt;&lt;Year&gt;2019&lt;/Year&gt;&lt;RecNum&gt;836&lt;/RecNum&gt;&lt;DisplayText&gt;(Geological and Bioregional Assessment Program, 2019i)&lt;/DisplayText&gt;&lt;record&gt;&lt;rec-number&gt;836&lt;/rec-number&gt;&lt;foreign-keys&gt;&lt;key app="EN" db-id="wdf9tzzdhw2saee559kv0vezt0wfsta0zedv" timestamp="1553215246"&gt;836&lt;/key&gt;&lt;/foreign-keys&gt;&lt;ref-type name="Dataset"&gt;59&lt;/ref-type&gt;&lt;contributors&gt;&lt;authors&gt;&lt;author&gt;Geological and Bioregional Assessment Program,&lt;/author&gt;&lt;/authors&gt;&lt;secondary-authors&gt;&lt;author&gt;Geoscience Australia,&lt;/author&gt;&lt;/secondary-authors&gt;&lt;/contributors&gt;&lt;titles&gt;&lt;title&gt;Beetaloo basin GDE&lt;/title&gt;&lt;/titles&gt;&lt;keywords&gt;&lt;keyword&gt;Environmental resources protection and conservation&lt;/keyword&gt;&lt;/keywords&gt;&lt;dates&gt;&lt;year&gt;2019&lt;/year&gt;&lt;/dates&gt;&lt;pub-location&gt;Canberra&lt;/pub-location&gt;&lt;label&gt;E4C2B147-8338-4821-BC5E-DE300E9B6362&lt;/label&gt;&lt;urls&gt;&lt;related-urls&gt;&lt;url&gt;https://repo.bioregionalassessments.gov.au/metadata/E4C2B147-8338-4821-BC5E-DE300E9B6362&lt;/url&gt;&lt;/related-urls&gt;&lt;/urls&gt;&lt;custom2&gt;unit of observation&lt;/custom2&gt;&lt;custom3&gt;spatial&lt;/custom3&gt;&lt;custom4&gt;dataset&lt;/custom4&gt;&lt;access-date&gt;12 October 2018&lt;/access-date&gt;&lt;/record&gt;&lt;/Cite&gt;&lt;/EndNote&gt;</w:instrText>
      </w:r>
      <w:r w:rsidR="00A541ED" w:rsidRPr="7451D1E6">
        <w:rPr>
          <w:rFonts w:cs="Calibri"/>
        </w:rPr>
        <w:fldChar w:fldCharType="separate"/>
      </w:r>
      <w:r w:rsidR="008F30E0" w:rsidRPr="008F30E0">
        <w:rPr>
          <w:noProof/>
        </w:rPr>
        <w:t>(Geological and Bioregional Assessment Program, 2019i)</w:t>
      </w:r>
      <w:r w:rsidR="00A541ED" w:rsidRPr="7451D1E6">
        <w:fldChar w:fldCharType="end"/>
      </w:r>
      <w:r w:rsidR="00D511B4">
        <w:rPr>
          <w:rFonts w:cs="Calibri"/>
        </w:rPr>
        <w:t xml:space="preserve">. </w:t>
      </w:r>
      <w:r w:rsidR="7451D1E6" w:rsidRPr="7451D1E6">
        <w:rPr>
          <w:rFonts w:cs="Calibri"/>
        </w:rPr>
        <w:t xml:space="preserve">Groundwater bores where aquifer designation is ambiguous or screened area was open to multiple aquifer units, were excluded from the dataset. </w:t>
      </w:r>
      <w:r>
        <w:rPr>
          <w:rFonts w:cs="Calibri"/>
        </w:rPr>
        <w:t>Analyses with charge balance erro</w:t>
      </w:r>
      <w:r w:rsidR="00D511B4">
        <w:rPr>
          <w:rFonts w:cs="Calibri"/>
        </w:rPr>
        <w:t>rs &gt;10% were removed to create the</w:t>
      </w:r>
      <w:r>
        <w:rPr>
          <w:rFonts w:cs="Calibri"/>
        </w:rPr>
        <w:t xml:space="preserve"> derived database</w:t>
      </w:r>
      <w:r w:rsidR="00D511B4">
        <w:rPr>
          <w:rFonts w:cs="Calibri"/>
        </w:rPr>
        <w:t xml:space="preserve"> </w:t>
      </w:r>
      <w:r w:rsidR="00A541ED" w:rsidRPr="7451D1E6">
        <w:fldChar w:fldCharType="begin"/>
      </w:r>
      <w:r w:rsidR="008F30E0">
        <w:instrText xml:space="preserve"> ADDIN EN.CITE &lt;EndNote&gt;&lt;Cite&gt;&lt;Author&gt;Geological and Bioregional Assessment Program&lt;/Author&gt;&lt;Year&gt;2019&lt;/Year&gt;&lt;RecNum&gt;886&lt;/RecNum&gt;&lt;DisplayText&gt;(Geological and Bioregional Assessment Program, 2019h)&lt;/DisplayText&gt;&lt;record&gt;&lt;rec-number&gt;886&lt;/rec-number&gt;&lt;foreign-keys&gt;&lt;key app="EN" db-id="wdf9tzzdhw2saee559kv0vezt0wfsta0zedv" timestamp="1553830844"&gt;886&lt;/key&gt;&lt;/foreign-keys&gt;&lt;ref-type name="Dataset"&gt;59&lt;/ref-type&gt;&lt;contributors&gt;&lt;authors&gt;&lt;author&gt;Geological and Bioregional Assessment Program,&lt;/author&gt;&lt;/authors&gt;&lt;secondary-authors&gt;&lt;author&gt;Geoscience Australia,&lt;/author&gt;&lt;/secondary-authors&gt;&lt;/contributors&gt;&lt;titles&gt;&lt;title&gt;Groundwater chemistry in the Beetaloo GBA groundwater bore data extraction area&lt;/title&gt;&lt;/titles&gt;&lt;dates&gt;&lt;year&gt;2019&lt;/year&gt;&lt;/dates&gt;&lt;label&gt;A0654187-3282-4DB6-B5A4-668A897D4D79&lt;/label&gt;&lt;urls&gt;&lt;related-urls&gt;&lt;url&gt;https://repo.bioregionalassessments.gov.au/metadata/A0654187-3282-4DB6-B5A4-668A897D4D79&lt;/url&gt;&lt;/related-urls&gt;&lt;/urls&gt;&lt;remote-database-name&gt;Beetaloo_GBA_Hydrochemistry.xlsx&lt;/remote-database-name&gt;&lt;language&gt;English&lt;/language&gt;&lt;access-date&gt;03 April 2019&lt;/access-date&gt;&lt;/record&gt;&lt;/Cite&gt;&lt;/EndNote&gt;</w:instrText>
      </w:r>
      <w:r w:rsidR="00A541ED" w:rsidRPr="7451D1E6">
        <w:rPr>
          <w:rFonts w:cs="Calibri"/>
        </w:rPr>
        <w:fldChar w:fldCharType="separate"/>
      </w:r>
      <w:r w:rsidR="008F30E0" w:rsidRPr="008F30E0">
        <w:rPr>
          <w:noProof/>
        </w:rPr>
        <w:t>(Geological and Bioregional Assessment Program, 2019h)</w:t>
      </w:r>
      <w:r w:rsidR="00A541ED" w:rsidRPr="7451D1E6">
        <w:fldChar w:fldCharType="end"/>
      </w:r>
      <w:r>
        <w:rPr>
          <w:rFonts w:cs="Calibri"/>
        </w:rPr>
        <w:t xml:space="preserve"> for interpretation.</w:t>
      </w:r>
    </w:p>
    <w:p w14:paraId="33F807D7" w14:textId="77777777" w:rsidR="00A06196" w:rsidRPr="006A28B9" w:rsidRDefault="00A06196" w:rsidP="00A06196">
      <w:pPr>
        <w:pStyle w:val="Heading6"/>
      </w:pPr>
      <w:r w:rsidRPr="006A28B9">
        <w:t>Standing water levels</w:t>
      </w:r>
    </w:p>
    <w:p w14:paraId="4D518AD0" w14:textId="44BF6DEA" w:rsidR="00A06196" w:rsidRPr="00226F20" w:rsidRDefault="00A06196" w:rsidP="00A06196">
      <w:pPr>
        <w:rPr>
          <w:rFonts w:cs="Calibri"/>
        </w:rPr>
      </w:pPr>
      <w:r>
        <w:rPr>
          <w:rFonts w:cs="Calibri"/>
        </w:rPr>
        <w:t xml:space="preserve">DENR indicated that a standing water level entry of ‘0’ in their groundwater well database </w:t>
      </w:r>
      <w:r w:rsidR="00A5685D">
        <w:rPr>
          <w:rFonts w:cs="Calibri"/>
        </w:rPr>
        <w:fldChar w:fldCharType="begin"/>
      </w:r>
      <w:r w:rsidR="005D0C32">
        <w:rPr>
          <w:rFonts w:cs="Calibri"/>
        </w:rPr>
        <w:instrText xml:space="preserve"> ADDIN EN.CITE &lt;EndNote&gt;&lt;Cite&gt;&lt;Author&gt;Department of Environment and Natural Resources (NT)&lt;/Author&gt;&lt;Year&gt;2018&lt;/Year&gt;&lt;RecNum&gt;1541&lt;/RecNum&gt;&lt;DisplayText&gt;(Department of Environment and Natural Resources (NT), 2018a)&lt;/DisplayText&gt;&lt;record&gt;&lt;rec-number&gt;1541&lt;/rec-number&gt;&lt;foreign-keys&gt;&lt;key app="EN" db-id="wdf9tzzdhw2saee559kv0vezt0wfsta0zedv" timestamp="1588042411"&gt;1541&lt;/key&gt;&lt;/foreign-keys&gt;&lt;ref-type name="Dataset"&gt;59&lt;/ref-type&gt;&lt;contributors&gt;&lt;authors&gt;&lt;author&gt;Department of Environment and Natural Resources (NT),&lt;/author&gt;&lt;/authors&gt;&lt;secondary-authors&gt;&lt;author&gt;Geoscience Australia,&lt;/author&gt;&lt;/secondary-authors&gt;&lt;/contributors&gt;&lt;titles&gt;&lt;title&gt;NT Groundwater Monitoring Bores Database&lt;/title&gt;&lt;/titles&gt;&lt;keywords&gt;&lt;keyword&gt;hydrogeology, WATER Quality&lt;/keyword&gt;&lt;/keywords&gt;&lt;dates&gt;&lt;year&gt;2018&lt;/year&gt;&lt;/dates&gt;&lt;pub-location&gt;Canberra&lt;/pub-location&gt;&lt;label&gt;527F422D-52CD-4D50-A5FA-923CBBB36C60&lt;/label&gt;&lt;urls&gt;&lt;related-urls&gt;&lt;url&gt;https://denr.nt.gov.au/&lt;/url&gt;&lt;/related-urls&gt;&lt;/urls&gt;&lt;custom2&gt;unit of observation&lt;/custom2&gt;&lt;custom3&gt;spatial&lt;/custom3&gt;&lt;custom4&gt;dataset&lt;/custom4&gt;&lt;access-date&gt;28 April 2020&lt;/access-date&gt;&lt;/record&gt;&lt;/Cite&gt;&lt;/EndNote&gt;</w:instrText>
      </w:r>
      <w:r w:rsidR="00A5685D">
        <w:rPr>
          <w:rFonts w:cs="Calibri"/>
        </w:rPr>
        <w:fldChar w:fldCharType="separate"/>
      </w:r>
      <w:r w:rsidR="005D0C32">
        <w:rPr>
          <w:rFonts w:cs="Calibri"/>
          <w:noProof/>
        </w:rPr>
        <w:t>(Department of Environment and Natural Resources (NT), 2018a)</w:t>
      </w:r>
      <w:r w:rsidR="00A5685D">
        <w:rPr>
          <w:rFonts w:cs="Calibri"/>
        </w:rPr>
        <w:fldChar w:fldCharType="end"/>
      </w:r>
      <w:r w:rsidR="00A5685D">
        <w:rPr>
          <w:rFonts w:cs="Calibri"/>
        </w:rPr>
        <w:t xml:space="preserve"> </w:t>
      </w:r>
      <w:r>
        <w:rPr>
          <w:rFonts w:cs="Calibri"/>
        </w:rPr>
        <w:t>signifies that a standing water level was not recorded.</w:t>
      </w:r>
      <w:r w:rsidR="00A5685D">
        <w:rPr>
          <w:rFonts w:cs="Calibri"/>
        </w:rPr>
        <w:t xml:space="preserve"> </w:t>
      </w:r>
      <w:r w:rsidR="00A5685D">
        <w:rPr>
          <w:rFonts w:cs="Calibri"/>
        </w:rPr>
        <w:fldChar w:fldCharType="begin"/>
      </w:r>
      <w:r w:rsidR="005D0C32">
        <w:rPr>
          <w:rFonts w:cs="Calibri"/>
        </w:rPr>
        <w:instrText xml:space="preserve"> ADDIN EN.CITE &lt;EndNote&gt;&lt;Cite AuthorYear="1"&gt;&lt;Author&gt;Department of Environment and Natural Resources (NT)&lt;/Author&gt;&lt;Year&gt;2018&lt;/Year&gt;&lt;RecNum&gt;1541&lt;/RecNum&gt;&lt;DisplayText&gt;Department of Environment and Natural Resources (NT) (2018a)&lt;/DisplayText&gt;&lt;record&gt;&lt;rec-number&gt;1541&lt;/rec-number&gt;&lt;foreign-keys&gt;&lt;key app="EN" db-id="wdf9tzzdhw2saee559kv0vezt0wfsta0zedv" timestamp="1588042411"&gt;1541&lt;/key&gt;&lt;/foreign-keys&gt;&lt;ref-type name="Dataset"&gt;59&lt;/ref-type&gt;&lt;contributors&gt;&lt;authors&gt;&lt;author&gt;Department of Environment and Natural Resources (NT),&lt;/author&gt;&lt;/authors&gt;&lt;secondary-authors&gt;&lt;author&gt;Geoscience Australia,&lt;/author&gt;&lt;/secondary-authors&gt;&lt;/contributors&gt;&lt;titles&gt;&lt;title&gt;NT Groundwater Monitoring Bores Database&lt;/title&gt;&lt;/titles&gt;&lt;keywords&gt;&lt;keyword&gt;hydrogeology, WATER Quality&lt;/keyword&gt;&lt;/keywords&gt;&lt;dates&gt;&lt;year&gt;2018&lt;/year&gt;&lt;/dates&gt;&lt;pub-location&gt;Canberra&lt;/pub-location&gt;&lt;label&gt;527F422D-52CD-4D50-A5FA-923CBBB36C60&lt;/label&gt;&lt;urls&gt;&lt;related-urls&gt;&lt;url&gt;https://denr.nt.gov.au/&lt;/url&gt;&lt;/related-urls&gt;&lt;/urls&gt;&lt;custom2&gt;unit of observation&lt;/custom2&gt;&lt;custom3&gt;spatial&lt;/custom3&gt;&lt;custom4&gt;dataset&lt;/custom4&gt;&lt;access-date&gt;28 April 2020&lt;/access-date&gt;&lt;/record&gt;&lt;/Cite&gt;&lt;/EndNote&gt;</w:instrText>
      </w:r>
      <w:r w:rsidR="00A5685D">
        <w:rPr>
          <w:rFonts w:cs="Calibri"/>
        </w:rPr>
        <w:fldChar w:fldCharType="separate"/>
      </w:r>
      <w:r w:rsidR="005D0C32">
        <w:rPr>
          <w:rFonts w:cs="Calibri"/>
          <w:noProof/>
        </w:rPr>
        <w:t>Department of Environment and Natural Resources (NT) (2018a)</w:t>
      </w:r>
      <w:r w:rsidR="00A5685D">
        <w:rPr>
          <w:rFonts w:cs="Calibri"/>
        </w:rPr>
        <w:fldChar w:fldCharType="end"/>
      </w:r>
      <w:r>
        <w:rPr>
          <w:rFonts w:cs="Calibri"/>
        </w:rPr>
        <w:t xml:space="preserve"> was </w:t>
      </w:r>
      <w:r w:rsidR="00126B2A">
        <w:rPr>
          <w:rFonts w:cs="Calibri"/>
        </w:rPr>
        <w:t xml:space="preserve">therefore </w:t>
      </w:r>
      <w:r>
        <w:rPr>
          <w:rFonts w:cs="Calibri"/>
        </w:rPr>
        <w:t xml:space="preserve">filtered to include only those wells with a standing water level other than ‘0’ in the </w:t>
      </w:r>
      <w:r w:rsidR="000C1920">
        <w:rPr>
          <w:rFonts w:cs="Calibri"/>
        </w:rPr>
        <w:t>Beetaloo GBA extended region</w:t>
      </w:r>
      <w:r>
        <w:rPr>
          <w:rFonts w:cs="Calibri"/>
        </w:rPr>
        <w:t xml:space="preserve">. The resulting database is </w:t>
      </w:r>
      <w:r w:rsidR="00A541ED">
        <w:rPr>
          <w:rFonts w:cs="Calibri"/>
        </w:rPr>
        <w:fldChar w:fldCharType="begin"/>
      </w:r>
      <w:r w:rsidR="008F30E0">
        <w:rPr>
          <w:rFonts w:cs="Calibri"/>
        </w:rPr>
        <w:instrText xml:space="preserve"> ADDIN EN.CITE &lt;EndNote&gt;&lt;Cite AuthorYear="1"&gt;&lt;Author&gt;Geological and Bioregional Assessment Program&lt;/Author&gt;&lt;Year&gt;2019&lt;/Year&gt;&lt;RecNum&gt;892&lt;/RecNum&gt;&lt;DisplayText&gt;Geological and Bioregional Assessment Program (2019g)&lt;/DisplayText&gt;&lt;record&gt;&lt;rec-number&gt;892&lt;/rec-number&gt;&lt;foreign-keys&gt;&lt;key app="EN" db-id="wdf9tzzdhw2saee559kv0vezt0wfsta0zedv" timestamp="1554077721"&gt;892&lt;/key&gt;&lt;/foreign-keys&gt;&lt;ref-type name="Dataset"&gt;59&lt;/ref-type&gt;&lt;contributors&gt;&lt;authors&gt;&lt;author&gt;Geological and Bioregional Assessment Program,&lt;/author&gt;&lt;/authors&gt;&lt;secondary-authors&gt;&lt;author&gt;Geoscience Australia,&lt;/author&gt;&lt;/secondary-authors&gt;&lt;/contributors&gt;&lt;titles&gt;&lt;title&gt;Standing water levels in the Beetaloo GBA groundwater bore data extraction area&lt;/title&gt;&lt;/titles&gt;&lt;dates&gt;&lt;year&gt;2019&lt;/year&gt;&lt;/dates&gt;&lt;label&gt;EB77B337-F46B-4B30-AC44-88357E8061FB&lt;/label&gt;&lt;urls&gt;&lt;related-urls&gt;&lt;url&gt;https://repo.bioregionalassessments.gov.au/metadata/EB77B337-F46B-4B30-AC44-88357E8061FB&lt;/url&gt;&lt;/related-urls&gt;&lt;/urls&gt;&lt;custom3&gt;ArcGIS shapefile&lt;/custom3&gt;&lt;remote-database-name&gt;Beetaloo_GBA_SWL.shp&lt;/remote-database-name&gt;&lt;language&gt;English&lt;/language&gt;&lt;access-date&gt;10 October 2018&lt;/access-date&gt;&lt;/record&gt;&lt;/Cite&gt;&lt;/EndNote&gt;</w:instrText>
      </w:r>
      <w:r w:rsidR="00A541ED">
        <w:rPr>
          <w:rFonts w:cs="Calibri"/>
        </w:rPr>
        <w:fldChar w:fldCharType="separate"/>
      </w:r>
      <w:r w:rsidR="008F30E0">
        <w:rPr>
          <w:rFonts w:cs="Calibri"/>
          <w:noProof/>
        </w:rPr>
        <w:t>Geological and Bioregional Assessment Program (2019g)</w:t>
      </w:r>
      <w:r w:rsidR="00A541ED">
        <w:rPr>
          <w:rFonts w:cs="Calibri"/>
        </w:rPr>
        <w:fldChar w:fldCharType="end"/>
      </w:r>
      <w:r>
        <w:rPr>
          <w:rFonts w:cs="Calibri"/>
        </w:rPr>
        <w:t>.</w:t>
      </w:r>
      <w:r w:rsidR="007A53B4">
        <w:rPr>
          <w:rFonts w:cs="Calibri"/>
        </w:rPr>
        <w:t xml:space="preserve"> </w:t>
      </w:r>
    </w:p>
    <w:p w14:paraId="231C8628" w14:textId="0F04A840" w:rsidR="008F76EE" w:rsidRPr="001F0A6B" w:rsidRDefault="7451D1E6" w:rsidP="00A06196">
      <w:pPr>
        <w:pStyle w:val="Heading6"/>
      </w:pPr>
      <w:bookmarkStart w:id="169" w:name="_Ref529967641"/>
      <w:bookmarkStart w:id="170" w:name="_Ref14875659"/>
      <w:r>
        <w:t>Pressure, temperature and and groundwater level data</w:t>
      </w:r>
      <w:bookmarkEnd w:id="169"/>
      <w:bookmarkEnd w:id="170"/>
    </w:p>
    <w:p w14:paraId="6472586B" w14:textId="2395D2C5" w:rsidR="009B5987" w:rsidRPr="009B5987" w:rsidRDefault="3C583D25" w:rsidP="009B5987">
      <w:pPr>
        <w:pStyle w:val="BodyText"/>
      </w:pPr>
      <w:r>
        <w:t>Pressure and temperature data collected from drill stem tests (DST) and wireline geophysical logging of petroleum wells were compiled into a single dataset</w:t>
      </w:r>
      <w:r w:rsidR="004D6411">
        <w:t xml:space="preserve"> </w:t>
      </w:r>
      <w:r w:rsidR="004D6411">
        <w:fldChar w:fldCharType="begin"/>
      </w:r>
      <w:r w:rsidR="008F30E0">
        <w:instrText xml:space="preserve"> ADDIN EN.CITE &lt;EndNote&gt;&lt;Cite&gt;&lt;Author&gt;Geological and Bioregional Assessment Program&lt;/Author&gt;&lt;Year&gt;2019&lt;/Year&gt;&lt;RecNum&gt;1003&lt;/RecNum&gt;&lt;DisplayText&gt;(Geological and Bioregional Assessment Program, 2019f)&lt;/DisplayText&gt;&lt;record&gt;&lt;rec-number&gt;1003&lt;/rec-number&gt;&lt;foreign-keys&gt;&lt;key app="EN" db-id="wdf9tzzdhw2saee559kv0vezt0wfsta0zedv" timestamp="1559184265"&gt;1003&lt;/key&gt;&lt;/foreign-keys&gt;&lt;ref-type name="Dataset"&gt;59&lt;/ref-type&gt;&lt;contributors&gt;&lt;authors&gt;&lt;author&gt;Geological and Bioregional Assessment Program,&lt;/author&gt;&lt;/authors&gt;&lt;/contributors&gt;&lt;titles&gt;&lt;title&gt;Beetaloo formation pressure and temperature data compiled from petroleum well completion reports&lt;/title&gt;&lt;/titles&gt;&lt;dates&gt;&lt;year&gt;2019&lt;/year&gt;&lt;/dates&gt;&lt;label&gt;65CF9145-483A-45E5-9349-CC66647731F1&lt;/label&gt;&lt;urls&gt;&lt;related-urls&gt;&lt;url&gt;&lt;style face="underline" font="default" size="100%"&gt;https://repo.bioregionalassessments.gov.au/metadata/65CF9145-483A-45E5-9349-CC66647731F1&lt;/style&gt;&lt;/url&gt;&lt;/related-urls&gt;&lt;/urls&gt;&lt;access-date&gt;08 March 2019&lt;/access-date&gt;&lt;/record&gt;&lt;/Cite&gt;&lt;/EndNote&gt;</w:instrText>
      </w:r>
      <w:r w:rsidR="004D6411">
        <w:fldChar w:fldCharType="separate"/>
      </w:r>
      <w:r w:rsidR="008F30E0">
        <w:rPr>
          <w:noProof/>
        </w:rPr>
        <w:t>(Geological and Bioregional Assessment Program, 2019f)</w:t>
      </w:r>
      <w:r w:rsidR="004D6411">
        <w:fldChar w:fldCharType="end"/>
      </w:r>
      <w:r>
        <w:t>. Corrected hydraulic head (groundwater level) was derived from the final shut-in pressures</w:t>
      </w:r>
      <w:r w:rsidR="00F76E0D">
        <w:t xml:space="preserve"> </w:t>
      </w:r>
      <w:r w:rsidR="00F76E0D">
        <w:fldChar w:fldCharType="begin"/>
      </w:r>
      <w:r w:rsidR="008F30E0">
        <w:instrText xml:space="preserve"> ADDIN EN.CITE &lt;EndNote&gt;&lt;Cite&gt;&lt;Author&gt;Geological and Bioregional Assessment Program&lt;/Author&gt;&lt;Year&gt;2019&lt;/Year&gt;&lt;RecNum&gt;1003&lt;/RecNum&gt;&lt;DisplayText&gt;(Geological and Bioregional Assessment Program, 2019f)&lt;/DisplayText&gt;&lt;record&gt;&lt;rec-number&gt;1003&lt;/rec-number&gt;&lt;foreign-keys&gt;&lt;key app="EN" db-id="wdf9tzzdhw2saee559kv0vezt0wfsta0zedv" timestamp="1559184265"&gt;1003&lt;/key&gt;&lt;/foreign-keys&gt;&lt;ref-type name="Dataset"&gt;59&lt;/ref-type&gt;&lt;contributors&gt;&lt;authors&gt;&lt;author&gt;Geological and Bioregional Assessment Program,&lt;/author&gt;&lt;/authors&gt;&lt;/contributors&gt;&lt;titles&gt;&lt;title&gt;Beetaloo formation pressure and temperature data compiled from petroleum well completion reports&lt;/title&gt;&lt;/titles&gt;&lt;dates&gt;&lt;year&gt;2019&lt;/year&gt;&lt;/dates&gt;&lt;label&gt;65CF9145-483A-45E5-9349-CC66647731F1&lt;/label&gt;&lt;urls&gt;&lt;related-urls&gt;&lt;url&gt;&lt;style face="underline" font="default" size="100%"&gt;https://repo.bioregionalassessments.gov.au/metadata/65CF9145-483A-45E5-9349-CC66647731F1&lt;/style&gt;&lt;/url&gt;&lt;/related-urls&gt;&lt;/urls&gt;&lt;access-date&gt;08 March 2019&lt;/access-date&gt;&lt;/record&gt;&lt;/Cite&gt;&lt;/EndNote&gt;</w:instrText>
      </w:r>
      <w:r w:rsidR="00F76E0D">
        <w:fldChar w:fldCharType="separate"/>
      </w:r>
      <w:r w:rsidR="008F30E0">
        <w:rPr>
          <w:noProof/>
        </w:rPr>
        <w:t>(Geological and Bioregional Assessment Program, 2019f)</w:t>
      </w:r>
      <w:r w:rsidR="00F76E0D">
        <w:fldChar w:fldCharType="end"/>
      </w:r>
      <w:r>
        <w:t xml:space="preserve"> </w:t>
      </w:r>
      <w:r w:rsidR="000C1920">
        <w:t>(</w:t>
      </w:r>
      <w:r>
        <w:t>see method</w:t>
      </w:r>
      <w:r w:rsidR="000C1920">
        <w:t>s</w:t>
      </w:r>
      <w:r>
        <w:t xml:space="preserve"> snapshot belo</w:t>
      </w:r>
      <w:r w:rsidR="004D6411">
        <w:t>w)</w:t>
      </w:r>
      <w:r>
        <w:t xml:space="preserve">. The data are of suitable quality for </w:t>
      </w:r>
      <w:r w:rsidR="000C1920">
        <w:t>this</w:t>
      </w:r>
      <w:r>
        <w:t xml:space="preserve"> assessment. However, further data evaluation is required for use in more local scale interpretations. </w:t>
      </w:r>
    </w:p>
    <w:p w14:paraId="08BC0C88" w14:textId="28483E8D" w:rsidR="00F44207" w:rsidRPr="00560FEB" w:rsidRDefault="00F44207" w:rsidP="003E1F1E">
      <w:pPr>
        <w:pStyle w:val="Heading7"/>
        <w:rPr>
          <w:rStyle w:val="Italic"/>
        </w:rPr>
      </w:pPr>
      <w:r w:rsidRPr="00450913">
        <w:rPr>
          <w:rStyle w:val="Italic"/>
        </w:rPr>
        <w:t xml:space="preserve">Methods snapshot: </w:t>
      </w:r>
      <w:r w:rsidR="004F499D" w:rsidRPr="00273E9B">
        <w:rPr>
          <w:rStyle w:val="Italic"/>
        </w:rPr>
        <w:t>Fresh</w:t>
      </w:r>
      <w:r w:rsidR="00C30378" w:rsidRPr="00273E9B">
        <w:rPr>
          <w:rStyle w:val="Italic"/>
        </w:rPr>
        <w:t>water</w:t>
      </w:r>
      <w:r w:rsidRPr="00273E9B">
        <w:rPr>
          <w:rStyle w:val="Italic"/>
        </w:rPr>
        <w:t xml:space="preserve"> equivalent hydraulic head</w:t>
      </w:r>
    </w:p>
    <w:p w14:paraId="10508ACB" w14:textId="61F1CAEF" w:rsidR="00F44207" w:rsidRPr="00F44207" w:rsidRDefault="00390461" w:rsidP="00F44207">
      <w:pPr>
        <w:pStyle w:val="Summary"/>
        <w:rPr>
          <w:rStyle w:val="Italic"/>
        </w:rPr>
      </w:pPr>
      <w:r>
        <w:rPr>
          <w:rStyle w:val="Italic"/>
        </w:rPr>
        <w:t xml:space="preserve">In order to </w:t>
      </w:r>
      <w:r w:rsidR="00C23DCD">
        <w:rPr>
          <w:rStyle w:val="Italic"/>
        </w:rPr>
        <w:t xml:space="preserve">accurately </w:t>
      </w:r>
      <w:r>
        <w:rPr>
          <w:rStyle w:val="Italic"/>
        </w:rPr>
        <w:t>compare hydraulic head</w:t>
      </w:r>
      <w:r w:rsidR="00C23DCD">
        <w:rPr>
          <w:rStyle w:val="Italic"/>
        </w:rPr>
        <w:t xml:space="preserve"> data, corrections need to be made for </w:t>
      </w:r>
      <w:r w:rsidR="008E7D6B">
        <w:rPr>
          <w:rStyle w:val="Italic"/>
        </w:rPr>
        <w:t xml:space="preserve">water </w:t>
      </w:r>
      <w:r w:rsidR="00C23DCD">
        <w:rPr>
          <w:rStyle w:val="Italic"/>
        </w:rPr>
        <w:t xml:space="preserve">density variations </w:t>
      </w:r>
      <w:r w:rsidR="00B9306F">
        <w:rPr>
          <w:rStyle w:val="Italic"/>
        </w:rPr>
        <w:t>caused by</w:t>
      </w:r>
      <w:r w:rsidR="00C23DCD">
        <w:rPr>
          <w:rStyle w:val="Italic"/>
        </w:rPr>
        <w:t xml:space="preserve"> </w:t>
      </w:r>
      <w:r w:rsidR="003E50FD">
        <w:rPr>
          <w:rStyle w:val="Italic"/>
        </w:rPr>
        <w:t xml:space="preserve">changes in </w:t>
      </w:r>
      <w:r w:rsidR="00C23DCD">
        <w:rPr>
          <w:rStyle w:val="Italic"/>
        </w:rPr>
        <w:t>temperature and salinity.</w:t>
      </w:r>
      <w:r w:rsidR="00B3023A">
        <w:rPr>
          <w:rStyle w:val="Italic"/>
        </w:rPr>
        <w:t xml:space="preserve"> The following methodology was used to convert raw pressure data</w:t>
      </w:r>
      <w:r w:rsidR="00100330">
        <w:rPr>
          <w:rStyle w:val="Italic"/>
        </w:rPr>
        <w:t xml:space="preserve"> </w:t>
      </w:r>
      <w:r w:rsidR="006A6C54">
        <w:rPr>
          <w:rStyle w:val="Italic"/>
        </w:rPr>
        <w:t xml:space="preserve">from Proterozoic units </w:t>
      </w:r>
      <w:r w:rsidR="00100330">
        <w:rPr>
          <w:rStyle w:val="Italic"/>
        </w:rPr>
        <w:t xml:space="preserve">to an equivalent freshwater hydraulic head. </w:t>
      </w:r>
      <w:r w:rsidR="006A6C54">
        <w:rPr>
          <w:rStyle w:val="Italic"/>
        </w:rPr>
        <w:t xml:space="preserve">Groundwater from younger units </w:t>
      </w:r>
      <w:r w:rsidR="00B9306F">
        <w:rPr>
          <w:rStyle w:val="Italic"/>
        </w:rPr>
        <w:t xml:space="preserve">is </w:t>
      </w:r>
      <w:r w:rsidR="006A6C54">
        <w:rPr>
          <w:rStyle w:val="Italic"/>
        </w:rPr>
        <w:t>not subject to the same temperature and salinity extremes</w:t>
      </w:r>
      <w:r w:rsidR="00D526FF">
        <w:rPr>
          <w:rStyle w:val="Italic"/>
        </w:rPr>
        <w:t xml:space="preserve"> and </w:t>
      </w:r>
      <w:r w:rsidR="008E7D6B">
        <w:rPr>
          <w:rStyle w:val="Italic"/>
        </w:rPr>
        <w:t xml:space="preserve">was </w:t>
      </w:r>
      <w:r w:rsidR="009B3A53">
        <w:rPr>
          <w:rStyle w:val="Italic"/>
        </w:rPr>
        <w:t xml:space="preserve">therefore </w:t>
      </w:r>
      <w:r w:rsidR="008E7D6B">
        <w:rPr>
          <w:rStyle w:val="Italic"/>
        </w:rPr>
        <w:t>not corrected.</w:t>
      </w:r>
      <w:r w:rsidR="006A6C54">
        <w:rPr>
          <w:rStyle w:val="Italic"/>
        </w:rPr>
        <w:t xml:space="preserve"> </w:t>
      </w:r>
    </w:p>
    <w:p w14:paraId="4C2F080E" w14:textId="40352F01" w:rsidR="00F44207" w:rsidRPr="00F44207" w:rsidRDefault="00F44207" w:rsidP="00F44207">
      <w:pPr>
        <w:pStyle w:val="Summary"/>
        <w:rPr>
          <w:rStyle w:val="Italic"/>
        </w:rPr>
      </w:pPr>
      <w:r w:rsidRPr="00F44207">
        <w:rPr>
          <w:rStyle w:val="Italic"/>
        </w:rPr>
        <w:t>•</w:t>
      </w:r>
      <w:r w:rsidRPr="00F44207">
        <w:rPr>
          <w:rStyle w:val="Italic"/>
        </w:rPr>
        <w:tab/>
      </w:r>
      <w:r w:rsidR="00CD5664">
        <w:rPr>
          <w:rStyle w:val="Italic"/>
        </w:rPr>
        <w:t>Quality</w:t>
      </w:r>
      <w:r w:rsidRPr="00F44207">
        <w:rPr>
          <w:rStyle w:val="Italic"/>
        </w:rPr>
        <w:t xml:space="preserve"> control</w:t>
      </w:r>
      <w:r w:rsidR="00CD5664">
        <w:rPr>
          <w:rStyle w:val="Italic"/>
        </w:rPr>
        <w:t xml:space="preserve">: </w:t>
      </w:r>
      <w:r w:rsidRPr="00F44207">
        <w:rPr>
          <w:rStyle w:val="Italic"/>
        </w:rPr>
        <w:t>For DSTs</w:t>
      </w:r>
      <w:r w:rsidR="008272C5">
        <w:rPr>
          <w:rStyle w:val="Italic"/>
        </w:rPr>
        <w:t>, only</w:t>
      </w:r>
      <w:r w:rsidR="0076504C">
        <w:rPr>
          <w:rStyle w:val="Italic"/>
        </w:rPr>
        <w:t xml:space="preserve"> those</w:t>
      </w:r>
      <w:r w:rsidRPr="00F44207">
        <w:rPr>
          <w:rStyle w:val="Italic"/>
        </w:rPr>
        <w:t xml:space="preserve"> classed as</w:t>
      </w:r>
      <w:r w:rsidR="001D059C">
        <w:rPr>
          <w:rStyle w:val="Italic"/>
        </w:rPr>
        <w:t xml:space="preserve"> ‘</w:t>
      </w:r>
      <w:r w:rsidRPr="00F44207">
        <w:rPr>
          <w:rStyle w:val="Italic"/>
        </w:rPr>
        <w:t>successful</w:t>
      </w:r>
      <w:r w:rsidR="00531519">
        <w:rPr>
          <w:rStyle w:val="Italic"/>
        </w:rPr>
        <w:t>’</w:t>
      </w:r>
      <w:r w:rsidRPr="00F44207">
        <w:rPr>
          <w:rStyle w:val="Italic"/>
        </w:rPr>
        <w:t xml:space="preserve"> by the operator were used. Only </w:t>
      </w:r>
      <w:r w:rsidR="001D059C">
        <w:rPr>
          <w:rStyle w:val="Italic"/>
        </w:rPr>
        <w:t xml:space="preserve">data-complete </w:t>
      </w:r>
      <w:r w:rsidRPr="00F44207">
        <w:rPr>
          <w:rStyle w:val="Italic"/>
        </w:rPr>
        <w:t xml:space="preserve">DSTs </w:t>
      </w:r>
      <w:r w:rsidRPr="00560FEB">
        <w:rPr>
          <w:rStyle w:val="Italic"/>
        </w:rPr>
        <w:t>w</w:t>
      </w:r>
      <w:r w:rsidR="001D059C">
        <w:rPr>
          <w:rStyle w:val="Italic"/>
        </w:rPr>
        <w:t>ere</w:t>
      </w:r>
      <w:r w:rsidRPr="00560FEB">
        <w:rPr>
          <w:rStyle w:val="Italic"/>
        </w:rPr>
        <w:t xml:space="preserve"> used. Only DSTs where the final shut-in pressure was less than final hydrostatic pressure were used</w:t>
      </w:r>
      <w:r w:rsidR="00560FEB" w:rsidRPr="00560FEB">
        <w:rPr>
          <w:rStyle w:val="Italic"/>
        </w:rPr>
        <w:t>.</w:t>
      </w:r>
      <w:r w:rsidR="008272C5" w:rsidRPr="00560FEB">
        <w:rPr>
          <w:rStyle w:val="Italic"/>
        </w:rPr>
        <w:t xml:space="preserve"> </w:t>
      </w:r>
      <w:r w:rsidRPr="00560FEB">
        <w:rPr>
          <w:rStyle w:val="Italic"/>
        </w:rPr>
        <w:t>For</w:t>
      </w:r>
      <w:r w:rsidR="0076504C">
        <w:rPr>
          <w:rStyle w:val="Italic"/>
        </w:rPr>
        <w:t xml:space="preserve"> wireline pressure data, </w:t>
      </w:r>
      <w:r w:rsidRPr="00F44207">
        <w:rPr>
          <w:rStyle w:val="Italic"/>
        </w:rPr>
        <w:t xml:space="preserve">only tests classified as </w:t>
      </w:r>
      <w:r w:rsidR="000C1920">
        <w:rPr>
          <w:rStyle w:val="Italic"/>
        </w:rPr>
        <w:t>‘</w:t>
      </w:r>
      <w:r w:rsidRPr="00F44207">
        <w:rPr>
          <w:rStyle w:val="Italic"/>
        </w:rPr>
        <w:t>good</w:t>
      </w:r>
      <w:r w:rsidR="000C1920">
        <w:rPr>
          <w:rStyle w:val="Italic"/>
        </w:rPr>
        <w:t>’</w:t>
      </w:r>
      <w:r w:rsidRPr="00F44207">
        <w:rPr>
          <w:rStyle w:val="Italic"/>
        </w:rPr>
        <w:t xml:space="preserve"> in the relevant well completion report was utilised. While compiled in the dataset for completeness, wireline pressures tests reported as </w:t>
      </w:r>
      <w:r w:rsidR="000C1920">
        <w:rPr>
          <w:rStyle w:val="Italic"/>
        </w:rPr>
        <w:t>‘</w:t>
      </w:r>
      <w:r w:rsidRPr="00F44207">
        <w:rPr>
          <w:rStyle w:val="Italic"/>
        </w:rPr>
        <w:t>curtailed</w:t>
      </w:r>
      <w:r w:rsidR="000C1920">
        <w:rPr>
          <w:rStyle w:val="Italic"/>
        </w:rPr>
        <w:t>’</w:t>
      </w:r>
      <w:r w:rsidRPr="00F44207">
        <w:rPr>
          <w:rStyle w:val="Italic"/>
        </w:rPr>
        <w:t xml:space="preserve">, </w:t>
      </w:r>
      <w:r w:rsidR="000C1920">
        <w:rPr>
          <w:rStyle w:val="Italic"/>
        </w:rPr>
        <w:t>‘</w:t>
      </w:r>
      <w:r w:rsidRPr="00F44207">
        <w:rPr>
          <w:rStyle w:val="Italic"/>
        </w:rPr>
        <w:t>no seal</w:t>
      </w:r>
      <w:r w:rsidR="000C1920">
        <w:rPr>
          <w:rStyle w:val="Italic"/>
        </w:rPr>
        <w:t>’</w:t>
      </w:r>
      <w:r w:rsidRPr="00F44207">
        <w:rPr>
          <w:rStyle w:val="Italic"/>
        </w:rPr>
        <w:t xml:space="preserve"> or </w:t>
      </w:r>
      <w:r w:rsidR="00FF6584">
        <w:rPr>
          <w:rStyle w:val="Italic"/>
        </w:rPr>
        <w:t xml:space="preserve">other </w:t>
      </w:r>
      <w:r w:rsidRPr="00F44207">
        <w:rPr>
          <w:rStyle w:val="Italic"/>
        </w:rPr>
        <w:t xml:space="preserve">issue were not converted to equivalent hydraulic head. Further detail on formation test quality control methods are outlined in </w:t>
      </w:r>
      <w:r w:rsidR="00A541ED">
        <w:rPr>
          <w:rStyle w:val="Italic"/>
        </w:rPr>
        <w:fldChar w:fldCharType="begin"/>
      </w:r>
      <w:r w:rsidR="00F76E0D">
        <w:rPr>
          <w:rStyle w:val="Italic"/>
        </w:rPr>
        <w:instrText xml:space="preserve"> ADDIN EN.CITE &lt;EndNote&gt;&lt;Cite AuthorYear="1"&gt;&lt;Author&gt;Hortle&lt;/Author&gt;&lt;Year&gt;2013&lt;/Year&gt;&lt;RecNum&gt;457&lt;/RecNum&gt;&lt;DisplayText&gt;Hortle et al. (2013)&lt;/DisplayText&gt;&lt;record&gt;&lt;rec-number&gt;457&lt;/rec-number&gt;&lt;foreign-keys&gt;&lt;key app="EN" db-id="wdf9tzzdhw2saee559kv0vezt0wfsta0zedv" timestamp="1544416830"&gt;457&lt;/key&gt;&lt;key app="ENWeb" db-id=""&gt;0&lt;/key&gt;&lt;/foreign-keys&gt;&lt;ref-type name="Journal Article"&gt;17&lt;/ref-type&gt;&lt;contributors&gt;&lt;authors&gt;&lt;author&gt;Hortle, A.&lt;/author&gt;&lt;author&gt;Otto, C.&lt;/author&gt;&lt;author&gt;Underschultz, J.&lt;/author&gt;&lt;/authors&gt;&lt;/contributors&gt;&lt;titles&gt;&lt;title&gt;A Quality Control System to Reduce Uncertainty in Interpreting Formation Pressures for Reservoir and Basin Pressure System Analysis&lt;/title&gt;&lt;secondary-title&gt;Journal of Petroleum Geology&lt;/secondary-title&gt;&lt;/titles&gt;&lt;periodical&gt;&lt;full-title&gt;Journal of Petroleum Geology&lt;/full-title&gt;&lt;/periodical&gt;&lt;pages&gt;163-177&lt;/pages&gt;&lt;volume&gt;36&lt;/volume&gt;&lt;number&gt;2&lt;/number&gt;&lt;keywords&gt;&lt;keyword&gt;formation pressure&lt;/keyword&gt;&lt;keyword&gt;quality control&lt;/keyword&gt;&lt;keyword&gt;basin analysis&lt;/keyword&gt;&lt;keyword&gt;wireline tests&lt;/keyword&gt;&lt;keyword&gt;pressure testsing&lt;/keyword&gt;&lt;/keywords&gt;&lt;dates&gt;&lt;year&gt;2013&lt;/year&gt;&lt;/dates&gt;&lt;urls&gt;&lt;related-urls&gt;&lt;url&gt;&lt;style face="underline" font="default" size="100%"&gt;https://onlinelibrary.wiley.com/doi/abs/10.1111/jpg.12549&lt;/style&gt;&lt;/url&gt;&lt;/related-urls&gt;&lt;/urls&gt;&lt;electronic-resource-num&gt;doi:10.1111/jpg.12549&lt;/electronic-resource-num&gt;&lt;/record&gt;&lt;/Cite&gt;&lt;/EndNote&gt;</w:instrText>
      </w:r>
      <w:r w:rsidR="00A541ED">
        <w:rPr>
          <w:rStyle w:val="Italic"/>
        </w:rPr>
        <w:fldChar w:fldCharType="separate"/>
      </w:r>
      <w:r w:rsidR="000C1920">
        <w:rPr>
          <w:rStyle w:val="Italic"/>
          <w:noProof/>
        </w:rPr>
        <w:t>Hortle et al. (2013)</w:t>
      </w:r>
      <w:r w:rsidR="00A541ED">
        <w:rPr>
          <w:rStyle w:val="Italic"/>
        </w:rPr>
        <w:fldChar w:fldCharType="end"/>
      </w:r>
      <w:r w:rsidR="00DE21EE">
        <w:rPr>
          <w:rStyle w:val="Italic"/>
        </w:rPr>
        <w:t>.</w:t>
      </w:r>
    </w:p>
    <w:p w14:paraId="28A1D04F" w14:textId="5ECBB2AD" w:rsidR="00F44207" w:rsidRPr="00F44207" w:rsidRDefault="00F44207" w:rsidP="00F44207">
      <w:pPr>
        <w:pStyle w:val="Summary"/>
        <w:rPr>
          <w:rStyle w:val="Italic"/>
        </w:rPr>
      </w:pPr>
      <w:r w:rsidRPr="00F44207">
        <w:rPr>
          <w:rStyle w:val="Italic"/>
        </w:rPr>
        <w:t>•</w:t>
      </w:r>
      <w:r w:rsidRPr="00F44207">
        <w:rPr>
          <w:rStyle w:val="Italic"/>
        </w:rPr>
        <w:tab/>
        <w:t xml:space="preserve">Where data passed quality assurance checking, pressure measurements reported in pounds per square inch absolute (PSIA) were converted to PSI gauge pressure (PSIG) according to </w:t>
      </w:r>
      <w:r w:rsidR="00832DFE">
        <w:rPr>
          <w:rStyle w:val="Italic"/>
        </w:rPr>
        <w:t xml:space="preserve">the equation </w:t>
      </w:r>
      <w:r w:rsidRPr="00F44207">
        <w:rPr>
          <w:rStyle w:val="Italic"/>
        </w:rPr>
        <w:t xml:space="preserve">PSIG = PSIA </w:t>
      </w:r>
      <w:r w:rsidR="000C1920">
        <w:rPr>
          <w:rStyle w:val="Italic"/>
          <w:rFonts w:cs="Calibri"/>
        </w:rPr>
        <w:t>–</w:t>
      </w:r>
      <w:r w:rsidRPr="00F44207">
        <w:rPr>
          <w:rStyle w:val="Italic"/>
        </w:rPr>
        <w:t xml:space="preserve"> 14.7</w:t>
      </w:r>
      <w:r w:rsidR="00FF6584">
        <w:rPr>
          <w:rStyle w:val="Italic"/>
        </w:rPr>
        <w:t>.</w:t>
      </w:r>
    </w:p>
    <w:p w14:paraId="1304067D" w14:textId="2DAED957" w:rsidR="00F44207" w:rsidRDefault="00F44207" w:rsidP="00F44207">
      <w:pPr>
        <w:pStyle w:val="Summary"/>
        <w:rPr>
          <w:rStyle w:val="Italic"/>
        </w:rPr>
      </w:pPr>
      <w:r w:rsidRPr="00F44207">
        <w:rPr>
          <w:rStyle w:val="Italic"/>
        </w:rPr>
        <w:t>•</w:t>
      </w:r>
      <w:r w:rsidRPr="00F44207">
        <w:rPr>
          <w:rStyle w:val="Italic"/>
        </w:rPr>
        <w:tab/>
        <w:t xml:space="preserve">Pressures were converted to </w:t>
      </w:r>
      <w:r w:rsidRPr="00531519">
        <w:rPr>
          <w:rStyle w:val="Italic"/>
        </w:rPr>
        <w:t>environmental hydraulic head and equivalent freshwater hydraulic head using methods in</w:t>
      </w:r>
      <w:r w:rsidR="00DE21EE">
        <w:rPr>
          <w:rStyle w:val="Italic"/>
        </w:rPr>
        <w:t xml:space="preserve"> </w:t>
      </w:r>
      <w:r w:rsidR="00A541ED">
        <w:rPr>
          <w:rStyle w:val="Italic"/>
        </w:rPr>
        <w:fldChar w:fldCharType="begin"/>
      </w:r>
      <w:r w:rsidR="00F76E0D">
        <w:rPr>
          <w:rStyle w:val="Italic"/>
        </w:rPr>
        <w:instrText xml:space="preserve"> ADDIN EN.CITE &lt;EndNote&gt;&lt;Cite AuthorYear="1"&gt;&lt;Author&gt;Post&lt;/Author&gt;&lt;Year&gt;2007&lt;/Year&gt;&lt;RecNum&gt;533&lt;/RecNum&gt;&lt;DisplayText&gt;Post et al. (2007)&lt;/DisplayText&gt;&lt;record&gt;&lt;rec-number&gt;533&lt;/rec-number&gt;&lt;foreign-keys&gt;&lt;key app="EN" db-id="wdf9tzzdhw2saee559kv0vezt0wfsta0zedv" timestamp="1544417644"&gt;533&lt;/key&gt;&lt;key app="ENWeb" db-id=""&gt;0&lt;/key&gt;&lt;/foreign-keys&gt;&lt;ref-type name="Journal Article"&gt;17&lt;/ref-type&gt;&lt;contributors&gt;&lt;authors&gt;&lt;author&gt;Post, Vincent&lt;/author&gt;&lt;author&gt;Kooi, Henk&lt;/author&gt;&lt;author&gt;Simmons, Craig&lt;/author&gt;&lt;/authors&gt;&lt;/contributors&gt;&lt;titles&gt;&lt;title&gt;Using Hydraulic Head Measurements in Variable-Density Ground Water Flow Analyses&lt;/title&gt;&lt;secondary-title&gt;Groundwater&lt;/secondary-title&gt;&lt;/titles&gt;&lt;periodical&gt;&lt;full-title&gt;Groundwater&lt;/full-title&gt;&lt;/periodical&gt;&lt;pages&gt;664-671&lt;/pages&gt;&lt;volume&gt;45&lt;/volume&gt;&lt;number&gt;6&lt;/number&gt;&lt;keywords&gt;&lt;keyword&gt;hydraulic head&lt;/keyword&gt;&lt;keyword&gt;hydrodynamics&lt;/keyword&gt;&lt;keyword&gt;groundwater flow&lt;/keyword&gt;&lt;keyword&gt;pressure measurement&lt;/keyword&gt;&lt;keyword&gt;variable density&lt;/keyword&gt;&lt;keyword&gt;density&lt;/keyword&gt;&lt;keyword&gt;density of water&lt;/keyword&gt;&lt;keyword&gt;Darcy&amp;apos;s Law&lt;/keyword&gt;&lt;keyword&gt;horizontal flow&lt;/keyword&gt;&lt;keyword&gt;vertical flow&lt;/keyword&gt;&lt;keyword&gt;point water head&lt;/keyword&gt;&lt;keyword&gt;fresh water head&lt;/keyword&gt;&lt;keyword&gt;environmental head&lt;/keyword&gt;&lt;/keywords&gt;&lt;dates&gt;&lt;year&gt;2007&lt;/year&gt;&lt;/dates&gt;&lt;urls&gt;&lt;related-urls&gt;&lt;url&gt;&lt;style face="underline" font="default" size="100%"&gt;https://onlinelibrary.wiley.com/doi/abs/10.1111/j.1745-6584.2007.00339.x&lt;/style&gt;&lt;/url&gt;&lt;/related-urls&gt;&lt;/urls&gt;&lt;electronic-resource-num&gt;doi:10.1111/j.1745-6584.2007.00339.x&lt;/electronic-resource-num&gt;&lt;/record&gt;&lt;/Cite&gt;&lt;/EndNote&gt;</w:instrText>
      </w:r>
      <w:r w:rsidR="00A541ED">
        <w:rPr>
          <w:rStyle w:val="Italic"/>
        </w:rPr>
        <w:fldChar w:fldCharType="separate"/>
      </w:r>
      <w:r w:rsidR="00A541ED">
        <w:rPr>
          <w:rStyle w:val="Italic"/>
          <w:noProof/>
        </w:rPr>
        <w:t>Post et al. (2007)</w:t>
      </w:r>
      <w:r w:rsidR="00A541ED">
        <w:rPr>
          <w:rStyle w:val="Italic"/>
        </w:rPr>
        <w:fldChar w:fldCharType="end"/>
      </w:r>
      <w:r w:rsidRPr="00531519">
        <w:rPr>
          <w:rStyle w:val="Italic"/>
        </w:rPr>
        <w:t xml:space="preserve">. The density calculation component </w:t>
      </w:r>
      <w:r w:rsidR="0000729D" w:rsidRPr="00531519">
        <w:rPr>
          <w:rStyle w:val="Italic"/>
        </w:rPr>
        <w:t>in</w:t>
      </w:r>
      <w:r w:rsidR="0000729D">
        <w:rPr>
          <w:rStyle w:val="Italic"/>
        </w:rPr>
        <w:t xml:space="preserve"> </w:t>
      </w:r>
      <w:r w:rsidR="0000729D">
        <w:rPr>
          <w:rStyle w:val="Italic"/>
        </w:rPr>
        <w:fldChar w:fldCharType="begin"/>
      </w:r>
      <w:r w:rsidR="00F76E0D">
        <w:rPr>
          <w:rStyle w:val="Italic"/>
        </w:rPr>
        <w:instrText xml:space="preserve"> ADDIN EN.CITE &lt;EndNote&gt;&lt;Cite AuthorYear="1"&gt;&lt;Author&gt;Post&lt;/Author&gt;&lt;Year&gt;2007&lt;/Year&gt;&lt;RecNum&gt;533&lt;/RecNum&gt;&lt;DisplayText&gt;Post et al. (2007)&lt;/DisplayText&gt;&lt;record&gt;&lt;rec-number&gt;533&lt;/rec-number&gt;&lt;foreign-keys&gt;&lt;key app="EN" db-id="wdf9tzzdhw2saee559kv0vezt0wfsta0zedv" timestamp="1544417644"&gt;533&lt;/key&gt;&lt;key app="ENWeb" db-id=""&gt;0&lt;/key&gt;&lt;/foreign-keys&gt;&lt;ref-type name="Journal Article"&gt;17&lt;/ref-type&gt;&lt;contributors&gt;&lt;authors&gt;&lt;author&gt;Post, Vincent&lt;/author&gt;&lt;author&gt;Kooi, Henk&lt;/author&gt;&lt;author&gt;Simmons, Craig&lt;/author&gt;&lt;/authors&gt;&lt;/contributors&gt;&lt;titles&gt;&lt;title&gt;Using Hydraulic Head Measurements in Variable-Density Ground Water Flow Analyses&lt;/title&gt;&lt;secondary-title&gt;Groundwater&lt;/secondary-title&gt;&lt;/titles&gt;&lt;periodical&gt;&lt;full-title&gt;Groundwater&lt;/full-title&gt;&lt;/periodical&gt;&lt;pages&gt;664-671&lt;/pages&gt;&lt;volume&gt;45&lt;/volume&gt;&lt;number&gt;6&lt;/number&gt;&lt;keywords&gt;&lt;keyword&gt;hydraulic head&lt;/keyword&gt;&lt;keyword&gt;hydrodynamics&lt;/keyword&gt;&lt;keyword&gt;groundwater flow&lt;/keyword&gt;&lt;keyword&gt;pressure measurement&lt;/keyword&gt;&lt;keyword&gt;variable density&lt;/keyword&gt;&lt;keyword&gt;density&lt;/keyword&gt;&lt;keyword&gt;density of water&lt;/keyword&gt;&lt;keyword&gt;Darcy&amp;apos;s Law&lt;/keyword&gt;&lt;keyword&gt;horizontal flow&lt;/keyword&gt;&lt;keyword&gt;vertical flow&lt;/keyword&gt;&lt;keyword&gt;point water head&lt;/keyword&gt;&lt;keyword&gt;fresh water head&lt;/keyword&gt;&lt;keyword&gt;environmental head&lt;/keyword&gt;&lt;/keywords&gt;&lt;dates&gt;&lt;year&gt;2007&lt;/year&gt;&lt;/dates&gt;&lt;urls&gt;&lt;related-urls&gt;&lt;url&gt;&lt;style face="underline" font="default" size="100%"&gt;https://onlinelibrary.wiley.com/doi/abs/10.1111/j.1745-6584.2007.00339.x&lt;/style&gt;&lt;/url&gt;&lt;/related-urls&gt;&lt;/urls&gt;&lt;electronic-resource-num&gt;doi:10.1111/j.1745-6584.2007.00339.x&lt;/electronic-resource-num&gt;&lt;/record&gt;&lt;/Cite&gt;&lt;/EndNote&gt;</w:instrText>
      </w:r>
      <w:r w:rsidR="0000729D">
        <w:rPr>
          <w:rStyle w:val="Italic"/>
        </w:rPr>
        <w:fldChar w:fldCharType="separate"/>
      </w:r>
      <w:r w:rsidR="0000729D">
        <w:rPr>
          <w:rStyle w:val="Italic"/>
          <w:noProof/>
        </w:rPr>
        <w:t>Post et al. (2007)</w:t>
      </w:r>
      <w:r w:rsidR="0000729D">
        <w:rPr>
          <w:rStyle w:val="Italic"/>
        </w:rPr>
        <w:fldChar w:fldCharType="end"/>
      </w:r>
      <w:r w:rsidR="0000729D">
        <w:rPr>
          <w:rStyle w:val="Italic"/>
        </w:rPr>
        <w:t xml:space="preserve"> incorporated</w:t>
      </w:r>
      <w:r w:rsidR="00FF6584" w:rsidRPr="00531519">
        <w:rPr>
          <w:rStyle w:val="Italic"/>
        </w:rPr>
        <w:t xml:space="preserve"> </w:t>
      </w:r>
      <w:r w:rsidRPr="00531519">
        <w:rPr>
          <w:rStyle w:val="Italic"/>
        </w:rPr>
        <w:t xml:space="preserve">formulas </w:t>
      </w:r>
      <w:r w:rsidR="0000729D">
        <w:rPr>
          <w:rStyle w:val="Italic"/>
        </w:rPr>
        <w:t>derived from</w:t>
      </w:r>
      <w:r w:rsidRPr="00531519">
        <w:rPr>
          <w:rStyle w:val="Italic"/>
        </w:rPr>
        <w:t xml:space="preserve"> </w:t>
      </w:r>
      <w:r w:rsidR="00A541ED">
        <w:rPr>
          <w:rStyle w:val="Italic"/>
        </w:rPr>
        <w:fldChar w:fldCharType="begin"/>
      </w:r>
      <w:r w:rsidR="00F76E0D">
        <w:rPr>
          <w:rStyle w:val="Italic"/>
        </w:rPr>
        <w:instrText xml:space="preserve"> ADDIN EN.CITE &lt;EndNote&gt;&lt;Cite AuthorYear="1"&gt;&lt;Author&gt;McCutcheon&lt;/Author&gt;&lt;Year&gt;1993&lt;/Year&gt;&lt;RecNum&gt;907&lt;/RecNum&gt;&lt;DisplayText&gt;McCutcheon et al. (1993)&lt;/DisplayText&gt;&lt;record&gt;&lt;rec-number&gt;907&lt;/rec-number&gt;&lt;foreign-keys&gt;&lt;key app="EN" db-id="wdf9tzzdhw2saee559kv0vezt0wfsta0zedv" timestamp="1555975749"&gt;907&lt;/key&gt;&lt;/foreign-keys&gt;&lt;ref-type name="Book Section"&gt;5&lt;/ref-type&gt;&lt;contributors&gt;&lt;authors&gt;&lt;author&gt;McCutcheon, S. C.&lt;/author&gt;&lt;author&gt;Martin, J. L.&lt;/author&gt;&lt;author&gt;Barnwell, T. O., Jr&lt;/author&gt;&lt;/authors&gt;&lt;secondary-authors&gt;&lt;author&gt;Maidment, David R.&lt;/author&gt;&lt;/secondary-authors&gt;&lt;/contributors&gt;&lt;titles&gt;&lt;title&gt;Chapter 11: Water Quality&lt;/title&gt;&lt;secondary-title&gt;Handbook of Hydrology&lt;/secondary-title&gt;&lt;/titles&gt;&lt;edition&gt;1&lt;/edition&gt;&lt;section&gt;11&lt;/section&gt;&lt;dates&gt;&lt;year&gt;1993&lt;/year&gt;&lt;/dates&gt;&lt;pub-location&gt;New York&lt;/pub-location&gt;&lt;publisher&gt;McGraw-Hill&lt;/publisher&gt;&lt;isbn&gt;9780070397323&lt;/isbn&gt;&lt;urls&gt;&lt;/urls&gt;&lt;/record&gt;&lt;/Cite&gt;&lt;/EndNote&gt;</w:instrText>
      </w:r>
      <w:r w:rsidR="00A541ED">
        <w:rPr>
          <w:rStyle w:val="Italic"/>
        </w:rPr>
        <w:fldChar w:fldCharType="separate"/>
      </w:r>
      <w:r w:rsidR="00A541ED">
        <w:rPr>
          <w:rStyle w:val="Italic"/>
          <w:noProof/>
        </w:rPr>
        <w:t>McCutcheon et al. (1993)</w:t>
      </w:r>
      <w:r w:rsidR="00A541ED">
        <w:rPr>
          <w:rStyle w:val="Italic"/>
        </w:rPr>
        <w:fldChar w:fldCharType="end"/>
      </w:r>
      <w:r w:rsidRPr="00531519">
        <w:rPr>
          <w:rStyle w:val="Italic"/>
        </w:rPr>
        <w:t>. Whil</w:t>
      </w:r>
      <w:r w:rsidR="00A00A2A">
        <w:rPr>
          <w:rStyle w:val="Italic"/>
        </w:rPr>
        <w:t>e</w:t>
      </w:r>
      <w:r w:rsidRPr="00531519">
        <w:rPr>
          <w:rStyle w:val="Italic"/>
        </w:rPr>
        <w:t xml:space="preserve"> not explicitly discussed</w:t>
      </w:r>
      <w:r w:rsidR="00FF6584">
        <w:rPr>
          <w:rStyle w:val="Italic"/>
        </w:rPr>
        <w:t>,</w:t>
      </w:r>
      <w:r w:rsidRPr="00531519">
        <w:rPr>
          <w:rStyle w:val="Italic"/>
        </w:rPr>
        <w:t xml:space="preserve"> there </w:t>
      </w:r>
      <w:r w:rsidR="00FF6584">
        <w:rPr>
          <w:rStyle w:val="Italic"/>
        </w:rPr>
        <w:t xml:space="preserve">are </w:t>
      </w:r>
      <w:r w:rsidRPr="00531519">
        <w:rPr>
          <w:rStyle w:val="Italic"/>
        </w:rPr>
        <w:t xml:space="preserve">potentially some limitations with the </w:t>
      </w:r>
      <w:r w:rsidR="00A541ED">
        <w:rPr>
          <w:rStyle w:val="Italic"/>
        </w:rPr>
        <w:fldChar w:fldCharType="begin"/>
      </w:r>
      <w:r w:rsidR="00F76E0D">
        <w:rPr>
          <w:rStyle w:val="Italic"/>
        </w:rPr>
        <w:instrText xml:space="preserve"> ADDIN EN.CITE &lt;EndNote&gt;&lt;Cite AuthorYear="1"&gt;&lt;Author&gt;McCutcheon&lt;/Author&gt;&lt;Year&gt;1993&lt;/Year&gt;&lt;RecNum&gt;907&lt;/RecNum&gt;&lt;DisplayText&gt;McCutcheon et al. (1993)&lt;/DisplayText&gt;&lt;record&gt;&lt;rec-number&gt;907&lt;/rec-number&gt;&lt;foreign-keys&gt;&lt;key app="EN" db-id="wdf9tzzdhw2saee559kv0vezt0wfsta0zedv" timestamp="1555975749"&gt;907&lt;/key&gt;&lt;/foreign-keys&gt;&lt;ref-type name="Book Section"&gt;5&lt;/ref-type&gt;&lt;contributors&gt;&lt;authors&gt;&lt;author&gt;McCutcheon, S. C.&lt;/author&gt;&lt;author&gt;Martin, J. L.&lt;/author&gt;&lt;author&gt;Barnwell, T. O., Jr&lt;/author&gt;&lt;/authors&gt;&lt;secondary-authors&gt;&lt;author&gt;Maidment, David R.&lt;/author&gt;&lt;/secondary-authors&gt;&lt;/contributors&gt;&lt;titles&gt;&lt;title&gt;Chapter 11: Water Quality&lt;/title&gt;&lt;secondary-title&gt;Handbook of Hydrology&lt;/secondary-title&gt;&lt;/titles&gt;&lt;edition&gt;1&lt;/edition&gt;&lt;section&gt;11&lt;/section&gt;&lt;dates&gt;&lt;year&gt;1993&lt;/year&gt;&lt;/dates&gt;&lt;pub-location&gt;New York&lt;/pub-location&gt;&lt;publisher&gt;McGraw-Hill&lt;/publisher&gt;&lt;isbn&gt;9780070397323&lt;/isbn&gt;&lt;urls&gt;&lt;/urls&gt;&lt;/record&gt;&lt;/Cite&gt;&lt;/EndNote&gt;</w:instrText>
      </w:r>
      <w:r w:rsidR="00A541ED">
        <w:rPr>
          <w:rStyle w:val="Italic"/>
        </w:rPr>
        <w:fldChar w:fldCharType="separate"/>
      </w:r>
      <w:r w:rsidR="00A541ED">
        <w:rPr>
          <w:rStyle w:val="Italic"/>
          <w:noProof/>
        </w:rPr>
        <w:t>McCutcheon et al. (1993)</w:t>
      </w:r>
      <w:r w:rsidR="00A541ED">
        <w:rPr>
          <w:rStyle w:val="Italic"/>
        </w:rPr>
        <w:fldChar w:fldCharType="end"/>
      </w:r>
      <w:r w:rsidRPr="00531519">
        <w:rPr>
          <w:rStyle w:val="Italic"/>
        </w:rPr>
        <w:t xml:space="preserve"> equations, including that they are</w:t>
      </w:r>
      <w:r w:rsidR="00FF6584">
        <w:rPr>
          <w:rStyle w:val="Italic"/>
        </w:rPr>
        <w:t>,</w:t>
      </w:r>
      <w:r w:rsidRPr="00531519">
        <w:rPr>
          <w:rStyle w:val="Italic"/>
        </w:rPr>
        <w:t xml:space="preserve"> in part</w:t>
      </w:r>
      <w:r w:rsidR="00FF6584">
        <w:rPr>
          <w:rStyle w:val="Italic"/>
        </w:rPr>
        <w:t>,</w:t>
      </w:r>
      <w:r w:rsidRPr="00531519">
        <w:rPr>
          <w:rStyle w:val="Italic"/>
        </w:rPr>
        <w:t xml:space="preserve"> derived from the equations for the </w:t>
      </w:r>
      <w:r w:rsidR="000C1920">
        <w:rPr>
          <w:rStyle w:val="Italic"/>
        </w:rPr>
        <w:t>‘</w:t>
      </w:r>
      <w:r w:rsidRPr="00531519">
        <w:rPr>
          <w:rStyle w:val="Italic"/>
        </w:rPr>
        <w:t>state of seawater</w:t>
      </w:r>
      <w:r w:rsidR="000C1920">
        <w:rPr>
          <w:rStyle w:val="Italic"/>
        </w:rPr>
        <w:t>’</w:t>
      </w:r>
      <w:r w:rsidR="00AD1A11">
        <w:rPr>
          <w:rStyle w:val="Italic"/>
        </w:rPr>
        <w:t xml:space="preserve"> </w:t>
      </w:r>
      <w:r w:rsidR="00A541ED">
        <w:rPr>
          <w:rStyle w:val="Italic"/>
        </w:rPr>
        <w:fldChar w:fldCharType="begin"/>
      </w:r>
      <w:r w:rsidR="00F76E0D">
        <w:rPr>
          <w:rStyle w:val="Italic"/>
        </w:rPr>
        <w:instrText xml:space="preserve"> ADDIN EN.CITE &lt;EndNote&gt;&lt;Cite&gt;&lt;Author&gt;UNESCO&lt;/Author&gt;&lt;Year&gt;1981&lt;/Year&gt;&lt;RecNum&gt;924&lt;/RecNum&gt;&lt;DisplayText&gt;(UNESCO, 1981)&lt;/DisplayText&gt;&lt;record&gt;&lt;rec-number&gt;924&lt;/rec-number&gt;&lt;foreign-keys&gt;&lt;key app="EN" db-id="wdf9tzzdhw2saee559kv0vezt0wfsta0zedv" timestamp="1555975807"&gt;924&lt;/key&gt;&lt;key app="ENWeb" db-id=""&gt;0&lt;/key&gt;&lt;/foreign-keys&gt;&lt;ref-type name="Report"&gt;27&lt;/ref-type&gt;&lt;contributors&gt;&lt;authors&gt;&lt;author&gt;UNESCO,&lt;/author&gt;&lt;/authors&gt;&lt;/contributors&gt;&lt;titles&gt;&lt;title&gt;Background papers and supporting data on the International Equation of State of Seawater, 1980&lt;/title&gt;&lt;secondary-title&gt;UNESCO technical papers in marine science, 38&lt;/secondary-title&gt;&lt;/titles&gt;&lt;pages&gt;194&lt;/pages&gt;&lt;keywords&gt;&lt;keyword&gt;International Equation of State of Seawater&lt;/keyword&gt;&lt;keyword&gt;Oceanographic measurement&lt;/keyword&gt;&lt;keyword&gt;Atmospheric pressure&lt;/keyword&gt;&lt;keyword&gt;Oceanographic data&lt;/keyword&gt;&lt;keyword&gt;Standardization&lt;/keyword&gt;&lt;keyword&gt;seawater&lt;/keyword&gt;&lt;/keywords&gt;&lt;dates&gt;&lt;year&gt;1981&lt;/year&gt;&lt;/dates&gt;&lt;urls&gt;&lt;related-urls&gt;&lt;url&gt;&lt;style face="underline" font="default" size="100%"&gt;https://unesdoc.unesco.org/ark:/48223/pf0000047363&lt;/style&gt;&lt;/url&gt;&lt;/related-urls&gt;&lt;/urls&gt;&lt;access-date&gt;28 November 2019&lt;/access-date&gt;&lt;/record&gt;&lt;/Cite&gt;&lt;/EndNote&gt;</w:instrText>
      </w:r>
      <w:r w:rsidR="00A541ED">
        <w:rPr>
          <w:rStyle w:val="Italic"/>
        </w:rPr>
        <w:fldChar w:fldCharType="separate"/>
      </w:r>
      <w:r w:rsidR="00A541ED">
        <w:rPr>
          <w:rStyle w:val="Italic"/>
          <w:noProof/>
        </w:rPr>
        <w:t>(UNESCO, 1981)</w:t>
      </w:r>
      <w:r w:rsidR="00A541ED">
        <w:rPr>
          <w:rStyle w:val="Italic"/>
        </w:rPr>
        <w:fldChar w:fldCharType="end"/>
      </w:r>
      <w:r w:rsidRPr="00531519">
        <w:rPr>
          <w:rStyle w:val="Italic"/>
        </w:rPr>
        <w:t xml:space="preserve"> The equations in </w:t>
      </w:r>
      <w:r w:rsidR="00A541ED">
        <w:rPr>
          <w:rStyle w:val="Italic"/>
        </w:rPr>
        <w:fldChar w:fldCharType="begin"/>
      </w:r>
      <w:r w:rsidR="00F76E0D">
        <w:rPr>
          <w:rStyle w:val="Italic"/>
        </w:rPr>
        <w:instrText xml:space="preserve"> ADDIN EN.CITE &lt;EndNote&gt;&lt;Cite AuthorYear="1"&gt;&lt;Author&gt;UNESCO&lt;/Author&gt;&lt;Year&gt;1981&lt;/Year&gt;&lt;RecNum&gt;924&lt;/RecNum&gt;&lt;DisplayText&gt;UNESCO (1981)&lt;/DisplayText&gt;&lt;record&gt;&lt;rec-number&gt;924&lt;/rec-number&gt;&lt;foreign-keys&gt;&lt;key app="EN" db-id="wdf9tzzdhw2saee559kv0vezt0wfsta0zedv" timestamp="1555975807"&gt;924&lt;/key&gt;&lt;key app="ENWeb" db-id=""&gt;0&lt;/key&gt;&lt;/foreign-keys&gt;&lt;ref-type name="Report"&gt;27&lt;/ref-type&gt;&lt;contributors&gt;&lt;authors&gt;&lt;author&gt;UNESCO,&lt;/author&gt;&lt;/authors&gt;&lt;/contributors&gt;&lt;titles&gt;&lt;title&gt;Background papers and supporting data on the International Equation of State of Seawater, 1980&lt;/title&gt;&lt;secondary-title&gt;UNESCO technical papers in marine science, 38&lt;/secondary-title&gt;&lt;/titles&gt;&lt;pages&gt;194&lt;/pages&gt;&lt;keywords&gt;&lt;keyword&gt;International Equation of State of Seawater&lt;/keyword&gt;&lt;keyword&gt;Oceanographic measurement&lt;/keyword&gt;&lt;keyword&gt;Atmospheric pressure&lt;/keyword&gt;&lt;keyword&gt;Oceanographic data&lt;/keyword&gt;&lt;keyword&gt;Standardization&lt;/keyword&gt;&lt;keyword&gt;seawater&lt;/keyword&gt;&lt;/keywords&gt;&lt;dates&gt;&lt;year&gt;1981&lt;/year&gt;&lt;/dates&gt;&lt;urls&gt;&lt;related-urls&gt;&lt;url&gt;&lt;style face="underline" font="default" size="100%"&gt;https://unesdoc.unesco.org/ark:/48223/pf0000047363&lt;/style&gt;&lt;/url&gt;&lt;/related-urls&gt;&lt;/urls&gt;&lt;access-date&gt;28 November 2019&lt;/access-date&gt;&lt;/record&gt;&lt;/Cite&gt;&lt;/EndNote&gt;</w:instrText>
      </w:r>
      <w:r w:rsidR="00A541ED">
        <w:rPr>
          <w:rStyle w:val="Italic"/>
        </w:rPr>
        <w:fldChar w:fldCharType="separate"/>
      </w:r>
      <w:r w:rsidR="00A541ED">
        <w:rPr>
          <w:rStyle w:val="Italic"/>
          <w:noProof/>
        </w:rPr>
        <w:t>UNESCO (1981)</w:t>
      </w:r>
      <w:r w:rsidR="00A541ED">
        <w:rPr>
          <w:rStyle w:val="Italic"/>
        </w:rPr>
        <w:fldChar w:fldCharType="end"/>
      </w:r>
      <w:r w:rsidRPr="00531519">
        <w:rPr>
          <w:rStyle w:val="Italic"/>
        </w:rPr>
        <w:t xml:space="preserve"> are valid to temperatures of 40</w:t>
      </w:r>
      <w:r w:rsidR="000C1920">
        <w:rPr>
          <w:rStyle w:val="Italic"/>
        </w:rPr>
        <w:t xml:space="preserve"> </w:t>
      </w:r>
      <w:r w:rsidRPr="00531519">
        <w:rPr>
          <w:rStyle w:val="Italic"/>
        </w:rPr>
        <w:t>°C. Often grou</w:t>
      </w:r>
      <w:r w:rsidR="00531519" w:rsidRPr="00531519">
        <w:rPr>
          <w:rStyle w:val="Italic"/>
        </w:rPr>
        <w:t xml:space="preserve">ndwater temperatures in </w:t>
      </w:r>
      <w:r w:rsidR="00222407">
        <w:rPr>
          <w:rStyle w:val="Italic"/>
        </w:rPr>
        <w:t xml:space="preserve">the </w:t>
      </w:r>
      <w:r w:rsidR="00531519" w:rsidRPr="00531519">
        <w:rPr>
          <w:rStyle w:val="Italic"/>
        </w:rPr>
        <w:t>Beetaloo</w:t>
      </w:r>
      <w:r w:rsidRPr="00531519">
        <w:rPr>
          <w:rStyle w:val="Italic"/>
        </w:rPr>
        <w:t xml:space="preserve"> GBA reg</w:t>
      </w:r>
      <w:r w:rsidR="00531519" w:rsidRPr="00531519">
        <w:rPr>
          <w:rStyle w:val="Italic"/>
        </w:rPr>
        <w:t>ion exceed this threshold.</w:t>
      </w:r>
      <w:r w:rsidR="00222407">
        <w:rPr>
          <w:rStyle w:val="Italic"/>
        </w:rPr>
        <w:t xml:space="preserve"> However, t</w:t>
      </w:r>
      <w:r w:rsidR="0000729D">
        <w:rPr>
          <w:rStyle w:val="Italic"/>
        </w:rPr>
        <w:t>his method is</w:t>
      </w:r>
      <w:r w:rsidR="00222407">
        <w:rPr>
          <w:rStyle w:val="Italic"/>
        </w:rPr>
        <w:t xml:space="preserve"> considered of sufficient quality</w:t>
      </w:r>
      <w:r w:rsidR="00531519" w:rsidRPr="00531519">
        <w:rPr>
          <w:rStyle w:val="Italic"/>
        </w:rPr>
        <w:t xml:space="preserve"> for general interpretation and use in </w:t>
      </w:r>
      <w:r w:rsidR="00222407">
        <w:rPr>
          <w:rStyle w:val="Italic"/>
        </w:rPr>
        <w:t xml:space="preserve">this </w:t>
      </w:r>
      <w:r w:rsidR="00531519" w:rsidRPr="00531519">
        <w:rPr>
          <w:rStyle w:val="Italic"/>
        </w:rPr>
        <w:t>regional stud</w:t>
      </w:r>
      <w:r w:rsidR="00222407">
        <w:rPr>
          <w:rStyle w:val="Italic"/>
        </w:rPr>
        <w:t>y</w:t>
      </w:r>
      <w:r w:rsidR="00531519" w:rsidRPr="00531519">
        <w:rPr>
          <w:rStyle w:val="Italic"/>
        </w:rPr>
        <w:t>.</w:t>
      </w:r>
    </w:p>
    <w:p w14:paraId="3DEAE4B9" w14:textId="72287854" w:rsidR="00AD1A11" w:rsidRDefault="00AD1A11" w:rsidP="00F44207">
      <w:pPr>
        <w:pStyle w:val="Summary"/>
        <w:rPr>
          <w:rStyle w:val="Italic"/>
        </w:rPr>
      </w:pPr>
      <w:r w:rsidRPr="00AD1A11">
        <w:rPr>
          <w:rStyle w:val="Italic"/>
        </w:rPr>
        <w:t>Pressure data w</w:t>
      </w:r>
      <w:r w:rsidR="000C1920">
        <w:rPr>
          <w:rStyle w:val="Italic"/>
        </w:rPr>
        <w:t>ere</w:t>
      </w:r>
      <w:r w:rsidRPr="00AD1A11">
        <w:rPr>
          <w:rStyle w:val="Italic"/>
        </w:rPr>
        <w:t xml:space="preserve"> converted to hydraulic head utilising gauge temperature data and an estimated </w:t>
      </w:r>
      <w:r w:rsidRPr="00A11A92">
        <w:rPr>
          <w:rStyle w:val="Italic"/>
        </w:rPr>
        <w:t>salinity (</w:t>
      </w:r>
      <w:r w:rsidR="00A11A92" w:rsidRPr="00A11A92">
        <w:rPr>
          <w:rStyle w:val="Italic"/>
        </w:rPr>
        <w:fldChar w:fldCharType="begin"/>
      </w:r>
      <w:r w:rsidR="00A11A92" w:rsidRPr="00A11A92">
        <w:rPr>
          <w:rStyle w:val="Italic"/>
        </w:rPr>
        <w:instrText xml:space="preserve"> REF _Ref258744 \h </w:instrText>
      </w:r>
      <w:r w:rsidR="00A11A92">
        <w:rPr>
          <w:rStyle w:val="Italic"/>
        </w:rPr>
        <w:instrText xml:space="preserve"> \* MERGEFORMAT </w:instrText>
      </w:r>
      <w:r w:rsidR="00A11A92" w:rsidRPr="00A11A92">
        <w:rPr>
          <w:rStyle w:val="Italic"/>
        </w:rPr>
      </w:r>
      <w:r w:rsidR="00A11A92" w:rsidRPr="00A11A92">
        <w:rPr>
          <w:rStyle w:val="Italic"/>
        </w:rPr>
        <w:fldChar w:fldCharType="separate"/>
      </w:r>
      <w:r w:rsidR="00B177F5" w:rsidRPr="00B177F5">
        <w:rPr>
          <w:rStyle w:val="Italic"/>
        </w:rPr>
        <w:t>Table 1</w:t>
      </w:r>
      <w:r w:rsidR="00A11A92" w:rsidRPr="00A11A92">
        <w:rPr>
          <w:rStyle w:val="Italic"/>
        </w:rPr>
        <w:fldChar w:fldCharType="end"/>
      </w:r>
      <w:r w:rsidRPr="00A11A92">
        <w:rPr>
          <w:rStyle w:val="Italic"/>
        </w:rPr>
        <w:t>).</w:t>
      </w:r>
    </w:p>
    <w:p w14:paraId="0AB0F47F" w14:textId="06205D06" w:rsidR="00026FA6" w:rsidRPr="00026FA6" w:rsidRDefault="00F44207" w:rsidP="00026FA6">
      <w:pPr>
        <w:pStyle w:val="BodyText"/>
      </w:pPr>
      <w:r>
        <w:t>Temperature data include uncorrected bottom</w:t>
      </w:r>
      <w:r w:rsidR="00C756C2">
        <w:t xml:space="preserve"> </w:t>
      </w:r>
      <w:r>
        <w:t>hole temperature measurements from geophysical well logs, corrected bottom</w:t>
      </w:r>
      <w:r w:rsidR="00C756C2">
        <w:t xml:space="preserve"> </w:t>
      </w:r>
      <w:r>
        <w:t xml:space="preserve">hole temperatures </w:t>
      </w:r>
      <w:r w:rsidR="0000729D">
        <w:t xml:space="preserve">reported in well completion reports </w:t>
      </w:r>
      <w:r>
        <w:t>and pressure gauge temperature (</w:t>
      </w:r>
      <w:r w:rsidRPr="00A4151E">
        <w:fldChar w:fldCharType="begin"/>
      </w:r>
      <w:r w:rsidRPr="00A4151E">
        <w:instrText xml:space="preserve"> REF _Ref4421980 \h </w:instrText>
      </w:r>
      <w:r>
        <w:instrText xml:space="preserve"> \* MERGEFORMAT </w:instrText>
      </w:r>
      <w:r w:rsidRPr="00A4151E">
        <w:fldChar w:fldCharType="separate"/>
      </w:r>
      <w:r w:rsidR="00B177F5">
        <w:t>Figure 2</w:t>
      </w:r>
      <w:r w:rsidRPr="00A4151E">
        <w:fldChar w:fldCharType="end"/>
      </w:r>
      <w:r w:rsidRPr="00A4151E">
        <w:t>).</w:t>
      </w:r>
    </w:p>
    <w:p w14:paraId="1B6AD3BF" w14:textId="52F727F0" w:rsidR="00DC677B" w:rsidRPr="00D64D18" w:rsidRDefault="004C4CD4" w:rsidP="004C4CD4">
      <w:pPr>
        <w:pStyle w:val="Figures"/>
      </w:pPr>
      <w:r>
        <w:rPr>
          <w:noProof/>
        </w:rPr>
        <w:drawing>
          <wp:inline distT="0" distB="0" distL="0" distR="0" wp14:anchorId="62E68852" wp14:editId="3A21063F">
            <wp:extent cx="6120002" cy="4690799"/>
            <wp:effectExtent l="0" t="0" r="0" b="0"/>
            <wp:docPr id="1194743992" name="Picture 1424956745" descr="\\prod.lan\active\proj\ba2\Stage2\3_Beetaloo\MapsAndFigures\Figures\PP-279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4956745"/>
                    <pic:cNvPicPr/>
                  </pic:nvPicPr>
                  <pic:blipFill>
                    <a:blip r:embed="rId49">
                      <a:extLst>
                        <a:ext uri="{28A0092B-C50C-407E-A947-70E740481C1C}">
                          <a14:useLocalDpi xmlns:a14="http://schemas.microsoft.com/office/drawing/2010/main"/>
                        </a:ext>
                      </a:extLst>
                    </a:blip>
                    <a:stretch>
                      <a:fillRect/>
                    </a:stretch>
                  </pic:blipFill>
                  <pic:spPr>
                    <a:xfrm>
                      <a:off x="0" y="0"/>
                      <a:ext cx="6120002" cy="4690799"/>
                    </a:xfrm>
                    <a:prstGeom prst="rect">
                      <a:avLst/>
                    </a:prstGeom>
                  </pic:spPr>
                </pic:pic>
              </a:graphicData>
            </a:graphic>
          </wp:inline>
        </w:drawing>
      </w:r>
    </w:p>
    <w:p w14:paraId="6C4A0BE1" w14:textId="6F6BB517" w:rsidR="00DC677B" w:rsidRPr="00AF74C4" w:rsidRDefault="00DC677B" w:rsidP="00DC677B">
      <w:pPr>
        <w:pStyle w:val="Caption"/>
      </w:pPr>
      <w:bookmarkStart w:id="171" w:name="_Ref4421980"/>
      <w:bookmarkStart w:id="172" w:name="_Toc4072430"/>
      <w:bookmarkStart w:id="173" w:name="_Toc4670942"/>
      <w:bookmarkStart w:id="174" w:name="_Toc4754362"/>
      <w:bookmarkStart w:id="175" w:name="_Toc5020747"/>
      <w:bookmarkStart w:id="176" w:name="_Toc5021554"/>
      <w:bookmarkStart w:id="177" w:name="_Toc5097080"/>
      <w:bookmarkStart w:id="178" w:name="_Toc5108472"/>
      <w:bookmarkStart w:id="179" w:name="_Toc5284136"/>
      <w:bookmarkStart w:id="180" w:name="_Toc5635350"/>
      <w:bookmarkStart w:id="181" w:name="_Toc5808309"/>
      <w:bookmarkStart w:id="182" w:name="_Toc5894912"/>
      <w:bookmarkStart w:id="183" w:name="_Toc5895001"/>
      <w:bookmarkStart w:id="184" w:name="_Toc6308890"/>
      <w:bookmarkStart w:id="185" w:name="_Toc6327555"/>
      <w:bookmarkStart w:id="186" w:name="_Toc38990456"/>
      <w:r>
        <w:t xml:space="preserve">Figure </w:t>
      </w:r>
      <w:r>
        <w:rPr>
          <w:noProof/>
        </w:rPr>
        <w:fldChar w:fldCharType="begin"/>
      </w:r>
      <w:r>
        <w:rPr>
          <w:noProof/>
        </w:rPr>
        <w:instrText xml:space="preserve"> SEQ Figure \* ARABIC </w:instrText>
      </w:r>
      <w:r>
        <w:rPr>
          <w:noProof/>
        </w:rPr>
        <w:fldChar w:fldCharType="separate"/>
      </w:r>
      <w:r w:rsidR="00B177F5">
        <w:rPr>
          <w:noProof/>
        </w:rPr>
        <w:t>2</w:t>
      </w:r>
      <w:r>
        <w:rPr>
          <w:noProof/>
        </w:rPr>
        <w:fldChar w:fldCharType="end"/>
      </w:r>
      <w:bookmarkEnd w:id="171"/>
      <w:r>
        <w:t xml:space="preserve"> Compiled </w:t>
      </w:r>
      <w:r w:rsidR="00C04FE9">
        <w:t>temperature</w:t>
      </w:r>
      <w:r>
        <w:t xml:space="preserve"> data for </w:t>
      </w:r>
      <w:r w:rsidR="0000729D">
        <w:t xml:space="preserve">the </w:t>
      </w:r>
      <w:r>
        <w:t>Proterozoic</w:t>
      </w:r>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r>
        <w:t xml:space="preserve"> </w:t>
      </w:r>
      <w:r w:rsidR="0000729D">
        <w:t>from the Beetaloo GBA region</w:t>
      </w:r>
      <w:bookmarkEnd w:id="186"/>
      <w:r>
        <w:t xml:space="preserve"> </w:t>
      </w:r>
    </w:p>
    <w:p w14:paraId="220388E2" w14:textId="5823BBFD" w:rsidR="004D6CEE" w:rsidRDefault="50BA1442" w:rsidP="00CF40AD">
      <w:pPr>
        <w:pStyle w:val="SourceornoteforTableorFigure"/>
        <w:contextualSpacing/>
      </w:pPr>
      <w:r>
        <w:t xml:space="preserve">BHT = </w:t>
      </w:r>
      <w:r w:rsidR="000C1920">
        <w:t>b</w:t>
      </w:r>
      <w:r>
        <w:t xml:space="preserve">ottom </w:t>
      </w:r>
      <w:r w:rsidR="000C1920">
        <w:t>h</w:t>
      </w:r>
      <w:r>
        <w:t xml:space="preserve">ole </w:t>
      </w:r>
      <w:r w:rsidR="000C1920">
        <w:t>t</w:t>
      </w:r>
      <w:r>
        <w:t xml:space="preserve">emperature. These data are sourced from downhole geophysical logs and is the highest temperature recorded at the bottom of the logging run (which often equates to the bottom of the hole at the time of logging). </w:t>
      </w:r>
      <w:r w:rsidR="676F7594">
        <w:br/>
      </w:r>
      <w:r>
        <w:t xml:space="preserve">DST = </w:t>
      </w:r>
      <w:r w:rsidR="00331469">
        <w:t>d</w:t>
      </w:r>
      <w:r>
        <w:t xml:space="preserve">rill </w:t>
      </w:r>
      <w:r w:rsidR="00331469">
        <w:t>s</w:t>
      </w:r>
      <w:r>
        <w:t xml:space="preserve">tem </w:t>
      </w:r>
      <w:r w:rsidR="00331469">
        <w:t>t</w:t>
      </w:r>
      <w:r>
        <w:t>est. Temperature of the pressure gauge sourced from DST reports in well completion reports.</w:t>
      </w:r>
      <w:r w:rsidR="676F7594">
        <w:br/>
      </w:r>
      <w:r>
        <w:t xml:space="preserve">Horner corrected BHT – A method for determining bottom hole temperature (BHT), which includes a correction for localised cooling of the rock mass caused by circulating drilling fluids. </w:t>
      </w:r>
      <w:r w:rsidR="003C6DBE">
        <w:t xml:space="preserve">As indicated on </w:t>
      </w:r>
      <w:r w:rsidR="003C6DBE">
        <w:fldChar w:fldCharType="begin"/>
      </w:r>
      <w:r w:rsidR="003C6DBE">
        <w:instrText xml:space="preserve"> REF _Ref4421980 \h </w:instrText>
      </w:r>
      <w:r w:rsidR="003C6DBE">
        <w:fldChar w:fldCharType="separate"/>
      </w:r>
      <w:r w:rsidR="00B177F5">
        <w:t xml:space="preserve">Figure </w:t>
      </w:r>
      <w:r w:rsidR="00B177F5">
        <w:rPr>
          <w:noProof/>
        </w:rPr>
        <w:t>2</w:t>
      </w:r>
      <w:r w:rsidR="003C6DBE">
        <w:fldChar w:fldCharType="end"/>
      </w:r>
      <w:r w:rsidR="003C6DBE">
        <w:t>, t</w:t>
      </w:r>
      <w:r>
        <w:t>he surface temperature used as a base for the calculation of Horner corrected temperatures was 25</w:t>
      </w:r>
      <w:r w:rsidR="000C1920">
        <w:t xml:space="preserve"> </w:t>
      </w:r>
      <w:r w:rsidRPr="50BA1442">
        <w:rPr>
          <w:rFonts w:cs="Calibri"/>
        </w:rPr>
        <w:t>°</w:t>
      </w:r>
      <w:r>
        <w:t>C.</w:t>
      </w:r>
    </w:p>
    <w:p w14:paraId="4E97DCCE" w14:textId="5A139F69" w:rsidR="004D6CEE" w:rsidRPr="00446FE3" w:rsidRDefault="004D6CEE" w:rsidP="00CF40AD">
      <w:pPr>
        <w:pStyle w:val="SourceornoteforTableorFigure"/>
        <w:contextualSpacing/>
      </w:pPr>
      <w:r w:rsidRPr="00E34A4C">
        <w:t xml:space="preserve">Data: </w:t>
      </w:r>
      <w:r w:rsidR="006B710B">
        <w:fldChar w:fldCharType="begin"/>
      </w:r>
      <w:r w:rsidR="008F30E0">
        <w:instrText xml:space="preserve"> ADDIN EN.CITE &lt;EndNote&gt;&lt;Cite AuthorYear="1"&gt;&lt;Author&gt;Geological and Bioregional Assessment Program&lt;/Author&gt;&lt;Year&gt;2019&lt;/Year&gt;&lt;RecNum&gt;1003&lt;/RecNum&gt;&lt;DisplayText&gt;Geological and Bioregional Assessment Program (2019f)&lt;/DisplayText&gt;&lt;record&gt;&lt;rec-number&gt;1003&lt;/rec-number&gt;&lt;foreign-keys&gt;&lt;key app="EN" db-id="wdf9tzzdhw2saee559kv0vezt0wfsta0zedv" timestamp="1559184265"&gt;1003&lt;/key&gt;&lt;/foreign-keys&gt;&lt;ref-type name="Dataset"&gt;59&lt;/ref-type&gt;&lt;contributors&gt;&lt;authors&gt;&lt;author&gt;Geological and Bioregional Assessment Program,&lt;/author&gt;&lt;/authors&gt;&lt;/contributors&gt;&lt;titles&gt;&lt;title&gt;Beetaloo formation pressure and temperature data compiled from petroleum well completion reports&lt;/title&gt;&lt;/titles&gt;&lt;dates&gt;&lt;year&gt;2019&lt;/year&gt;&lt;/dates&gt;&lt;label&gt;65CF9145-483A-45E5-9349-CC66647731F1&lt;/label&gt;&lt;urls&gt;&lt;related-urls&gt;&lt;url&gt;&lt;style face="underline" font="default" size="100%"&gt;https://repo.bioregionalassessments.gov.au/metadata/65CF9145-483A-45E5-9349-CC66647731F1&lt;/style&gt;&lt;/url&gt;&lt;/related-urls&gt;&lt;/urls&gt;&lt;access-date&gt;08 March 2019&lt;/access-date&gt;&lt;/record&gt;&lt;/Cite&gt;&lt;/EndNote&gt;</w:instrText>
      </w:r>
      <w:r w:rsidR="006B710B">
        <w:fldChar w:fldCharType="separate"/>
      </w:r>
      <w:r w:rsidR="008F30E0">
        <w:rPr>
          <w:noProof/>
        </w:rPr>
        <w:t>Geological and Bioregional Assessment Program (2019f)</w:t>
      </w:r>
      <w:r w:rsidR="006B710B">
        <w:fldChar w:fldCharType="end"/>
      </w:r>
    </w:p>
    <w:p w14:paraId="32FEB11D" w14:textId="66E575B5" w:rsidR="004D6CEE" w:rsidRPr="00AC6435" w:rsidRDefault="004D6CEE" w:rsidP="00397577">
      <w:pPr>
        <w:pStyle w:val="SourceornoteforTableorFigure"/>
      </w:pPr>
      <w:r w:rsidRPr="00446FE3">
        <w:t>Element:</w:t>
      </w:r>
      <w:r>
        <w:t xml:space="preserve"> </w:t>
      </w:r>
      <w:r w:rsidR="00A15FBC" w:rsidRPr="00A15FBC">
        <w:t>GBA-BEE-2-3</w:t>
      </w:r>
      <w:r w:rsidR="002F7B4D">
        <w:t>60</w:t>
      </w:r>
    </w:p>
    <w:p w14:paraId="3449E444" w14:textId="77777777" w:rsidR="003A5B5A" w:rsidRPr="00D36740" w:rsidRDefault="003A5B5A" w:rsidP="00CF40AD">
      <w:pPr>
        <w:pStyle w:val="BodyText"/>
        <w:sectPr w:rsidR="003A5B5A" w:rsidRPr="00D36740" w:rsidSect="00FA0D2E">
          <w:headerReference w:type="even" r:id="rId50"/>
          <w:headerReference w:type="default" r:id="rId51"/>
          <w:footerReference w:type="even" r:id="rId52"/>
          <w:footerReference w:type="default" r:id="rId53"/>
          <w:type w:val="continuous"/>
          <w:pgSz w:w="11906" w:h="16838" w:code="9"/>
          <w:pgMar w:top="1247" w:right="1134" w:bottom="1134" w:left="1134" w:header="510" w:footer="624" w:gutter="0"/>
          <w:pgNumType w:start="1"/>
          <w:cols w:space="284"/>
          <w:docGrid w:linePitch="360"/>
        </w:sectPr>
      </w:pPr>
    </w:p>
    <w:p w14:paraId="15C601E9" w14:textId="5F4442AA" w:rsidR="00D64D18" w:rsidRDefault="00043D95" w:rsidP="00043D95">
      <w:pPr>
        <w:pStyle w:val="Caption"/>
      </w:pPr>
      <w:bookmarkStart w:id="187" w:name="_Ref258744"/>
      <w:bookmarkStart w:id="188" w:name="_Toc4072423"/>
      <w:bookmarkStart w:id="189" w:name="_Toc4670935"/>
      <w:bookmarkStart w:id="190" w:name="_Toc4754355"/>
      <w:bookmarkStart w:id="191" w:name="_Toc5020740"/>
      <w:bookmarkStart w:id="192" w:name="_Toc5021547"/>
      <w:bookmarkStart w:id="193" w:name="_Toc5097073"/>
      <w:bookmarkStart w:id="194" w:name="_Toc5108465"/>
      <w:bookmarkStart w:id="195" w:name="_Toc5284129"/>
      <w:bookmarkStart w:id="196" w:name="_Toc5635344"/>
      <w:bookmarkStart w:id="197" w:name="_Toc5808303"/>
      <w:bookmarkStart w:id="198" w:name="_Toc5894906"/>
      <w:bookmarkStart w:id="199" w:name="_Toc5894995"/>
      <w:bookmarkStart w:id="200" w:name="_Toc6308884"/>
      <w:bookmarkStart w:id="201" w:name="_Toc6327549"/>
      <w:bookmarkStart w:id="202" w:name="_Toc38990501"/>
      <w:bookmarkStart w:id="203" w:name="_Hlk35260043"/>
      <w:r>
        <w:t xml:space="preserve">Table </w:t>
      </w:r>
      <w:r>
        <w:rPr>
          <w:noProof/>
        </w:rPr>
        <w:fldChar w:fldCharType="begin"/>
      </w:r>
      <w:r>
        <w:rPr>
          <w:noProof/>
        </w:rPr>
        <w:instrText xml:space="preserve"> SEQ Table \* ARABIC </w:instrText>
      </w:r>
      <w:r>
        <w:rPr>
          <w:noProof/>
        </w:rPr>
        <w:fldChar w:fldCharType="separate"/>
      </w:r>
      <w:r w:rsidR="00B177F5">
        <w:rPr>
          <w:noProof/>
        </w:rPr>
        <w:t>1</w:t>
      </w:r>
      <w:r>
        <w:rPr>
          <w:noProof/>
        </w:rPr>
        <w:fldChar w:fldCharType="end"/>
      </w:r>
      <w:bookmarkEnd w:id="187"/>
      <w:r>
        <w:rPr>
          <w:noProof/>
        </w:rPr>
        <w:t xml:space="preserve"> Calculated hydraulic head from </w:t>
      </w:r>
      <w:r w:rsidR="0025305D">
        <w:rPr>
          <w:noProof/>
        </w:rPr>
        <w:t>av</w:t>
      </w:r>
      <w:r w:rsidR="000C1920">
        <w:rPr>
          <w:noProof/>
        </w:rPr>
        <w:t>ail</w:t>
      </w:r>
      <w:r w:rsidR="0025305D">
        <w:rPr>
          <w:noProof/>
        </w:rPr>
        <w:t>able</w:t>
      </w:r>
      <w:r w:rsidR="004A5723">
        <w:rPr>
          <w:noProof/>
        </w:rPr>
        <w:t xml:space="preserve"> </w:t>
      </w:r>
      <w:r w:rsidR="0000729D">
        <w:rPr>
          <w:noProof/>
        </w:rPr>
        <w:t>d</w:t>
      </w:r>
      <w:r>
        <w:rPr>
          <w:noProof/>
        </w:rPr>
        <w:t xml:space="preserve">rill stem test </w:t>
      </w:r>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r w:rsidR="0000729D">
        <w:rPr>
          <w:noProof/>
        </w:rPr>
        <w:t>data</w:t>
      </w:r>
      <w:bookmarkEnd w:id="202"/>
    </w:p>
    <w:tbl>
      <w:tblPr>
        <w:tblStyle w:val="TableBAHeaderRow"/>
        <w:tblW w:w="14827" w:type="dxa"/>
        <w:tblInd w:w="0" w:type="dxa"/>
        <w:tblLook w:val="04A0" w:firstRow="1" w:lastRow="0" w:firstColumn="1" w:lastColumn="0" w:noHBand="0" w:noVBand="1"/>
      </w:tblPr>
      <w:tblGrid>
        <w:gridCol w:w="1080"/>
        <w:gridCol w:w="982"/>
        <w:gridCol w:w="1018"/>
        <w:gridCol w:w="1260"/>
        <w:gridCol w:w="1337"/>
        <w:gridCol w:w="1011"/>
        <w:gridCol w:w="840"/>
        <w:gridCol w:w="1360"/>
        <w:gridCol w:w="875"/>
        <w:gridCol w:w="1345"/>
        <w:gridCol w:w="1216"/>
        <w:gridCol w:w="2503"/>
      </w:tblGrid>
      <w:tr w:rsidR="00026EBF" w:rsidRPr="000B00B4" w14:paraId="4567D455" w14:textId="77777777" w:rsidTr="000941E5">
        <w:trPr>
          <w:cnfStyle w:val="100000000000" w:firstRow="1" w:lastRow="0" w:firstColumn="0" w:lastColumn="0" w:oddVBand="0" w:evenVBand="0" w:oddHBand="0" w:evenHBand="0" w:firstRowFirstColumn="0" w:firstRowLastColumn="0" w:lastRowFirstColumn="0" w:lastRowLastColumn="0"/>
          <w:trHeight w:val="1509"/>
          <w:tblHeader/>
        </w:trPr>
        <w:tc>
          <w:tcPr>
            <w:tcW w:w="1080" w:type="dxa"/>
            <w:hideMark/>
          </w:tcPr>
          <w:p w14:paraId="1F6497C3" w14:textId="77777777" w:rsidR="000B00B4" w:rsidRPr="000B00B4" w:rsidRDefault="000B00B4" w:rsidP="006831A9">
            <w:pPr>
              <w:pStyle w:val="TableText"/>
            </w:pPr>
            <w:r w:rsidRPr="000B00B4">
              <w:t>Well</w:t>
            </w:r>
          </w:p>
        </w:tc>
        <w:tc>
          <w:tcPr>
            <w:tcW w:w="982" w:type="dxa"/>
            <w:noWrap/>
            <w:hideMark/>
          </w:tcPr>
          <w:p w14:paraId="711EC7C3" w14:textId="48EA3DF9" w:rsidR="000B00B4" w:rsidRPr="000B00B4" w:rsidRDefault="003C6DBE" w:rsidP="005C7A4A">
            <w:pPr>
              <w:pStyle w:val="TableTextCentred"/>
            </w:pPr>
            <w:r>
              <w:t>Height</w:t>
            </w:r>
            <w:r w:rsidR="008867D1">
              <w:br/>
            </w:r>
            <w:r w:rsidR="000B00B4" w:rsidRPr="000B00B4">
              <w:t>(</w:t>
            </w:r>
            <w:r>
              <w:t xml:space="preserve">Kellybush - </w:t>
            </w:r>
            <w:r w:rsidR="000B00B4" w:rsidRPr="000B00B4">
              <w:t>m</w:t>
            </w:r>
            <w:r w:rsidR="008867D1">
              <w:t>AHD</w:t>
            </w:r>
            <w:r w:rsidR="000B00B4" w:rsidRPr="000B00B4">
              <w:t>)</w:t>
            </w:r>
          </w:p>
        </w:tc>
        <w:tc>
          <w:tcPr>
            <w:tcW w:w="1018" w:type="dxa"/>
            <w:hideMark/>
          </w:tcPr>
          <w:p w14:paraId="44E27F52" w14:textId="12BFABAA" w:rsidR="000B00B4" w:rsidRPr="000B00B4" w:rsidRDefault="000B00B4" w:rsidP="005C7A4A">
            <w:pPr>
              <w:pStyle w:val="TableTextCentred"/>
            </w:pPr>
            <w:r w:rsidRPr="000B00B4">
              <w:t xml:space="preserve">DST </w:t>
            </w:r>
            <w:r w:rsidR="00946E46">
              <w:t>t</w:t>
            </w:r>
            <w:r w:rsidRPr="000B00B4">
              <w:t xml:space="preserve">est </w:t>
            </w:r>
            <w:r w:rsidR="00946E46">
              <w:t>n</w:t>
            </w:r>
            <w:r w:rsidRPr="000B00B4">
              <w:t xml:space="preserve">umber </w:t>
            </w:r>
          </w:p>
        </w:tc>
        <w:tc>
          <w:tcPr>
            <w:tcW w:w="1260" w:type="dxa"/>
            <w:noWrap/>
            <w:hideMark/>
          </w:tcPr>
          <w:p w14:paraId="403B53D1" w14:textId="77777777" w:rsidR="000B00B4" w:rsidRPr="000B00B4" w:rsidRDefault="000B00B4" w:rsidP="000C0697">
            <w:pPr>
              <w:pStyle w:val="TableText"/>
            </w:pPr>
            <w:r w:rsidRPr="000B00B4">
              <w:t>Formation tested</w:t>
            </w:r>
          </w:p>
        </w:tc>
        <w:tc>
          <w:tcPr>
            <w:tcW w:w="1337" w:type="dxa"/>
            <w:hideMark/>
          </w:tcPr>
          <w:p w14:paraId="3F0B4966" w14:textId="60F650D1" w:rsidR="000B00B4" w:rsidRPr="000B00B4" w:rsidRDefault="13ECA1A1" w:rsidP="005C7A4A">
            <w:pPr>
              <w:pStyle w:val="TableTextCentred"/>
            </w:pPr>
            <w:r>
              <w:t>Depth to top of Proterozoic rocks in well</w:t>
            </w:r>
            <w:r w:rsidR="003123B1">
              <w:br/>
              <w:t>(m)</w:t>
            </w:r>
          </w:p>
        </w:tc>
        <w:tc>
          <w:tcPr>
            <w:tcW w:w="1011" w:type="dxa"/>
            <w:hideMark/>
          </w:tcPr>
          <w:p w14:paraId="2F0BAB0B" w14:textId="5FC65F07" w:rsidR="000B00B4" w:rsidRPr="000B00B4" w:rsidRDefault="000B00B4" w:rsidP="005C7A4A">
            <w:pPr>
              <w:pStyle w:val="TableTextCentred"/>
            </w:pPr>
            <w:r w:rsidRPr="000B00B4">
              <w:t xml:space="preserve">DST </w:t>
            </w:r>
            <w:r w:rsidR="00946E46">
              <w:t>g</w:t>
            </w:r>
            <w:r w:rsidRPr="000B00B4">
              <w:t xml:space="preserve">auge </w:t>
            </w:r>
            <w:r w:rsidR="00946E46">
              <w:t>d</w:t>
            </w:r>
            <w:r w:rsidRPr="000B00B4">
              <w:t>epth</w:t>
            </w:r>
            <w:r w:rsidR="005C7A4A">
              <w:br/>
            </w:r>
            <w:r w:rsidR="003C6DBE">
              <w:t>(m below KB)</w:t>
            </w:r>
          </w:p>
        </w:tc>
        <w:tc>
          <w:tcPr>
            <w:tcW w:w="840" w:type="dxa"/>
            <w:hideMark/>
          </w:tcPr>
          <w:p w14:paraId="6DAD886E" w14:textId="0E067578" w:rsidR="000B00B4" w:rsidRPr="000B00B4" w:rsidRDefault="00026EBF" w:rsidP="005C7A4A">
            <w:pPr>
              <w:pStyle w:val="TableTextCentred"/>
            </w:pPr>
            <w:r>
              <w:t xml:space="preserve">Final </w:t>
            </w:r>
            <w:r w:rsidR="00946E46">
              <w:t>p</w:t>
            </w:r>
            <w:r w:rsidR="000B00B4" w:rsidRPr="000B00B4">
              <w:t>ressure (PSIG)</w:t>
            </w:r>
          </w:p>
        </w:tc>
        <w:tc>
          <w:tcPr>
            <w:tcW w:w="1360" w:type="dxa"/>
            <w:hideMark/>
          </w:tcPr>
          <w:p w14:paraId="66752EFD" w14:textId="77777777" w:rsidR="000B00B4" w:rsidRDefault="000B00B4" w:rsidP="005C7A4A">
            <w:pPr>
              <w:pStyle w:val="TableTextCentred"/>
            </w:pPr>
            <w:r w:rsidRPr="000B00B4">
              <w:t>Temp</w:t>
            </w:r>
            <w:r>
              <w:t>erature</w:t>
            </w:r>
          </w:p>
          <w:p w14:paraId="3557D015" w14:textId="7746BCDE" w:rsidR="000B00B4" w:rsidRPr="000B00B4" w:rsidRDefault="000B00B4" w:rsidP="005C7A4A">
            <w:pPr>
              <w:pStyle w:val="TableTextCentred"/>
            </w:pPr>
            <w:r>
              <w:t>(</w:t>
            </w:r>
            <w:r w:rsidRPr="000B00B4">
              <w:t>°</w:t>
            </w:r>
            <w:r>
              <w:t>C)</w:t>
            </w:r>
          </w:p>
        </w:tc>
        <w:tc>
          <w:tcPr>
            <w:tcW w:w="875" w:type="dxa"/>
            <w:hideMark/>
          </w:tcPr>
          <w:p w14:paraId="04D693AB" w14:textId="6F854216" w:rsidR="000B00B4" w:rsidRPr="000B00B4" w:rsidRDefault="005C7A4A" w:rsidP="005C7A4A">
            <w:pPr>
              <w:pStyle w:val="TableTextCentred"/>
            </w:pPr>
            <w:r>
              <w:t>S</w:t>
            </w:r>
            <w:r w:rsidR="000B00B4" w:rsidRPr="000B00B4">
              <w:t>alinity estimate (g/kg)</w:t>
            </w:r>
          </w:p>
        </w:tc>
        <w:tc>
          <w:tcPr>
            <w:tcW w:w="1345" w:type="dxa"/>
            <w:hideMark/>
          </w:tcPr>
          <w:p w14:paraId="36EBB906" w14:textId="14135C70" w:rsidR="000B00B4" w:rsidRPr="000B00B4" w:rsidRDefault="000B00B4" w:rsidP="005C7A4A">
            <w:pPr>
              <w:pStyle w:val="TableTextCentred"/>
            </w:pPr>
            <w:r>
              <w:t>Calculated e</w:t>
            </w:r>
            <w:r w:rsidRPr="000B00B4">
              <w:t>nvironmental hydraulic head (m</w:t>
            </w:r>
            <w:r w:rsidR="008867D1">
              <w:t>AHD</w:t>
            </w:r>
            <w:r w:rsidRPr="000B00B4">
              <w:t>)</w:t>
            </w:r>
          </w:p>
        </w:tc>
        <w:tc>
          <w:tcPr>
            <w:tcW w:w="1216" w:type="dxa"/>
            <w:hideMark/>
          </w:tcPr>
          <w:p w14:paraId="590E450E" w14:textId="77777777" w:rsidR="000B00B4" w:rsidRDefault="000B00B4" w:rsidP="005C7A4A">
            <w:pPr>
              <w:pStyle w:val="TableTextCentred"/>
            </w:pPr>
            <w:r w:rsidRPr="000B00B4">
              <w:t xml:space="preserve">Freshwater hydraulic head </w:t>
            </w:r>
            <w:r>
              <w:t>equivalent</w:t>
            </w:r>
          </w:p>
          <w:p w14:paraId="0C25F3F9" w14:textId="0C1747D3" w:rsidR="000B00B4" w:rsidRPr="000B00B4" w:rsidRDefault="000B00B4" w:rsidP="005C7A4A">
            <w:pPr>
              <w:pStyle w:val="TableTextCentred"/>
            </w:pPr>
            <w:r w:rsidRPr="000B00B4">
              <w:t>(m</w:t>
            </w:r>
            <w:r w:rsidR="008867D1">
              <w:t>AHD</w:t>
            </w:r>
            <w:r w:rsidRPr="000B00B4">
              <w:t>)</w:t>
            </w:r>
          </w:p>
        </w:tc>
        <w:tc>
          <w:tcPr>
            <w:tcW w:w="2503" w:type="dxa"/>
            <w:hideMark/>
          </w:tcPr>
          <w:p w14:paraId="270D544D" w14:textId="77777777" w:rsidR="000B00B4" w:rsidRPr="000B00B4" w:rsidRDefault="000B00B4" w:rsidP="006831A9">
            <w:pPr>
              <w:pStyle w:val="TableText"/>
            </w:pPr>
            <w:r w:rsidRPr="000B00B4">
              <w:t>DST result/comment</w:t>
            </w:r>
          </w:p>
        </w:tc>
      </w:tr>
      <w:tr w:rsidR="00026EBF" w:rsidRPr="000B00B4" w14:paraId="1A3C590C" w14:textId="77777777" w:rsidTr="000941E5">
        <w:trPr>
          <w:cnfStyle w:val="000000100000" w:firstRow="0" w:lastRow="0" w:firstColumn="0" w:lastColumn="0" w:oddVBand="0" w:evenVBand="0" w:oddHBand="1" w:evenHBand="0" w:firstRowFirstColumn="0" w:firstRowLastColumn="0" w:lastRowFirstColumn="0" w:lastRowLastColumn="0"/>
          <w:trHeight w:val="759"/>
        </w:trPr>
        <w:tc>
          <w:tcPr>
            <w:tcW w:w="1080" w:type="dxa"/>
            <w:hideMark/>
          </w:tcPr>
          <w:p w14:paraId="3B4989DC" w14:textId="77777777" w:rsidR="000B00B4" w:rsidRPr="000B00B4" w:rsidRDefault="000B00B4" w:rsidP="000C0697">
            <w:pPr>
              <w:pStyle w:val="TableText"/>
              <w:rPr>
                <w:sz w:val="18"/>
                <w:szCs w:val="18"/>
              </w:rPr>
            </w:pPr>
            <w:r w:rsidRPr="000B00B4">
              <w:t>Balmain 1</w:t>
            </w:r>
          </w:p>
        </w:tc>
        <w:tc>
          <w:tcPr>
            <w:tcW w:w="982" w:type="dxa"/>
            <w:noWrap/>
            <w:hideMark/>
          </w:tcPr>
          <w:p w14:paraId="0F3A939E" w14:textId="77777777" w:rsidR="000B00B4" w:rsidRPr="000B00B4" w:rsidRDefault="000B00B4" w:rsidP="005C7A4A">
            <w:pPr>
              <w:pStyle w:val="TableTextRight"/>
              <w:rPr>
                <w:sz w:val="18"/>
                <w:szCs w:val="18"/>
              </w:rPr>
            </w:pPr>
            <w:r w:rsidRPr="000B00B4">
              <w:t>230.5</w:t>
            </w:r>
          </w:p>
        </w:tc>
        <w:tc>
          <w:tcPr>
            <w:tcW w:w="1018" w:type="dxa"/>
            <w:hideMark/>
          </w:tcPr>
          <w:p w14:paraId="553DCDF1" w14:textId="77777777" w:rsidR="000B00B4" w:rsidRPr="000B00B4" w:rsidRDefault="000B00B4" w:rsidP="005C7A4A">
            <w:pPr>
              <w:pStyle w:val="TableTextRight"/>
              <w:rPr>
                <w:sz w:val="18"/>
                <w:szCs w:val="18"/>
              </w:rPr>
            </w:pPr>
            <w:r w:rsidRPr="000B00B4">
              <w:t>1</w:t>
            </w:r>
          </w:p>
        </w:tc>
        <w:tc>
          <w:tcPr>
            <w:tcW w:w="1260" w:type="dxa"/>
            <w:hideMark/>
          </w:tcPr>
          <w:p w14:paraId="3F128392" w14:textId="463ADB8A" w:rsidR="000B00B4" w:rsidRPr="000B00B4" w:rsidRDefault="5B3F5A9C" w:rsidP="000C0697">
            <w:pPr>
              <w:pStyle w:val="TableText"/>
              <w:rPr>
                <w:sz w:val="18"/>
                <w:szCs w:val="18"/>
              </w:rPr>
            </w:pPr>
            <w:r w:rsidRPr="5B3F5A9C">
              <w:t xml:space="preserve">Hayfield </w:t>
            </w:r>
            <w:r w:rsidR="003E4C79">
              <w:t>m</w:t>
            </w:r>
            <w:r w:rsidR="00AD1A11">
              <w:t>st</w:t>
            </w:r>
          </w:p>
        </w:tc>
        <w:tc>
          <w:tcPr>
            <w:tcW w:w="1337" w:type="dxa"/>
            <w:hideMark/>
          </w:tcPr>
          <w:p w14:paraId="444E5CE5" w14:textId="77777777" w:rsidR="000B00B4" w:rsidRPr="000B00B4" w:rsidRDefault="000B00B4" w:rsidP="005C7A4A">
            <w:pPr>
              <w:pStyle w:val="TableTextRight"/>
              <w:rPr>
                <w:sz w:val="18"/>
                <w:szCs w:val="18"/>
              </w:rPr>
            </w:pPr>
            <w:r w:rsidRPr="000B00B4">
              <w:t>404</w:t>
            </w:r>
          </w:p>
        </w:tc>
        <w:tc>
          <w:tcPr>
            <w:tcW w:w="1011" w:type="dxa"/>
            <w:hideMark/>
          </w:tcPr>
          <w:p w14:paraId="0D4E8367" w14:textId="77777777" w:rsidR="000B00B4" w:rsidRPr="000B00B4" w:rsidRDefault="000B00B4" w:rsidP="005C7A4A">
            <w:pPr>
              <w:pStyle w:val="TableTextRight"/>
              <w:rPr>
                <w:sz w:val="18"/>
                <w:szCs w:val="18"/>
              </w:rPr>
            </w:pPr>
            <w:r w:rsidRPr="000B00B4">
              <w:t>780.97</w:t>
            </w:r>
          </w:p>
        </w:tc>
        <w:tc>
          <w:tcPr>
            <w:tcW w:w="840" w:type="dxa"/>
            <w:noWrap/>
            <w:hideMark/>
          </w:tcPr>
          <w:p w14:paraId="1813C177" w14:textId="77777777" w:rsidR="000B00B4" w:rsidRPr="000B00B4" w:rsidRDefault="000B00B4" w:rsidP="005C7A4A">
            <w:pPr>
              <w:pStyle w:val="TableTextRight"/>
              <w:rPr>
                <w:sz w:val="18"/>
                <w:szCs w:val="18"/>
              </w:rPr>
            </w:pPr>
            <w:r w:rsidRPr="000B00B4">
              <w:t>1198</w:t>
            </w:r>
          </w:p>
        </w:tc>
        <w:tc>
          <w:tcPr>
            <w:tcW w:w="1360" w:type="dxa"/>
            <w:noWrap/>
            <w:hideMark/>
          </w:tcPr>
          <w:p w14:paraId="48F1AACD" w14:textId="77777777" w:rsidR="000B00B4" w:rsidRPr="000B00B4" w:rsidRDefault="000B00B4" w:rsidP="005C7A4A">
            <w:pPr>
              <w:pStyle w:val="TableTextRight"/>
              <w:rPr>
                <w:sz w:val="18"/>
                <w:szCs w:val="18"/>
              </w:rPr>
            </w:pPr>
            <w:r w:rsidRPr="000B00B4">
              <w:t>53.2</w:t>
            </w:r>
          </w:p>
        </w:tc>
        <w:tc>
          <w:tcPr>
            <w:tcW w:w="875" w:type="dxa"/>
            <w:hideMark/>
          </w:tcPr>
          <w:p w14:paraId="7A3259A1" w14:textId="77777777" w:rsidR="000B00B4" w:rsidRPr="000B00B4" w:rsidRDefault="000B00B4" w:rsidP="005C7A4A">
            <w:pPr>
              <w:pStyle w:val="TableTextRight"/>
              <w:rPr>
                <w:sz w:val="18"/>
                <w:szCs w:val="18"/>
              </w:rPr>
            </w:pPr>
            <w:r w:rsidRPr="000B00B4">
              <w:t>50</w:t>
            </w:r>
          </w:p>
        </w:tc>
        <w:tc>
          <w:tcPr>
            <w:tcW w:w="1345" w:type="dxa"/>
            <w:noWrap/>
            <w:hideMark/>
          </w:tcPr>
          <w:p w14:paraId="78A5698D" w14:textId="77777777" w:rsidR="000B00B4" w:rsidRPr="000B00B4" w:rsidRDefault="000B00B4" w:rsidP="005C7A4A">
            <w:pPr>
              <w:pStyle w:val="TableTextRight"/>
              <w:rPr>
                <w:sz w:val="18"/>
                <w:szCs w:val="18"/>
              </w:rPr>
            </w:pPr>
            <w:r w:rsidRPr="000B00B4">
              <w:t>273</w:t>
            </w:r>
          </w:p>
        </w:tc>
        <w:tc>
          <w:tcPr>
            <w:tcW w:w="1216" w:type="dxa"/>
            <w:noWrap/>
            <w:hideMark/>
          </w:tcPr>
          <w:p w14:paraId="7CCF2DFF" w14:textId="77777777" w:rsidR="000B00B4" w:rsidRPr="000B00B4" w:rsidRDefault="000B00B4" w:rsidP="005C7A4A">
            <w:pPr>
              <w:pStyle w:val="TableTextRight"/>
              <w:rPr>
                <w:sz w:val="18"/>
                <w:szCs w:val="18"/>
              </w:rPr>
            </w:pPr>
            <w:r w:rsidRPr="000B00B4">
              <w:t>293</w:t>
            </w:r>
          </w:p>
        </w:tc>
        <w:tc>
          <w:tcPr>
            <w:tcW w:w="2503" w:type="dxa"/>
            <w:hideMark/>
          </w:tcPr>
          <w:p w14:paraId="33247F81" w14:textId="53B05A98" w:rsidR="000B00B4" w:rsidRPr="000B00B4" w:rsidRDefault="000B00B4" w:rsidP="000C0697">
            <w:pPr>
              <w:pStyle w:val="TableText"/>
              <w:rPr>
                <w:sz w:val="18"/>
                <w:szCs w:val="18"/>
              </w:rPr>
            </w:pPr>
            <w:r w:rsidRPr="000B00B4">
              <w:t>Pulled 25.64</w:t>
            </w:r>
            <w:r w:rsidR="003E4C79">
              <w:t xml:space="preserve"> </w:t>
            </w:r>
            <w:r w:rsidRPr="000B00B4">
              <w:t>m column (29</w:t>
            </w:r>
            <w:r w:rsidR="00BB6D37">
              <w:t> </w:t>
            </w:r>
            <w:r w:rsidRPr="000B00B4">
              <w:t>L) of liquid, approximately 4</w:t>
            </w:r>
            <w:r w:rsidR="003E4C79">
              <w:t xml:space="preserve"> </w:t>
            </w:r>
            <w:r w:rsidRPr="000B00B4">
              <w:t>m (4.5</w:t>
            </w:r>
            <w:r w:rsidR="00BB6D37">
              <w:t> </w:t>
            </w:r>
            <w:r w:rsidRPr="000B00B4">
              <w:t>L) oil and 21.64 (24.5</w:t>
            </w:r>
            <w:r w:rsidR="00BB6D37">
              <w:t> </w:t>
            </w:r>
            <w:r w:rsidRPr="000B00B4">
              <w:t xml:space="preserve">L) of oil cut rat hole mud </w:t>
            </w:r>
          </w:p>
        </w:tc>
      </w:tr>
      <w:tr w:rsidR="00026EBF" w:rsidRPr="000B00B4" w14:paraId="03565801" w14:textId="77777777" w:rsidTr="000941E5">
        <w:trPr>
          <w:cnfStyle w:val="000000010000" w:firstRow="0" w:lastRow="0" w:firstColumn="0" w:lastColumn="0" w:oddVBand="0" w:evenVBand="0" w:oddHBand="0" w:evenHBand="1" w:firstRowFirstColumn="0" w:firstRowLastColumn="0" w:lastRowFirstColumn="0" w:lastRowLastColumn="0"/>
          <w:trHeight w:val="568"/>
        </w:trPr>
        <w:tc>
          <w:tcPr>
            <w:tcW w:w="1080" w:type="dxa"/>
            <w:hideMark/>
          </w:tcPr>
          <w:p w14:paraId="1830EB64" w14:textId="77777777" w:rsidR="000B00B4" w:rsidRPr="000B00B4" w:rsidRDefault="000B00B4" w:rsidP="000C0697">
            <w:pPr>
              <w:pStyle w:val="TableText"/>
              <w:rPr>
                <w:sz w:val="18"/>
                <w:szCs w:val="18"/>
              </w:rPr>
            </w:pPr>
            <w:r w:rsidRPr="000B00B4">
              <w:t>Balmain 1</w:t>
            </w:r>
          </w:p>
        </w:tc>
        <w:tc>
          <w:tcPr>
            <w:tcW w:w="982" w:type="dxa"/>
            <w:noWrap/>
            <w:hideMark/>
          </w:tcPr>
          <w:p w14:paraId="27C3207D" w14:textId="77777777" w:rsidR="000B00B4" w:rsidRPr="000B00B4" w:rsidRDefault="000B00B4" w:rsidP="005C7A4A">
            <w:pPr>
              <w:pStyle w:val="TableTextRight"/>
              <w:rPr>
                <w:sz w:val="18"/>
                <w:szCs w:val="18"/>
              </w:rPr>
            </w:pPr>
            <w:r w:rsidRPr="000B00B4">
              <w:t>230.5</w:t>
            </w:r>
          </w:p>
        </w:tc>
        <w:tc>
          <w:tcPr>
            <w:tcW w:w="1018" w:type="dxa"/>
            <w:hideMark/>
          </w:tcPr>
          <w:p w14:paraId="03C227FE" w14:textId="77777777" w:rsidR="000B00B4" w:rsidRPr="000B00B4" w:rsidRDefault="000B00B4" w:rsidP="005C7A4A">
            <w:pPr>
              <w:pStyle w:val="TableTextRight"/>
              <w:rPr>
                <w:sz w:val="18"/>
                <w:szCs w:val="18"/>
              </w:rPr>
            </w:pPr>
            <w:r w:rsidRPr="000B00B4">
              <w:t>2</w:t>
            </w:r>
          </w:p>
        </w:tc>
        <w:tc>
          <w:tcPr>
            <w:tcW w:w="1260" w:type="dxa"/>
            <w:hideMark/>
          </w:tcPr>
          <w:p w14:paraId="4A84E0D0" w14:textId="1881CFDC" w:rsidR="000B00B4" w:rsidRPr="000B00B4" w:rsidRDefault="5B3F5A9C" w:rsidP="00EA4AA1">
            <w:pPr>
              <w:pStyle w:val="TableText"/>
              <w:rPr>
                <w:sz w:val="18"/>
                <w:szCs w:val="18"/>
              </w:rPr>
            </w:pPr>
            <w:r w:rsidRPr="5B3F5A9C">
              <w:t xml:space="preserve">Jamison </w:t>
            </w:r>
            <w:r w:rsidR="00EB49C9">
              <w:t>s</w:t>
            </w:r>
            <w:r w:rsidRPr="5B3F5A9C">
              <w:t>st</w:t>
            </w:r>
          </w:p>
        </w:tc>
        <w:tc>
          <w:tcPr>
            <w:tcW w:w="1337" w:type="dxa"/>
            <w:hideMark/>
          </w:tcPr>
          <w:p w14:paraId="66B16579" w14:textId="77777777" w:rsidR="000B00B4" w:rsidRPr="000B00B4" w:rsidRDefault="000B00B4" w:rsidP="005C7A4A">
            <w:pPr>
              <w:pStyle w:val="TableTextRight"/>
              <w:rPr>
                <w:sz w:val="18"/>
                <w:szCs w:val="18"/>
              </w:rPr>
            </w:pPr>
            <w:r w:rsidRPr="000B00B4">
              <w:t>404</w:t>
            </w:r>
          </w:p>
        </w:tc>
        <w:tc>
          <w:tcPr>
            <w:tcW w:w="1011" w:type="dxa"/>
            <w:hideMark/>
          </w:tcPr>
          <w:p w14:paraId="3E8ED1F6" w14:textId="77777777" w:rsidR="000B00B4" w:rsidRPr="000B00B4" w:rsidRDefault="000B00B4" w:rsidP="005C7A4A">
            <w:pPr>
              <w:pStyle w:val="TableTextRight"/>
              <w:rPr>
                <w:sz w:val="18"/>
                <w:szCs w:val="18"/>
              </w:rPr>
            </w:pPr>
            <w:r w:rsidRPr="000B00B4">
              <w:t>883.96</w:t>
            </w:r>
          </w:p>
        </w:tc>
        <w:tc>
          <w:tcPr>
            <w:tcW w:w="840" w:type="dxa"/>
            <w:noWrap/>
            <w:hideMark/>
          </w:tcPr>
          <w:p w14:paraId="08199FA4" w14:textId="77777777" w:rsidR="000B00B4" w:rsidRPr="000B00B4" w:rsidRDefault="000B00B4" w:rsidP="005C7A4A">
            <w:pPr>
              <w:pStyle w:val="TableTextRight"/>
              <w:rPr>
                <w:sz w:val="18"/>
                <w:szCs w:val="18"/>
              </w:rPr>
            </w:pPr>
            <w:r w:rsidRPr="000B00B4">
              <w:t>1231</w:t>
            </w:r>
          </w:p>
        </w:tc>
        <w:tc>
          <w:tcPr>
            <w:tcW w:w="1360" w:type="dxa"/>
            <w:noWrap/>
            <w:hideMark/>
          </w:tcPr>
          <w:p w14:paraId="5A0DFED0" w14:textId="77777777" w:rsidR="000B00B4" w:rsidRPr="000B00B4" w:rsidRDefault="000B00B4" w:rsidP="005C7A4A">
            <w:pPr>
              <w:pStyle w:val="TableTextRight"/>
              <w:rPr>
                <w:sz w:val="18"/>
                <w:szCs w:val="18"/>
              </w:rPr>
            </w:pPr>
            <w:r w:rsidRPr="000B00B4">
              <w:t>57.2</w:t>
            </w:r>
          </w:p>
        </w:tc>
        <w:tc>
          <w:tcPr>
            <w:tcW w:w="875" w:type="dxa"/>
            <w:hideMark/>
          </w:tcPr>
          <w:p w14:paraId="65F56028" w14:textId="77777777" w:rsidR="000B00B4" w:rsidRPr="000B00B4" w:rsidRDefault="000B00B4" w:rsidP="005C7A4A">
            <w:pPr>
              <w:pStyle w:val="TableTextRight"/>
              <w:rPr>
                <w:sz w:val="18"/>
                <w:szCs w:val="18"/>
              </w:rPr>
            </w:pPr>
            <w:r w:rsidRPr="000B00B4">
              <w:t>50</w:t>
            </w:r>
          </w:p>
        </w:tc>
        <w:tc>
          <w:tcPr>
            <w:tcW w:w="1345" w:type="dxa"/>
            <w:noWrap/>
            <w:hideMark/>
          </w:tcPr>
          <w:p w14:paraId="1176BC45" w14:textId="77777777" w:rsidR="000B00B4" w:rsidRPr="000B00B4" w:rsidRDefault="000B00B4" w:rsidP="005C7A4A">
            <w:pPr>
              <w:pStyle w:val="TableTextRight"/>
              <w:rPr>
                <w:sz w:val="18"/>
                <w:szCs w:val="18"/>
              </w:rPr>
            </w:pPr>
            <w:r w:rsidRPr="000B00B4">
              <w:t>194</w:t>
            </w:r>
          </w:p>
        </w:tc>
        <w:tc>
          <w:tcPr>
            <w:tcW w:w="1216" w:type="dxa"/>
            <w:noWrap/>
            <w:hideMark/>
          </w:tcPr>
          <w:p w14:paraId="13215F76" w14:textId="77777777" w:rsidR="000B00B4" w:rsidRPr="000B00B4" w:rsidRDefault="000B00B4" w:rsidP="005C7A4A">
            <w:pPr>
              <w:pStyle w:val="TableTextRight"/>
              <w:rPr>
                <w:sz w:val="18"/>
                <w:szCs w:val="18"/>
              </w:rPr>
            </w:pPr>
            <w:r w:rsidRPr="000B00B4">
              <w:t>213</w:t>
            </w:r>
          </w:p>
        </w:tc>
        <w:tc>
          <w:tcPr>
            <w:tcW w:w="2503" w:type="dxa"/>
            <w:hideMark/>
          </w:tcPr>
          <w:p w14:paraId="0257F4C8" w14:textId="378FAB7E" w:rsidR="000B00B4" w:rsidRPr="000B00B4" w:rsidRDefault="000B00B4" w:rsidP="00EA4AA1">
            <w:pPr>
              <w:pStyle w:val="TableText"/>
              <w:rPr>
                <w:sz w:val="18"/>
                <w:szCs w:val="18"/>
              </w:rPr>
            </w:pPr>
            <w:r w:rsidRPr="000B00B4">
              <w:t>Recovered 80.</w:t>
            </w:r>
            <w:r w:rsidR="003E4C79" w:rsidRPr="000B00B4">
              <w:t>5</w:t>
            </w:r>
            <w:r w:rsidR="00BB6D37">
              <w:t> </w:t>
            </w:r>
            <w:r w:rsidR="003E4C79">
              <w:t>L</w:t>
            </w:r>
            <w:r w:rsidR="003E4C79" w:rsidRPr="000B00B4">
              <w:t xml:space="preserve"> </w:t>
            </w:r>
            <w:r w:rsidR="00043D95" w:rsidRPr="00046483">
              <w:t>foetid</w:t>
            </w:r>
            <w:r w:rsidRPr="00046483">
              <w:t xml:space="preserve"> salty formation water</w:t>
            </w:r>
          </w:p>
        </w:tc>
      </w:tr>
      <w:tr w:rsidR="00026EBF" w:rsidRPr="000B00B4" w14:paraId="7F78C90D" w14:textId="77777777" w:rsidTr="000941E5">
        <w:trPr>
          <w:cnfStyle w:val="000000100000" w:firstRow="0" w:lastRow="0" w:firstColumn="0" w:lastColumn="0" w:oddVBand="0" w:evenVBand="0" w:oddHBand="1" w:evenHBand="0" w:firstRowFirstColumn="0" w:firstRowLastColumn="0" w:lastRowFirstColumn="0" w:lastRowLastColumn="0"/>
          <w:trHeight w:val="402"/>
        </w:trPr>
        <w:tc>
          <w:tcPr>
            <w:tcW w:w="1080" w:type="dxa"/>
            <w:noWrap/>
            <w:hideMark/>
          </w:tcPr>
          <w:p w14:paraId="227ACC73" w14:textId="77777777" w:rsidR="000B00B4" w:rsidRPr="000B00B4" w:rsidRDefault="000B00B4" w:rsidP="000C0697">
            <w:pPr>
              <w:pStyle w:val="TableText"/>
              <w:rPr>
                <w:sz w:val="18"/>
                <w:szCs w:val="18"/>
              </w:rPr>
            </w:pPr>
            <w:r w:rsidRPr="000B00B4">
              <w:t>Elliott 1</w:t>
            </w:r>
          </w:p>
        </w:tc>
        <w:tc>
          <w:tcPr>
            <w:tcW w:w="982" w:type="dxa"/>
            <w:noWrap/>
            <w:hideMark/>
          </w:tcPr>
          <w:p w14:paraId="5C021715" w14:textId="77777777" w:rsidR="000B00B4" w:rsidRPr="000B00B4" w:rsidRDefault="000B00B4" w:rsidP="005C7A4A">
            <w:pPr>
              <w:pStyle w:val="TableTextRight"/>
              <w:rPr>
                <w:sz w:val="18"/>
                <w:szCs w:val="18"/>
              </w:rPr>
            </w:pPr>
            <w:r w:rsidRPr="000B00B4">
              <w:t>246.3</w:t>
            </w:r>
          </w:p>
        </w:tc>
        <w:tc>
          <w:tcPr>
            <w:tcW w:w="1018" w:type="dxa"/>
            <w:noWrap/>
            <w:hideMark/>
          </w:tcPr>
          <w:p w14:paraId="573C5DE0" w14:textId="77777777" w:rsidR="000B00B4" w:rsidRPr="000B00B4" w:rsidRDefault="000B00B4" w:rsidP="005C7A4A">
            <w:pPr>
              <w:pStyle w:val="TableTextRight"/>
              <w:rPr>
                <w:sz w:val="18"/>
                <w:szCs w:val="18"/>
              </w:rPr>
            </w:pPr>
            <w:r w:rsidRPr="000B00B4">
              <w:t>3</w:t>
            </w:r>
          </w:p>
        </w:tc>
        <w:tc>
          <w:tcPr>
            <w:tcW w:w="1260" w:type="dxa"/>
            <w:noWrap/>
            <w:hideMark/>
          </w:tcPr>
          <w:p w14:paraId="41EA496B" w14:textId="77777777" w:rsidR="000B00B4" w:rsidRPr="000B00B4" w:rsidRDefault="000B00B4" w:rsidP="000C0697">
            <w:pPr>
              <w:pStyle w:val="TableText"/>
              <w:rPr>
                <w:sz w:val="18"/>
                <w:szCs w:val="18"/>
              </w:rPr>
            </w:pPr>
            <w:r w:rsidRPr="000B00B4">
              <w:t>Kyalla Fm</w:t>
            </w:r>
          </w:p>
        </w:tc>
        <w:tc>
          <w:tcPr>
            <w:tcW w:w="1337" w:type="dxa"/>
            <w:noWrap/>
            <w:hideMark/>
          </w:tcPr>
          <w:p w14:paraId="540F6F0D" w14:textId="77777777" w:rsidR="000B00B4" w:rsidRPr="000B00B4" w:rsidRDefault="000B00B4" w:rsidP="005C7A4A">
            <w:pPr>
              <w:pStyle w:val="TableTextRight"/>
              <w:rPr>
                <w:sz w:val="18"/>
                <w:szCs w:val="18"/>
              </w:rPr>
            </w:pPr>
            <w:r w:rsidRPr="000B00B4">
              <w:t>524</w:t>
            </w:r>
          </w:p>
        </w:tc>
        <w:tc>
          <w:tcPr>
            <w:tcW w:w="1011" w:type="dxa"/>
            <w:hideMark/>
          </w:tcPr>
          <w:p w14:paraId="6F24361D" w14:textId="77777777" w:rsidR="000B00B4" w:rsidRPr="000B00B4" w:rsidRDefault="000B00B4" w:rsidP="005C7A4A">
            <w:pPr>
              <w:pStyle w:val="TableTextRight"/>
              <w:rPr>
                <w:sz w:val="18"/>
                <w:szCs w:val="18"/>
              </w:rPr>
            </w:pPr>
            <w:r w:rsidRPr="000B00B4">
              <w:t>1104.77</w:t>
            </w:r>
          </w:p>
        </w:tc>
        <w:tc>
          <w:tcPr>
            <w:tcW w:w="840" w:type="dxa"/>
            <w:noWrap/>
            <w:hideMark/>
          </w:tcPr>
          <w:p w14:paraId="5B3CE20E" w14:textId="77777777" w:rsidR="000B00B4" w:rsidRPr="000B00B4" w:rsidRDefault="000B00B4" w:rsidP="005C7A4A">
            <w:pPr>
              <w:pStyle w:val="TableTextRight"/>
              <w:rPr>
                <w:sz w:val="18"/>
                <w:szCs w:val="18"/>
              </w:rPr>
            </w:pPr>
            <w:r w:rsidRPr="000B00B4">
              <w:t>1726</w:t>
            </w:r>
          </w:p>
        </w:tc>
        <w:tc>
          <w:tcPr>
            <w:tcW w:w="1360" w:type="dxa"/>
            <w:noWrap/>
            <w:hideMark/>
          </w:tcPr>
          <w:p w14:paraId="49B9261A" w14:textId="77777777" w:rsidR="000B00B4" w:rsidRPr="000B00B4" w:rsidRDefault="000B00B4" w:rsidP="005C7A4A">
            <w:pPr>
              <w:pStyle w:val="TableTextRight"/>
              <w:rPr>
                <w:sz w:val="18"/>
                <w:szCs w:val="18"/>
              </w:rPr>
            </w:pPr>
            <w:r w:rsidRPr="000B00B4">
              <w:t>67.5</w:t>
            </w:r>
          </w:p>
        </w:tc>
        <w:tc>
          <w:tcPr>
            <w:tcW w:w="875" w:type="dxa"/>
            <w:hideMark/>
          </w:tcPr>
          <w:p w14:paraId="5EF78650" w14:textId="77777777" w:rsidR="000B00B4" w:rsidRPr="000B00B4" w:rsidRDefault="000B00B4" w:rsidP="005C7A4A">
            <w:pPr>
              <w:pStyle w:val="TableTextRight"/>
              <w:rPr>
                <w:sz w:val="18"/>
                <w:szCs w:val="18"/>
              </w:rPr>
            </w:pPr>
            <w:r w:rsidRPr="000B00B4">
              <w:t>100</w:t>
            </w:r>
          </w:p>
        </w:tc>
        <w:tc>
          <w:tcPr>
            <w:tcW w:w="1345" w:type="dxa"/>
            <w:noWrap/>
            <w:hideMark/>
          </w:tcPr>
          <w:p w14:paraId="58E8A738" w14:textId="77777777" w:rsidR="000B00B4" w:rsidRPr="000B00B4" w:rsidRDefault="000B00B4" w:rsidP="005C7A4A">
            <w:pPr>
              <w:pStyle w:val="TableTextRight"/>
              <w:rPr>
                <w:sz w:val="18"/>
                <w:szCs w:val="18"/>
              </w:rPr>
            </w:pPr>
            <w:r w:rsidRPr="000B00B4">
              <w:t>294</w:t>
            </w:r>
          </w:p>
        </w:tc>
        <w:tc>
          <w:tcPr>
            <w:tcW w:w="1216" w:type="dxa"/>
            <w:noWrap/>
            <w:hideMark/>
          </w:tcPr>
          <w:p w14:paraId="7063E85B" w14:textId="77777777" w:rsidR="000B00B4" w:rsidRPr="000B00B4" w:rsidRDefault="000B00B4" w:rsidP="005C7A4A">
            <w:pPr>
              <w:pStyle w:val="TableTextRight"/>
              <w:rPr>
                <w:sz w:val="18"/>
                <w:szCs w:val="18"/>
              </w:rPr>
            </w:pPr>
            <w:r w:rsidRPr="000B00B4">
              <w:t>356</w:t>
            </w:r>
          </w:p>
        </w:tc>
        <w:tc>
          <w:tcPr>
            <w:tcW w:w="2503" w:type="dxa"/>
            <w:hideMark/>
          </w:tcPr>
          <w:p w14:paraId="43D5E32B" w14:textId="3730FA82" w:rsidR="000B00B4" w:rsidRPr="000B00B4" w:rsidRDefault="000B00B4" w:rsidP="00EA4AA1">
            <w:pPr>
              <w:pStyle w:val="TableText"/>
              <w:rPr>
                <w:sz w:val="18"/>
                <w:szCs w:val="18"/>
              </w:rPr>
            </w:pPr>
            <w:r w:rsidRPr="000B00B4">
              <w:t>15</w:t>
            </w:r>
            <w:r w:rsidR="00BB6D37">
              <w:t> </w:t>
            </w:r>
            <w:r w:rsidRPr="000B00B4">
              <w:t>ml oil and 98.</w:t>
            </w:r>
            <w:r w:rsidR="003E4C79" w:rsidRPr="000B00B4">
              <w:t>3</w:t>
            </w:r>
            <w:r w:rsidR="00BB6D37">
              <w:t> </w:t>
            </w:r>
            <w:r w:rsidR="003E4C79">
              <w:t>L</w:t>
            </w:r>
            <w:r w:rsidR="003E4C79" w:rsidRPr="000B00B4">
              <w:t xml:space="preserve"> </w:t>
            </w:r>
            <w:r w:rsidRPr="000B00B4">
              <w:t>drilling mud</w:t>
            </w:r>
          </w:p>
        </w:tc>
      </w:tr>
      <w:tr w:rsidR="00026EBF" w:rsidRPr="000B00B4" w14:paraId="4DBAD8F2" w14:textId="77777777" w:rsidTr="000941E5">
        <w:trPr>
          <w:cnfStyle w:val="000000010000" w:firstRow="0" w:lastRow="0" w:firstColumn="0" w:lastColumn="0" w:oddVBand="0" w:evenVBand="0" w:oddHBand="0" w:evenHBand="1" w:firstRowFirstColumn="0" w:firstRowLastColumn="0" w:lastRowFirstColumn="0" w:lastRowLastColumn="0"/>
          <w:trHeight w:val="428"/>
        </w:trPr>
        <w:tc>
          <w:tcPr>
            <w:tcW w:w="1080" w:type="dxa"/>
            <w:noWrap/>
            <w:hideMark/>
          </w:tcPr>
          <w:p w14:paraId="57C5EF28" w14:textId="77777777" w:rsidR="000B00B4" w:rsidRPr="000B00B4" w:rsidRDefault="000B00B4" w:rsidP="000C0697">
            <w:pPr>
              <w:pStyle w:val="TableText"/>
              <w:rPr>
                <w:sz w:val="18"/>
                <w:szCs w:val="18"/>
              </w:rPr>
            </w:pPr>
            <w:r w:rsidRPr="000B00B4">
              <w:t>Elliott 1</w:t>
            </w:r>
          </w:p>
        </w:tc>
        <w:tc>
          <w:tcPr>
            <w:tcW w:w="982" w:type="dxa"/>
            <w:noWrap/>
            <w:hideMark/>
          </w:tcPr>
          <w:p w14:paraId="5F74C00D" w14:textId="77777777" w:rsidR="000B00B4" w:rsidRPr="000B00B4" w:rsidRDefault="000B00B4" w:rsidP="005C7A4A">
            <w:pPr>
              <w:pStyle w:val="TableTextRight"/>
              <w:rPr>
                <w:sz w:val="18"/>
                <w:szCs w:val="18"/>
              </w:rPr>
            </w:pPr>
            <w:r w:rsidRPr="000B00B4">
              <w:t>246.3</w:t>
            </w:r>
          </w:p>
        </w:tc>
        <w:tc>
          <w:tcPr>
            <w:tcW w:w="1018" w:type="dxa"/>
            <w:noWrap/>
            <w:hideMark/>
          </w:tcPr>
          <w:p w14:paraId="1CF8897E" w14:textId="77777777" w:rsidR="000B00B4" w:rsidRPr="000B00B4" w:rsidRDefault="000B00B4" w:rsidP="005C7A4A">
            <w:pPr>
              <w:pStyle w:val="TableTextRight"/>
              <w:rPr>
                <w:sz w:val="18"/>
                <w:szCs w:val="18"/>
              </w:rPr>
            </w:pPr>
            <w:r w:rsidRPr="000B00B4">
              <w:t>5</w:t>
            </w:r>
          </w:p>
        </w:tc>
        <w:tc>
          <w:tcPr>
            <w:tcW w:w="1260" w:type="dxa"/>
            <w:hideMark/>
          </w:tcPr>
          <w:p w14:paraId="05BF674A" w14:textId="77777777" w:rsidR="000B00B4" w:rsidRPr="000B00B4" w:rsidRDefault="000B00B4" w:rsidP="000C0697">
            <w:pPr>
              <w:pStyle w:val="TableText"/>
              <w:rPr>
                <w:sz w:val="18"/>
                <w:szCs w:val="18"/>
              </w:rPr>
            </w:pPr>
            <w:r w:rsidRPr="000B00B4">
              <w:t>Moroak Sst</w:t>
            </w:r>
          </w:p>
        </w:tc>
        <w:tc>
          <w:tcPr>
            <w:tcW w:w="1337" w:type="dxa"/>
            <w:hideMark/>
          </w:tcPr>
          <w:p w14:paraId="1AEA446C" w14:textId="77777777" w:rsidR="000B00B4" w:rsidRPr="000B00B4" w:rsidRDefault="000B00B4" w:rsidP="005C7A4A">
            <w:pPr>
              <w:pStyle w:val="TableTextRight"/>
              <w:rPr>
                <w:sz w:val="18"/>
                <w:szCs w:val="18"/>
              </w:rPr>
            </w:pPr>
            <w:r w:rsidRPr="000B00B4">
              <w:t>524</w:t>
            </w:r>
          </w:p>
        </w:tc>
        <w:tc>
          <w:tcPr>
            <w:tcW w:w="1011" w:type="dxa"/>
            <w:hideMark/>
          </w:tcPr>
          <w:p w14:paraId="284FA21A" w14:textId="77777777" w:rsidR="000B00B4" w:rsidRPr="000B00B4" w:rsidRDefault="000B00B4" w:rsidP="005C7A4A">
            <w:pPr>
              <w:pStyle w:val="TableTextRight"/>
              <w:rPr>
                <w:sz w:val="18"/>
                <w:szCs w:val="18"/>
              </w:rPr>
            </w:pPr>
            <w:r w:rsidRPr="000B00B4">
              <w:t>1333.71</w:t>
            </w:r>
          </w:p>
        </w:tc>
        <w:tc>
          <w:tcPr>
            <w:tcW w:w="840" w:type="dxa"/>
            <w:noWrap/>
            <w:hideMark/>
          </w:tcPr>
          <w:p w14:paraId="120A8222" w14:textId="77777777" w:rsidR="000B00B4" w:rsidRPr="000B00B4" w:rsidRDefault="000B00B4" w:rsidP="005C7A4A">
            <w:pPr>
              <w:pStyle w:val="TableTextRight"/>
              <w:rPr>
                <w:sz w:val="18"/>
                <w:szCs w:val="18"/>
              </w:rPr>
            </w:pPr>
            <w:r w:rsidRPr="000B00B4">
              <w:t>1833</w:t>
            </w:r>
          </w:p>
        </w:tc>
        <w:tc>
          <w:tcPr>
            <w:tcW w:w="1360" w:type="dxa"/>
            <w:noWrap/>
            <w:hideMark/>
          </w:tcPr>
          <w:p w14:paraId="382F1F27" w14:textId="77777777" w:rsidR="000B00B4" w:rsidRPr="000B00B4" w:rsidRDefault="000B00B4" w:rsidP="005C7A4A">
            <w:pPr>
              <w:pStyle w:val="TableTextRight"/>
              <w:rPr>
                <w:sz w:val="18"/>
                <w:szCs w:val="18"/>
              </w:rPr>
            </w:pPr>
            <w:r w:rsidRPr="000B00B4">
              <w:t>78</w:t>
            </w:r>
          </w:p>
        </w:tc>
        <w:tc>
          <w:tcPr>
            <w:tcW w:w="875" w:type="dxa"/>
            <w:hideMark/>
          </w:tcPr>
          <w:p w14:paraId="02CAFBFB" w14:textId="77777777" w:rsidR="000B00B4" w:rsidRPr="000B00B4" w:rsidRDefault="000B00B4" w:rsidP="005C7A4A">
            <w:pPr>
              <w:pStyle w:val="TableTextRight"/>
              <w:rPr>
                <w:sz w:val="18"/>
                <w:szCs w:val="18"/>
              </w:rPr>
            </w:pPr>
            <w:r w:rsidRPr="000B00B4">
              <w:t>100</w:t>
            </w:r>
          </w:p>
        </w:tc>
        <w:tc>
          <w:tcPr>
            <w:tcW w:w="1345" w:type="dxa"/>
            <w:noWrap/>
            <w:hideMark/>
          </w:tcPr>
          <w:p w14:paraId="4031735F" w14:textId="77777777" w:rsidR="000B00B4" w:rsidRPr="000B00B4" w:rsidRDefault="000B00B4" w:rsidP="005C7A4A">
            <w:pPr>
              <w:pStyle w:val="TableTextRight"/>
              <w:rPr>
                <w:sz w:val="18"/>
                <w:szCs w:val="18"/>
              </w:rPr>
            </w:pPr>
            <w:r w:rsidRPr="000B00B4">
              <w:t>142</w:t>
            </w:r>
          </w:p>
        </w:tc>
        <w:tc>
          <w:tcPr>
            <w:tcW w:w="1216" w:type="dxa"/>
            <w:noWrap/>
            <w:hideMark/>
          </w:tcPr>
          <w:p w14:paraId="4423DD47" w14:textId="77777777" w:rsidR="000B00B4" w:rsidRPr="000B00B4" w:rsidRDefault="000B00B4" w:rsidP="005C7A4A">
            <w:pPr>
              <w:pStyle w:val="TableTextRight"/>
              <w:rPr>
                <w:sz w:val="18"/>
                <w:szCs w:val="18"/>
              </w:rPr>
            </w:pPr>
            <w:r w:rsidRPr="000B00B4">
              <w:t>202</w:t>
            </w:r>
          </w:p>
        </w:tc>
        <w:tc>
          <w:tcPr>
            <w:tcW w:w="2503" w:type="dxa"/>
            <w:hideMark/>
          </w:tcPr>
          <w:p w14:paraId="2EECCE80" w14:textId="6D1CF6A6" w:rsidR="000B00B4" w:rsidRPr="000B00B4" w:rsidRDefault="00043D95" w:rsidP="000C0697">
            <w:pPr>
              <w:pStyle w:val="TableText"/>
              <w:rPr>
                <w:sz w:val="18"/>
                <w:szCs w:val="18"/>
              </w:rPr>
            </w:pPr>
            <w:r>
              <w:t>Approximately 5200</w:t>
            </w:r>
            <w:r w:rsidR="005C7A4A">
              <w:t xml:space="preserve"> </w:t>
            </w:r>
            <w:r>
              <w:t>L of</w:t>
            </w:r>
            <w:r w:rsidR="000B00B4" w:rsidRPr="00046483">
              <w:t xml:space="preserve"> highly saline formation water</w:t>
            </w:r>
          </w:p>
        </w:tc>
      </w:tr>
      <w:tr w:rsidR="00026EBF" w:rsidRPr="000B00B4" w14:paraId="05A3946F" w14:textId="77777777" w:rsidTr="000941E5">
        <w:trPr>
          <w:cnfStyle w:val="000000100000" w:firstRow="0" w:lastRow="0" w:firstColumn="0" w:lastColumn="0" w:oddVBand="0" w:evenVBand="0" w:oddHBand="1" w:evenHBand="0" w:firstRowFirstColumn="0" w:firstRowLastColumn="0" w:lastRowFirstColumn="0" w:lastRowLastColumn="0"/>
          <w:trHeight w:val="240"/>
        </w:trPr>
        <w:tc>
          <w:tcPr>
            <w:tcW w:w="1080" w:type="dxa"/>
            <w:hideMark/>
          </w:tcPr>
          <w:p w14:paraId="14218A97" w14:textId="77777777" w:rsidR="000B00B4" w:rsidRPr="000B00B4" w:rsidRDefault="000B00B4" w:rsidP="000C0697">
            <w:pPr>
              <w:pStyle w:val="TableText"/>
              <w:rPr>
                <w:sz w:val="18"/>
                <w:szCs w:val="18"/>
              </w:rPr>
            </w:pPr>
            <w:r w:rsidRPr="000B00B4">
              <w:t>Jamison 1</w:t>
            </w:r>
          </w:p>
        </w:tc>
        <w:tc>
          <w:tcPr>
            <w:tcW w:w="982" w:type="dxa"/>
            <w:noWrap/>
            <w:hideMark/>
          </w:tcPr>
          <w:p w14:paraId="65CE920D" w14:textId="77777777" w:rsidR="000B00B4" w:rsidRPr="000B00B4" w:rsidRDefault="000B00B4" w:rsidP="005C7A4A">
            <w:pPr>
              <w:pStyle w:val="TableTextRight"/>
              <w:rPr>
                <w:sz w:val="18"/>
                <w:szCs w:val="18"/>
              </w:rPr>
            </w:pPr>
            <w:r w:rsidRPr="000B00B4">
              <w:t>263.4</w:t>
            </w:r>
          </w:p>
        </w:tc>
        <w:tc>
          <w:tcPr>
            <w:tcW w:w="1018" w:type="dxa"/>
            <w:hideMark/>
          </w:tcPr>
          <w:p w14:paraId="40C5FCB3" w14:textId="77777777" w:rsidR="000B00B4" w:rsidRPr="000B00B4" w:rsidRDefault="000B00B4" w:rsidP="005C7A4A">
            <w:pPr>
              <w:pStyle w:val="TableTextRight"/>
              <w:rPr>
                <w:sz w:val="18"/>
                <w:szCs w:val="18"/>
              </w:rPr>
            </w:pPr>
            <w:r w:rsidRPr="000B00B4">
              <w:t>1</w:t>
            </w:r>
          </w:p>
        </w:tc>
        <w:tc>
          <w:tcPr>
            <w:tcW w:w="1260" w:type="dxa"/>
            <w:hideMark/>
          </w:tcPr>
          <w:p w14:paraId="067C4229" w14:textId="63266D79" w:rsidR="000B00B4" w:rsidRPr="000B00B4" w:rsidRDefault="5B3F5A9C" w:rsidP="000C0697">
            <w:pPr>
              <w:pStyle w:val="TableText"/>
              <w:rPr>
                <w:sz w:val="18"/>
                <w:szCs w:val="18"/>
              </w:rPr>
            </w:pPr>
            <w:r w:rsidRPr="5B3F5A9C">
              <w:t xml:space="preserve">Hayfield </w:t>
            </w:r>
            <w:r w:rsidR="00AD1A11">
              <w:t>mst</w:t>
            </w:r>
          </w:p>
        </w:tc>
        <w:tc>
          <w:tcPr>
            <w:tcW w:w="1337" w:type="dxa"/>
            <w:hideMark/>
          </w:tcPr>
          <w:p w14:paraId="6802DE48" w14:textId="77777777" w:rsidR="000B00B4" w:rsidRPr="000B00B4" w:rsidRDefault="000B00B4" w:rsidP="005C7A4A">
            <w:pPr>
              <w:pStyle w:val="TableTextRight"/>
              <w:rPr>
                <w:sz w:val="18"/>
                <w:szCs w:val="18"/>
              </w:rPr>
            </w:pPr>
            <w:r w:rsidRPr="000B00B4">
              <w:t>501</w:t>
            </w:r>
          </w:p>
        </w:tc>
        <w:tc>
          <w:tcPr>
            <w:tcW w:w="1011" w:type="dxa"/>
            <w:hideMark/>
          </w:tcPr>
          <w:p w14:paraId="5116639F" w14:textId="77777777" w:rsidR="000B00B4" w:rsidRPr="000B00B4" w:rsidRDefault="000B00B4" w:rsidP="005C7A4A">
            <w:pPr>
              <w:pStyle w:val="TableTextRight"/>
              <w:rPr>
                <w:sz w:val="18"/>
                <w:szCs w:val="18"/>
              </w:rPr>
            </w:pPr>
            <w:r w:rsidRPr="000B00B4">
              <w:t>813.25</w:t>
            </w:r>
          </w:p>
        </w:tc>
        <w:tc>
          <w:tcPr>
            <w:tcW w:w="840" w:type="dxa"/>
            <w:noWrap/>
            <w:hideMark/>
          </w:tcPr>
          <w:p w14:paraId="62F8A114" w14:textId="77777777" w:rsidR="000B00B4" w:rsidRPr="000B00B4" w:rsidRDefault="000B00B4" w:rsidP="005C7A4A">
            <w:pPr>
              <w:pStyle w:val="TableTextRight"/>
              <w:rPr>
                <w:sz w:val="18"/>
                <w:szCs w:val="18"/>
              </w:rPr>
            </w:pPr>
            <w:r w:rsidRPr="000B00B4">
              <w:t>1219</w:t>
            </w:r>
          </w:p>
        </w:tc>
        <w:tc>
          <w:tcPr>
            <w:tcW w:w="1360" w:type="dxa"/>
            <w:noWrap/>
            <w:hideMark/>
          </w:tcPr>
          <w:p w14:paraId="77485FB1" w14:textId="77777777" w:rsidR="000B00B4" w:rsidRPr="000B00B4" w:rsidRDefault="000B00B4" w:rsidP="005C7A4A">
            <w:pPr>
              <w:pStyle w:val="TableTextRight"/>
              <w:rPr>
                <w:sz w:val="18"/>
                <w:szCs w:val="18"/>
              </w:rPr>
            </w:pPr>
            <w:r w:rsidRPr="000B00B4">
              <w:t>54.4</w:t>
            </w:r>
          </w:p>
        </w:tc>
        <w:tc>
          <w:tcPr>
            <w:tcW w:w="875" w:type="dxa"/>
            <w:hideMark/>
          </w:tcPr>
          <w:p w14:paraId="2E8C0AEE" w14:textId="77777777" w:rsidR="000B00B4" w:rsidRPr="000B00B4" w:rsidRDefault="000B00B4" w:rsidP="005C7A4A">
            <w:pPr>
              <w:pStyle w:val="TableTextRight"/>
              <w:rPr>
                <w:sz w:val="18"/>
                <w:szCs w:val="18"/>
              </w:rPr>
            </w:pPr>
            <w:r w:rsidRPr="000B00B4">
              <w:t>50</w:t>
            </w:r>
          </w:p>
        </w:tc>
        <w:tc>
          <w:tcPr>
            <w:tcW w:w="1345" w:type="dxa"/>
            <w:noWrap/>
            <w:hideMark/>
          </w:tcPr>
          <w:p w14:paraId="4D8C093A" w14:textId="77777777" w:rsidR="000B00B4" w:rsidRPr="000B00B4" w:rsidRDefault="000B00B4" w:rsidP="005C7A4A">
            <w:pPr>
              <w:pStyle w:val="TableTextRight"/>
              <w:rPr>
                <w:sz w:val="18"/>
                <w:szCs w:val="18"/>
              </w:rPr>
            </w:pPr>
            <w:r w:rsidRPr="000B00B4">
              <w:t>288</w:t>
            </w:r>
          </w:p>
        </w:tc>
        <w:tc>
          <w:tcPr>
            <w:tcW w:w="1216" w:type="dxa"/>
            <w:noWrap/>
            <w:hideMark/>
          </w:tcPr>
          <w:p w14:paraId="104ADBD3" w14:textId="77777777" w:rsidR="000B00B4" w:rsidRPr="000B00B4" w:rsidRDefault="000B00B4" w:rsidP="005C7A4A">
            <w:pPr>
              <w:pStyle w:val="TableTextRight"/>
              <w:rPr>
                <w:sz w:val="18"/>
                <w:szCs w:val="18"/>
              </w:rPr>
            </w:pPr>
            <w:r w:rsidRPr="000B00B4">
              <w:t>308</w:t>
            </w:r>
          </w:p>
        </w:tc>
        <w:tc>
          <w:tcPr>
            <w:tcW w:w="2503" w:type="dxa"/>
            <w:hideMark/>
          </w:tcPr>
          <w:p w14:paraId="22DFFAC1" w14:textId="0CFF0ACC" w:rsidR="000B00B4" w:rsidRPr="000B00B4" w:rsidRDefault="008B0122" w:rsidP="000C0697">
            <w:pPr>
              <w:pStyle w:val="TableText"/>
              <w:rPr>
                <w:sz w:val="18"/>
                <w:szCs w:val="18"/>
              </w:rPr>
            </w:pPr>
            <w:r>
              <w:t>13</w:t>
            </w:r>
            <w:r w:rsidR="00BB6D37">
              <w:t> </w:t>
            </w:r>
            <w:r>
              <w:t>L</w:t>
            </w:r>
            <w:r w:rsidR="000B00B4" w:rsidRPr="00046483">
              <w:t xml:space="preserve"> mud. Gas RTSTM</w:t>
            </w:r>
          </w:p>
        </w:tc>
      </w:tr>
      <w:tr w:rsidR="00026EBF" w:rsidRPr="000B00B4" w14:paraId="00404CA5" w14:textId="77777777" w:rsidTr="000941E5">
        <w:trPr>
          <w:cnfStyle w:val="000000010000" w:firstRow="0" w:lastRow="0" w:firstColumn="0" w:lastColumn="0" w:oddVBand="0" w:evenVBand="0" w:oddHBand="0" w:evenHBand="1" w:firstRowFirstColumn="0" w:firstRowLastColumn="0" w:lastRowFirstColumn="0" w:lastRowLastColumn="0"/>
          <w:trHeight w:val="720"/>
        </w:trPr>
        <w:tc>
          <w:tcPr>
            <w:tcW w:w="1080" w:type="dxa"/>
            <w:hideMark/>
          </w:tcPr>
          <w:p w14:paraId="6F822363" w14:textId="77777777" w:rsidR="000B00B4" w:rsidRPr="000B00B4" w:rsidRDefault="000B00B4" w:rsidP="000C0697">
            <w:pPr>
              <w:pStyle w:val="TableText"/>
              <w:rPr>
                <w:sz w:val="18"/>
                <w:szCs w:val="18"/>
              </w:rPr>
            </w:pPr>
            <w:r w:rsidRPr="000B00B4">
              <w:t>Jamison 1</w:t>
            </w:r>
          </w:p>
        </w:tc>
        <w:tc>
          <w:tcPr>
            <w:tcW w:w="982" w:type="dxa"/>
            <w:noWrap/>
            <w:hideMark/>
          </w:tcPr>
          <w:p w14:paraId="6E948E97" w14:textId="77777777" w:rsidR="000B00B4" w:rsidRPr="000B00B4" w:rsidRDefault="000B00B4" w:rsidP="005C7A4A">
            <w:pPr>
              <w:pStyle w:val="TableTextRight"/>
              <w:rPr>
                <w:sz w:val="18"/>
                <w:szCs w:val="18"/>
              </w:rPr>
            </w:pPr>
            <w:r w:rsidRPr="000B00B4">
              <w:t>263.4</w:t>
            </w:r>
          </w:p>
        </w:tc>
        <w:tc>
          <w:tcPr>
            <w:tcW w:w="1018" w:type="dxa"/>
            <w:hideMark/>
          </w:tcPr>
          <w:p w14:paraId="542F19FC" w14:textId="77777777" w:rsidR="000B00B4" w:rsidRPr="000B00B4" w:rsidRDefault="000B00B4" w:rsidP="005C7A4A">
            <w:pPr>
              <w:pStyle w:val="TableTextRight"/>
              <w:rPr>
                <w:sz w:val="18"/>
                <w:szCs w:val="18"/>
              </w:rPr>
            </w:pPr>
            <w:r w:rsidRPr="000B00B4">
              <w:t>2</w:t>
            </w:r>
          </w:p>
        </w:tc>
        <w:tc>
          <w:tcPr>
            <w:tcW w:w="1260" w:type="dxa"/>
            <w:hideMark/>
          </w:tcPr>
          <w:p w14:paraId="2E04BE60" w14:textId="11F41BF6" w:rsidR="000B00B4" w:rsidRPr="000B00B4" w:rsidRDefault="5B3F5A9C" w:rsidP="000C0697">
            <w:pPr>
              <w:pStyle w:val="TableText"/>
              <w:rPr>
                <w:sz w:val="18"/>
                <w:szCs w:val="18"/>
              </w:rPr>
            </w:pPr>
            <w:r w:rsidRPr="5B3F5A9C">
              <w:t xml:space="preserve">Hayfield </w:t>
            </w:r>
            <w:r w:rsidR="00AD1A11">
              <w:t>mst</w:t>
            </w:r>
          </w:p>
        </w:tc>
        <w:tc>
          <w:tcPr>
            <w:tcW w:w="1337" w:type="dxa"/>
            <w:hideMark/>
          </w:tcPr>
          <w:p w14:paraId="07083CF3" w14:textId="77777777" w:rsidR="000B00B4" w:rsidRPr="000B00B4" w:rsidRDefault="000B00B4" w:rsidP="005C7A4A">
            <w:pPr>
              <w:pStyle w:val="TableTextRight"/>
              <w:rPr>
                <w:sz w:val="18"/>
                <w:szCs w:val="18"/>
              </w:rPr>
            </w:pPr>
            <w:r w:rsidRPr="000B00B4">
              <w:t>501</w:t>
            </w:r>
          </w:p>
        </w:tc>
        <w:tc>
          <w:tcPr>
            <w:tcW w:w="1011" w:type="dxa"/>
            <w:hideMark/>
          </w:tcPr>
          <w:p w14:paraId="6216E21C" w14:textId="77777777" w:rsidR="000B00B4" w:rsidRPr="000B00B4" w:rsidRDefault="000B00B4" w:rsidP="005C7A4A">
            <w:pPr>
              <w:pStyle w:val="TableTextRight"/>
              <w:rPr>
                <w:sz w:val="18"/>
                <w:szCs w:val="18"/>
              </w:rPr>
            </w:pPr>
            <w:r w:rsidRPr="000B00B4">
              <w:t>873.00</w:t>
            </w:r>
          </w:p>
        </w:tc>
        <w:tc>
          <w:tcPr>
            <w:tcW w:w="840" w:type="dxa"/>
            <w:noWrap/>
            <w:hideMark/>
          </w:tcPr>
          <w:p w14:paraId="22ED2FFA" w14:textId="77777777" w:rsidR="000B00B4" w:rsidRPr="000B00B4" w:rsidRDefault="000B00B4" w:rsidP="005C7A4A">
            <w:pPr>
              <w:pStyle w:val="TableTextRight"/>
              <w:rPr>
                <w:sz w:val="18"/>
                <w:szCs w:val="18"/>
              </w:rPr>
            </w:pPr>
            <w:r w:rsidRPr="000B00B4">
              <w:t>1167</w:t>
            </w:r>
          </w:p>
        </w:tc>
        <w:tc>
          <w:tcPr>
            <w:tcW w:w="1360" w:type="dxa"/>
            <w:noWrap/>
            <w:hideMark/>
          </w:tcPr>
          <w:p w14:paraId="00566191" w14:textId="77777777" w:rsidR="000B00B4" w:rsidRPr="000B00B4" w:rsidRDefault="000B00B4" w:rsidP="005C7A4A">
            <w:pPr>
              <w:pStyle w:val="TableTextRight"/>
              <w:rPr>
                <w:sz w:val="18"/>
                <w:szCs w:val="18"/>
              </w:rPr>
            </w:pPr>
            <w:r w:rsidRPr="000B00B4">
              <w:t>58.9</w:t>
            </w:r>
          </w:p>
        </w:tc>
        <w:tc>
          <w:tcPr>
            <w:tcW w:w="875" w:type="dxa"/>
            <w:hideMark/>
          </w:tcPr>
          <w:p w14:paraId="0CE99FB1" w14:textId="77777777" w:rsidR="000B00B4" w:rsidRPr="000B00B4" w:rsidRDefault="000B00B4" w:rsidP="005C7A4A">
            <w:pPr>
              <w:pStyle w:val="TableTextRight"/>
              <w:rPr>
                <w:sz w:val="18"/>
                <w:szCs w:val="18"/>
              </w:rPr>
            </w:pPr>
            <w:r w:rsidRPr="000B00B4">
              <w:t>50</w:t>
            </w:r>
          </w:p>
        </w:tc>
        <w:tc>
          <w:tcPr>
            <w:tcW w:w="1345" w:type="dxa"/>
            <w:noWrap/>
            <w:hideMark/>
          </w:tcPr>
          <w:p w14:paraId="799FFCA0" w14:textId="77777777" w:rsidR="000B00B4" w:rsidRPr="000B00B4" w:rsidRDefault="000B00B4" w:rsidP="005C7A4A">
            <w:pPr>
              <w:pStyle w:val="TableTextRight"/>
              <w:rPr>
                <w:sz w:val="18"/>
                <w:szCs w:val="18"/>
              </w:rPr>
            </w:pPr>
            <w:r w:rsidRPr="000B00B4">
              <w:t>195</w:t>
            </w:r>
          </w:p>
        </w:tc>
        <w:tc>
          <w:tcPr>
            <w:tcW w:w="1216" w:type="dxa"/>
            <w:noWrap/>
            <w:hideMark/>
          </w:tcPr>
          <w:p w14:paraId="09AB7E9B" w14:textId="77777777" w:rsidR="000B00B4" w:rsidRPr="000B00B4" w:rsidRDefault="000B00B4" w:rsidP="005C7A4A">
            <w:pPr>
              <w:pStyle w:val="TableTextRight"/>
              <w:rPr>
                <w:sz w:val="18"/>
                <w:szCs w:val="18"/>
              </w:rPr>
            </w:pPr>
            <w:r w:rsidRPr="000B00B4">
              <w:t>212</w:t>
            </w:r>
          </w:p>
        </w:tc>
        <w:tc>
          <w:tcPr>
            <w:tcW w:w="2503" w:type="dxa"/>
            <w:hideMark/>
          </w:tcPr>
          <w:p w14:paraId="1324A7A6" w14:textId="506C36AB" w:rsidR="000B00B4" w:rsidRPr="000B00B4" w:rsidRDefault="000B00B4" w:rsidP="00EA4AA1">
            <w:pPr>
              <w:pStyle w:val="TableText"/>
              <w:rPr>
                <w:sz w:val="18"/>
                <w:szCs w:val="18"/>
              </w:rPr>
            </w:pPr>
            <w:r w:rsidRPr="000B00B4">
              <w:t>470</w:t>
            </w:r>
            <w:r w:rsidR="00BB6D37">
              <w:t> </w:t>
            </w:r>
            <w:r w:rsidR="003E4C79">
              <w:t>L</w:t>
            </w:r>
            <w:r w:rsidRPr="000B00B4">
              <w:t xml:space="preserve"> oil and gas cut mud. Gas RTSTM</w:t>
            </w:r>
          </w:p>
        </w:tc>
      </w:tr>
      <w:tr w:rsidR="00026EBF" w:rsidRPr="000B00B4" w14:paraId="4CF2DC2C" w14:textId="77777777" w:rsidTr="000941E5">
        <w:trPr>
          <w:cnfStyle w:val="000000100000" w:firstRow="0" w:lastRow="0" w:firstColumn="0" w:lastColumn="0" w:oddVBand="0" w:evenVBand="0" w:oddHBand="1" w:evenHBand="0" w:firstRowFirstColumn="0" w:firstRowLastColumn="0" w:lastRowFirstColumn="0" w:lastRowLastColumn="0"/>
          <w:trHeight w:val="480"/>
        </w:trPr>
        <w:tc>
          <w:tcPr>
            <w:tcW w:w="1080" w:type="dxa"/>
            <w:hideMark/>
          </w:tcPr>
          <w:p w14:paraId="3DC91867" w14:textId="77777777" w:rsidR="000B00B4" w:rsidRPr="000B00B4" w:rsidRDefault="000B00B4" w:rsidP="000C0697">
            <w:pPr>
              <w:pStyle w:val="TableText"/>
              <w:rPr>
                <w:sz w:val="18"/>
                <w:szCs w:val="18"/>
              </w:rPr>
            </w:pPr>
            <w:r w:rsidRPr="000B00B4">
              <w:t>Jamison 1</w:t>
            </w:r>
          </w:p>
        </w:tc>
        <w:tc>
          <w:tcPr>
            <w:tcW w:w="982" w:type="dxa"/>
            <w:noWrap/>
            <w:hideMark/>
          </w:tcPr>
          <w:p w14:paraId="66BA05AD" w14:textId="77777777" w:rsidR="000B00B4" w:rsidRPr="000B00B4" w:rsidRDefault="000B00B4" w:rsidP="005C7A4A">
            <w:pPr>
              <w:pStyle w:val="TableTextRight"/>
              <w:rPr>
                <w:sz w:val="18"/>
                <w:szCs w:val="18"/>
              </w:rPr>
            </w:pPr>
            <w:r w:rsidRPr="000B00B4">
              <w:t>263.4</w:t>
            </w:r>
          </w:p>
        </w:tc>
        <w:tc>
          <w:tcPr>
            <w:tcW w:w="1018" w:type="dxa"/>
            <w:hideMark/>
          </w:tcPr>
          <w:p w14:paraId="0978B968" w14:textId="77777777" w:rsidR="000B00B4" w:rsidRPr="000B00B4" w:rsidRDefault="000B00B4" w:rsidP="005C7A4A">
            <w:pPr>
              <w:pStyle w:val="TableTextRight"/>
              <w:rPr>
                <w:sz w:val="18"/>
                <w:szCs w:val="18"/>
              </w:rPr>
            </w:pPr>
            <w:r w:rsidRPr="000B00B4">
              <w:t>4</w:t>
            </w:r>
          </w:p>
        </w:tc>
        <w:tc>
          <w:tcPr>
            <w:tcW w:w="1260" w:type="dxa"/>
            <w:hideMark/>
          </w:tcPr>
          <w:p w14:paraId="776D9269" w14:textId="46834459" w:rsidR="000B00B4" w:rsidRPr="000B00B4" w:rsidRDefault="5B3F5A9C" w:rsidP="000C0697">
            <w:pPr>
              <w:pStyle w:val="TableText"/>
              <w:rPr>
                <w:sz w:val="18"/>
                <w:szCs w:val="18"/>
              </w:rPr>
            </w:pPr>
            <w:r w:rsidRPr="5B3F5A9C">
              <w:t xml:space="preserve">Jamison </w:t>
            </w:r>
            <w:r w:rsidR="00EB49C9">
              <w:t>s</w:t>
            </w:r>
            <w:r w:rsidRPr="5B3F5A9C">
              <w:t>st</w:t>
            </w:r>
          </w:p>
        </w:tc>
        <w:tc>
          <w:tcPr>
            <w:tcW w:w="1337" w:type="dxa"/>
            <w:hideMark/>
          </w:tcPr>
          <w:p w14:paraId="4196B8DC" w14:textId="77777777" w:rsidR="000B00B4" w:rsidRPr="000B00B4" w:rsidRDefault="000B00B4" w:rsidP="005C7A4A">
            <w:pPr>
              <w:pStyle w:val="TableTextRight"/>
              <w:rPr>
                <w:sz w:val="18"/>
                <w:szCs w:val="18"/>
              </w:rPr>
            </w:pPr>
            <w:r w:rsidRPr="000B00B4">
              <w:t>501</w:t>
            </w:r>
          </w:p>
        </w:tc>
        <w:tc>
          <w:tcPr>
            <w:tcW w:w="1011" w:type="dxa"/>
            <w:hideMark/>
          </w:tcPr>
          <w:p w14:paraId="4E3EAD5B" w14:textId="77777777" w:rsidR="000B00B4" w:rsidRPr="000B00B4" w:rsidRDefault="000B00B4" w:rsidP="005C7A4A">
            <w:pPr>
              <w:pStyle w:val="TableTextRight"/>
              <w:rPr>
                <w:sz w:val="18"/>
                <w:szCs w:val="18"/>
              </w:rPr>
            </w:pPr>
            <w:r w:rsidRPr="000B00B4">
              <w:t>886.00</w:t>
            </w:r>
          </w:p>
        </w:tc>
        <w:tc>
          <w:tcPr>
            <w:tcW w:w="840" w:type="dxa"/>
            <w:noWrap/>
            <w:hideMark/>
          </w:tcPr>
          <w:p w14:paraId="558D694E" w14:textId="77777777" w:rsidR="000B00B4" w:rsidRPr="000B00B4" w:rsidRDefault="000B00B4" w:rsidP="005C7A4A">
            <w:pPr>
              <w:pStyle w:val="TableTextRight"/>
              <w:rPr>
                <w:sz w:val="18"/>
                <w:szCs w:val="18"/>
              </w:rPr>
            </w:pPr>
            <w:r w:rsidRPr="000B00B4">
              <w:t>1187</w:t>
            </w:r>
          </w:p>
        </w:tc>
        <w:tc>
          <w:tcPr>
            <w:tcW w:w="1360" w:type="dxa"/>
            <w:noWrap/>
            <w:hideMark/>
          </w:tcPr>
          <w:p w14:paraId="2D0DA8BC" w14:textId="77777777" w:rsidR="000B00B4" w:rsidRPr="000B00B4" w:rsidRDefault="000B00B4" w:rsidP="005C7A4A">
            <w:pPr>
              <w:pStyle w:val="TableTextRight"/>
              <w:rPr>
                <w:sz w:val="18"/>
                <w:szCs w:val="18"/>
              </w:rPr>
            </w:pPr>
            <w:r w:rsidRPr="000B00B4">
              <w:t>54.4</w:t>
            </w:r>
          </w:p>
        </w:tc>
        <w:tc>
          <w:tcPr>
            <w:tcW w:w="875" w:type="dxa"/>
            <w:hideMark/>
          </w:tcPr>
          <w:p w14:paraId="000EEE25" w14:textId="77777777" w:rsidR="000B00B4" w:rsidRPr="000B00B4" w:rsidRDefault="000B00B4" w:rsidP="005C7A4A">
            <w:pPr>
              <w:pStyle w:val="TableTextRight"/>
              <w:rPr>
                <w:sz w:val="18"/>
                <w:szCs w:val="18"/>
              </w:rPr>
            </w:pPr>
            <w:r w:rsidRPr="000B00B4">
              <w:t>50</w:t>
            </w:r>
          </w:p>
        </w:tc>
        <w:tc>
          <w:tcPr>
            <w:tcW w:w="1345" w:type="dxa"/>
            <w:noWrap/>
            <w:hideMark/>
          </w:tcPr>
          <w:p w14:paraId="57D2BD9C" w14:textId="77777777" w:rsidR="000B00B4" w:rsidRPr="000B00B4" w:rsidRDefault="000B00B4" w:rsidP="005C7A4A">
            <w:pPr>
              <w:pStyle w:val="TableTextRight"/>
              <w:rPr>
                <w:sz w:val="18"/>
                <w:szCs w:val="18"/>
              </w:rPr>
            </w:pPr>
            <w:r w:rsidRPr="000B00B4">
              <w:t>194</w:t>
            </w:r>
          </w:p>
        </w:tc>
        <w:tc>
          <w:tcPr>
            <w:tcW w:w="1216" w:type="dxa"/>
            <w:noWrap/>
            <w:hideMark/>
          </w:tcPr>
          <w:p w14:paraId="4AC0DE0B" w14:textId="77777777" w:rsidR="000B00B4" w:rsidRPr="000B00B4" w:rsidRDefault="000B00B4" w:rsidP="005C7A4A">
            <w:pPr>
              <w:pStyle w:val="TableTextRight"/>
              <w:rPr>
                <w:sz w:val="18"/>
                <w:szCs w:val="18"/>
              </w:rPr>
            </w:pPr>
            <w:r w:rsidRPr="000B00B4">
              <w:t>213</w:t>
            </w:r>
          </w:p>
        </w:tc>
        <w:tc>
          <w:tcPr>
            <w:tcW w:w="2503" w:type="dxa"/>
            <w:hideMark/>
          </w:tcPr>
          <w:p w14:paraId="64132156" w14:textId="77777777" w:rsidR="000B00B4" w:rsidRPr="000B00B4" w:rsidRDefault="000B00B4" w:rsidP="000C0697">
            <w:pPr>
              <w:pStyle w:val="TableText"/>
              <w:rPr>
                <w:sz w:val="18"/>
                <w:szCs w:val="18"/>
              </w:rPr>
            </w:pPr>
            <w:r w:rsidRPr="000B00B4">
              <w:t>687 m water, 5cm oil</w:t>
            </w:r>
          </w:p>
        </w:tc>
      </w:tr>
      <w:tr w:rsidR="00026EBF" w:rsidRPr="000B00B4" w14:paraId="277FDB07" w14:textId="77777777" w:rsidTr="000941E5">
        <w:trPr>
          <w:cnfStyle w:val="000000010000" w:firstRow="0" w:lastRow="0" w:firstColumn="0" w:lastColumn="0" w:oddVBand="0" w:evenVBand="0" w:oddHBand="0" w:evenHBand="1" w:firstRowFirstColumn="0" w:firstRowLastColumn="0" w:lastRowFirstColumn="0" w:lastRowLastColumn="0"/>
          <w:trHeight w:val="426"/>
        </w:trPr>
        <w:tc>
          <w:tcPr>
            <w:tcW w:w="1080" w:type="dxa"/>
            <w:hideMark/>
          </w:tcPr>
          <w:p w14:paraId="1BF56E76" w14:textId="77777777" w:rsidR="000B00B4" w:rsidRPr="000B00B4" w:rsidRDefault="000B00B4" w:rsidP="000C0697">
            <w:pPr>
              <w:pStyle w:val="TableText"/>
              <w:rPr>
                <w:sz w:val="18"/>
                <w:szCs w:val="18"/>
              </w:rPr>
            </w:pPr>
            <w:r w:rsidRPr="000B00B4">
              <w:t>Jamison 1</w:t>
            </w:r>
          </w:p>
        </w:tc>
        <w:tc>
          <w:tcPr>
            <w:tcW w:w="982" w:type="dxa"/>
            <w:noWrap/>
            <w:hideMark/>
          </w:tcPr>
          <w:p w14:paraId="319B5C9D" w14:textId="77777777" w:rsidR="000B00B4" w:rsidRPr="000B00B4" w:rsidRDefault="000B00B4" w:rsidP="005C7A4A">
            <w:pPr>
              <w:pStyle w:val="TableTextRight"/>
              <w:rPr>
                <w:sz w:val="18"/>
                <w:szCs w:val="18"/>
              </w:rPr>
            </w:pPr>
            <w:r w:rsidRPr="000B00B4">
              <w:t>263.4</w:t>
            </w:r>
          </w:p>
        </w:tc>
        <w:tc>
          <w:tcPr>
            <w:tcW w:w="1018" w:type="dxa"/>
            <w:hideMark/>
          </w:tcPr>
          <w:p w14:paraId="303CD245" w14:textId="77777777" w:rsidR="000B00B4" w:rsidRPr="000B00B4" w:rsidRDefault="000B00B4" w:rsidP="005C7A4A">
            <w:pPr>
              <w:pStyle w:val="TableTextRight"/>
              <w:rPr>
                <w:sz w:val="18"/>
                <w:szCs w:val="18"/>
              </w:rPr>
            </w:pPr>
            <w:r w:rsidRPr="000B00B4">
              <w:t>3</w:t>
            </w:r>
          </w:p>
        </w:tc>
        <w:tc>
          <w:tcPr>
            <w:tcW w:w="1260" w:type="dxa"/>
            <w:hideMark/>
          </w:tcPr>
          <w:p w14:paraId="285B75BD" w14:textId="56BCF8CE" w:rsidR="000B00B4" w:rsidRPr="000B00B4" w:rsidRDefault="5B3F5A9C" w:rsidP="000C0697">
            <w:pPr>
              <w:pStyle w:val="TableText"/>
              <w:rPr>
                <w:sz w:val="18"/>
                <w:szCs w:val="18"/>
              </w:rPr>
            </w:pPr>
            <w:r w:rsidRPr="5B3F5A9C">
              <w:t xml:space="preserve">Hayfield </w:t>
            </w:r>
            <w:r w:rsidR="00AD1A11">
              <w:t>mst</w:t>
            </w:r>
          </w:p>
        </w:tc>
        <w:tc>
          <w:tcPr>
            <w:tcW w:w="1337" w:type="dxa"/>
            <w:hideMark/>
          </w:tcPr>
          <w:p w14:paraId="57C090E0" w14:textId="77777777" w:rsidR="000B00B4" w:rsidRPr="000B00B4" w:rsidRDefault="000B00B4" w:rsidP="005C7A4A">
            <w:pPr>
              <w:pStyle w:val="TableTextRight"/>
              <w:rPr>
                <w:sz w:val="18"/>
                <w:szCs w:val="18"/>
              </w:rPr>
            </w:pPr>
            <w:r w:rsidRPr="000B00B4">
              <w:t>501</w:t>
            </w:r>
          </w:p>
        </w:tc>
        <w:tc>
          <w:tcPr>
            <w:tcW w:w="1011" w:type="dxa"/>
            <w:hideMark/>
          </w:tcPr>
          <w:p w14:paraId="1182CA94" w14:textId="77777777" w:rsidR="000B00B4" w:rsidRPr="000B00B4" w:rsidRDefault="000B00B4" w:rsidP="005C7A4A">
            <w:pPr>
              <w:pStyle w:val="TableTextRight"/>
              <w:rPr>
                <w:sz w:val="18"/>
                <w:szCs w:val="18"/>
              </w:rPr>
            </w:pPr>
            <w:r w:rsidRPr="000B00B4">
              <w:t>889.26</w:t>
            </w:r>
          </w:p>
        </w:tc>
        <w:tc>
          <w:tcPr>
            <w:tcW w:w="840" w:type="dxa"/>
            <w:noWrap/>
            <w:hideMark/>
          </w:tcPr>
          <w:p w14:paraId="61A24424" w14:textId="77777777" w:rsidR="000B00B4" w:rsidRPr="000B00B4" w:rsidRDefault="000B00B4" w:rsidP="005C7A4A">
            <w:pPr>
              <w:pStyle w:val="TableTextRight"/>
              <w:rPr>
                <w:sz w:val="18"/>
                <w:szCs w:val="18"/>
              </w:rPr>
            </w:pPr>
            <w:r w:rsidRPr="000B00B4">
              <w:t>1187</w:t>
            </w:r>
          </w:p>
        </w:tc>
        <w:tc>
          <w:tcPr>
            <w:tcW w:w="1360" w:type="dxa"/>
            <w:noWrap/>
            <w:hideMark/>
          </w:tcPr>
          <w:p w14:paraId="291CF1A5" w14:textId="77777777" w:rsidR="000B00B4" w:rsidRPr="000B00B4" w:rsidRDefault="000B00B4" w:rsidP="005C7A4A">
            <w:pPr>
              <w:pStyle w:val="TableTextRight"/>
              <w:rPr>
                <w:sz w:val="18"/>
                <w:szCs w:val="18"/>
              </w:rPr>
            </w:pPr>
            <w:r w:rsidRPr="000B00B4">
              <w:t>59.05</w:t>
            </w:r>
          </w:p>
        </w:tc>
        <w:tc>
          <w:tcPr>
            <w:tcW w:w="875" w:type="dxa"/>
            <w:hideMark/>
          </w:tcPr>
          <w:p w14:paraId="566F153E" w14:textId="77777777" w:rsidR="000B00B4" w:rsidRPr="000B00B4" w:rsidRDefault="000B00B4" w:rsidP="005C7A4A">
            <w:pPr>
              <w:pStyle w:val="TableTextRight"/>
              <w:rPr>
                <w:sz w:val="18"/>
                <w:szCs w:val="18"/>
              </w:rPr>
            </w:pPr>
            <w:r w:rsidRPr="000B00B4">
              <w:t>50</w:t>
            </w:r>
          </w:p>
        </w:tc>
        <w:tc>
          <w:tcPr>
            <w:tcW w:w="1345" w:type="dxa"/>
            <w:noWrap/>
            <w:hideMark/>
          </w:tcPr>
          <w:p w14:paraId="7E8EBE3E" w14:textId="77777777" w:rsidR="000B00B4" w:rsidRPr="000B00B4" w:rsidRDefault="000B00B4" w:rsidP="005C7A4A">
            <w:pPr>
              <w:pStyle w:val="TableTextRight"/>
              <w:rPr>
                <w:sz w:val="18"/>
                <w:szCs w:val="18"/>
              </w:rPr>
            </w:pPr>
            <w:r w:rsidRPr="000B00B4">
              <w:t>192</w:t>
            </w:r>
          </w:p>
        </w:tc>
        <w:tc>
          <w:tcPr>
            <w:tcW w:w="1216" w:type="dxa"/>
            <w:noWrap/>
            <w:hideMark/>
          </w:tcPr>
          <w:p w14:paraId="45253EBE" w14:textId="77777777" w:rsidR="000B00B4" w:rsidRPr="000B00B4" w:rsidRDefault="000B00B4" w:rsidP="005C7A4A">
            <w:pPr>
              <w:pStyle w:val="TableTextRight"/>
              <w:rPr>
                <w:sz w:val="18"/>
                <w:szCs w:val="18"/>
              </w:rPr>
            </w:pPr>
            <w:r w:rsidRPr="000B00B4">
              <w:t>210</w:t>
            </w:r>
          </w:p>
        </w:tc>
        <w:tc>
          <w:tcPr>
            <w:tcW w:w="2503" w:type="dxa"/>
            <w:hideMark/>
          </w:tcPr>
          <w:p w14:paraId="40E4E05B" w14:textId="23900749" w:rsidR="000B00B4" w:rsidRPr="000B00B4" w:rsidRDefault="000B00B4" w:rsidP="000C0697">
            <w:pPr>
              <w:pStyle w:val="TableText"/>
              <w:rPr>
                <w:sz w:val="18"/>
                <w:szCs w:val="18"/>
              </w:rPr>
            </w:pPr>
            <w:r w:rsidRPr="000B00B4">
              <w:t>448</w:t>
            </w:r>
            <w:r w:rsidR="003E4C79">
              <w:t xml:space="preserve"> </w:t>
            </w:r>
            <w:r w:rsidRPr="000B00B4">
              <w:t>m oil and gas cut mud and Fm water</w:t>
            </w:r>
          </w:p>
        </w:tc>
      </w:tr>
      <w:tr w:rsidR="00026EBF" w:rsidRPr="000B00B4" w14:paraId="4DD642A9" w14:textId="77777777" w:rsidTr="000941E5">
        <w:trPr>
          <w:cnfStyle w:val="000000100000" w:firstRow="0" w:lastRow="0" w:firstColumn="0" w:lastColumn="0" w:oddVBand="0" w:evenVBand="0" w:oddHBand="1" w:evenHBand="0" w:firstRowFirstColumn="0" w:firstRowLastColumn="0" w:lastRowFirstColumn="0" w:lastRowLastColumn="0"/>
          <w:trHeight w:val="356"/>
        </w:trPr>
        <w:tc>
          <w:tcPr>
            <w:tcW w:w="1080" w:type="dxa"/>
            <w:hideMark/>
          </w:tcPr>
          <w:p w14:paraId="6F025875" w14:textId="77777777" w:rsidR="000B00B4" w:rsidRPr="000B00B4" w:rsidRDefault="000B00B4" w:rsidP="000C0697">
            <w:pPr>
              <w:pStyle w:val="TableText"/>
              <w:rPr>
                <w:sz w:val="18"/>
                <w:szCs w:val="18"/>
              </w:rPr>
            </w:pPr>
            <w:r w:rsidRPr="000B00B4">
              <w:t>Mason 1</w:t>
            </w:r>
          </w:p>
        </w:tc>
        <w:tc>
          <w:tcPr>
            <w:tcW w:w="982" w:type="dxa"/>
            <w:noWrap/>
            <w:hideMark/>
          </w:tcPr>
          <w:p w14:paraId="48087431" w14:textId="77777777" w:rsidR="000B00B4" w:rsidRPr="000B00B4" w:rsidRDefault="000B00B4" w:rsidP="005C7A4A">
            <w:pPr>
              <w:pStyle w:val="TableTextRight"/>
              <w:rPr>
                <w:sz w:val="18"/>
                <w:szCs w:val="18"/>
              </w:rPr>
            </w:pPr>
            <w:r w:rsidRPr="000B00B4">
              <w:t>265.7</w:t>
            </w:r>
          </w:p>
        </w:tc>
        <w:tc>
          <w:tcPr>
            <w:tcW w:w="1018" w:type="dxa"/>
            <w:hideMark/>
          </w:tcPr>
          <w:p w14:paraId="075E6707" w14:textId="77777777" w:rsidR="000B00B4" w:rsidRPr="000B00B4" w:rsidRDefault="000B00B4" w:rsidP="005C7A4A">
            <w:pPr>
              <w:pStyle w:val="TableTextRight"/>
              <w:rPr>
                <w:sz w:val="18"/>
                <w:szCs w:val="18"/>
              </w:rPr>
            </w:pPr>
            <w:r w:rsidRPr="000B00B4">
              <w:t>1</w:t>
            </w:r>
          </w:p>
        </w:tc>
        <w:tc>
          <w:tcPr>
            <w:tcW w:w="1260" w:type="dxa"/>
            <w:hideMark/>
          </w:tcPr>
          <w:p w14:paraId="4BA3283F" w14:textId="79020824" w:rsidR="000B00B4" w:rsidRPr="000B00B4" w:rsidRDefault="5B3F5A9C" w:rsidP="000C0697">
            <w:pPr>
              <w:pStyle w:val="TableText"/>
              <w:rPr>
                <w:sz w:val="18"/>
                <w:szCs w:val="18"/>
              </w:rPr>
            </w:pPr>
            <w:r w:rsidRPr="5B3F5A9C">
              <w:t xml:space="preserve">Hayfield </w:t>
            </w:r>
            <w:r w:rsidR="00AD1A11">
              <w:t>mst</w:t>
            </w:r>
          </w:p>
        </w:tc>
        <w:tc>
          <w:tcPr>
            <w:tcW w:w="1337" w:type="dxa"/>
            <w:hideMark/>
          </w:tcPr>
          <w:p w14:paraId="4D4BD546" w14:textId="77777777" w:rsidR="000B00B4" w:rsidRPr="000B00B4" w:rsidRDefault="000B00B4" w:rsidP="005C7A4A">
            <w:pPr>
              <w:pStyle w:val="TableTextRight"/>
              <w:rPr>
                <w:sz w:val="18"/>
                <w:szCs w:val="18"/>
              </w:rPr>
            </w:pPr>
            <w:r w:rsidRPr="000B00B4">
              <w:t>472</w:t>
            </w:r>
          </w:p>
        </w:tc>
        <w:tc>
          <w:tcPr>
            <w:tcW w:w="1011" w:type="dxa"/>
            <w:hideMark/>
          </w:tcPr>
          <w:p w14:paraId="7141B6D8" w14:textId="77777777" w:rsidR="000B00B4" w:rsidRPr="000B00B4" w:rsidRDefault="000B00B4" w:rsidP="005C7A4A">
            <w:pPr>
              <w:pStyle w:val="TableTextRight"/>
              <w:rPr>
                <w:sz w:val="18"/>
                <w:szCs w:val="18"/>
              </w:rPr>
            </w:pPr>
            <w:r w:rsidRPr="000B00B4">
              <w:t>807.25</w:t>
            </w:r>
          </w:p>
        </w:tc>
        <w:tc>
          <w:tcPr>
            <w:tcW w:w="840" w:type="dxa"/>
            <w:noWrap/>
            <w:hideMark/>
          </w:tcPr>
          <w:p w14:paraId="01106333" w14:textId="77777777" w:rsidR="000B00B4" w:rsidRPr="000B00B4" w:rsidRDefault="000B00B4" w:rsidP="005C7A4A">
            <w:pPr>
              <w:pStyle w:val="TableTextRight"/>
              <w:rPr>
                <w:sz w:val="18"/>
                <w:szCs w:val="18"/>
              </w:rPr>
            </w:pPr>
            <w:r w:rsidRPr="000B00B4">
              <w:t>1149</w:t>
            </w:r>
          </w:p>
        </w:tc>
        <w:tc>
          <w:tcPr>
            <w:tcW w:w="1360" w:type="dxa"/>
            <w:noWrap/>
            <w:hideMark/>
          </w:tcPr>
          <w:p w14:paraId="6CBA5033" w14:textId="77777777" w:rsidR="000B00B4" w:rsidRPr="000B00B4" w:rsidRDefault="000B00B4" w:rsidP="005C7A4A">
            <w:pPr>
              <w:pStyle w:val="TableTextRight"/>
              <w:rPr>
                <w:sz w:val="18"/>
                <w:szCs w:val="18"/>
              </w:rPr>
            </w:pPr>
            <w:r w:rsidRPr="000B00B4">
              <w:t>54.4</w:t>
            </w:r>
          </w:p>
        </w:tc>
        <w:tc>
          <w:tcPr>
            <w:tcW w:w="875" w:type="dxa"/>
            <w:hideMark/>
          </w:tcPr>
          <w:p w14:paraId="42A3A8F8" w14:textId="77777777" w:rsidR="000B00B4" w:rsidRPr="000B00B4" w:rsidRDefault="000B00B4" w:rsidP="005C7A4A">
            <w:pPr>
              <w:pStyle w:val="TableTextRight"/>
              <w:rPr>
                <w:sz w:val="18"/>
                <w:szCs w:val="18"/>
              </w:rPr>
            </w:pPr>
            <w:r w:rsidRPr="000B00B4">
              <w:t>50</w:t>
            </w:r>
          </w:p>
        </w:tc>
        <w:tc>
          <w:tcPr>
            <w:tcW w:w="1345" w:type="dxa"/>
            <w:noWrap/>
            <w:hideMark/>
          </w:tcPr>
          <w:p w14:paraId="1B95FB73" w14:textId="77777777" w:rsidR="000B00B4" w:rsidRPr="000B00B4" w:rsidRDefault="000B00B4" w:rsidP="005C7A4A">
            <w:pPr>
              <w:pStyle w:val="TableTextRight"/>
              <w:rPr>
                <w:sz w:val="18"/>
                <w:szCs w:val="18"/>
              </w:rPr>
            </w:pPr>
            <w:r w:rsidRPr="000B00B4">
              <w:t>248</w:t>
            </w:r>
          </w:p>
        </w:tc>
        <w:tc>
          <w:tcPr>
            <w:tcW w:w="1216" w:type="dxa"/>
            <w:noWrap/>
            <w:hideMark/>
          </w:tcPr>
          <w:p w14:paraId="63DC3DF2" w14:textId="77777777" w:rsidR="000B00B4" w:rsidRPr="000B00B4" w:rsidRDefault="000B00B4" w:rsidP="005C7A4A">
            <w:pPr>
              <w:pStyle w:val="TableTextRight"/>
              <w:rPr>
                <w:sz w:val="18"/>
                <w:szCs w:val="18"/>
              </w:rPr>
            </w:pPr>
            <w:r w:rsidRPr="000B00B4">
              <w:t>267</w:t>
            </w:r>
          </w:p>
        </w:tc>
        <w:tc>
          <w:tcPr>
            <w:tcW w:w="2503" w:type="dxa"/>
            <w:hideMark/>
          </w:tcPr>
          <w:p w14:paraId="13415E95" w14:textId="367882FF" w:rsidR="000B00B4" w:rsidRPr="000B00B4" w:rsidRDefault="000B00B4" w:rsidP="000C0697">
            <w:pPr>
              <w:pStyle w:val="TableText"/>
              <w:rPr>
                <w:sz w:val="18"/>
                <w:szCs w:val="18"/>
              </w:rPr>
            </w:pPr>
            <w:r w:rsidRPr="000B00B4">
              <w:t>12</w:t>
            </w:r>
            <w:r w:rsidR="003E4C79">
              <w:t xml:space="preserve"> </w:t>
            </w:r>
            <w:r w:rsidRPr="000B00B4">
              <w:t>m drilling mud, small inflow of gas</w:t>
            </w:r>
          </w:p>
        </w:tc>
      </w:tr>
      <w:tr w:rsidR="00026EBF" w:rsidRPr="000B00B4" w14:paraId="6E0FBFB7" w14:textId="77777777" w:rsidTr="000941E5">
        <w:trPr>
          <w:cnfStyle w:val="000000010000" w:firstRow="0" w:lastRow="0" w:firstColumn="0" w:lastColumn="0" w:oddVBand="0" w:evenVBand="0" w:oddHBand="0" w:evenHBand="1" w:firstRowFirstColumn="0" w:firstRowLastColumn="0" w:lastRowFirstColumn="0" w:lastRowLastColumn="0"/>
          <w:trHeight w:val="414"/>
        </w:trPr>
        <w:tc>
          <w:tcPr>
            <w:tcW w:w="1080" w:type="dxa"/>
            <w:hideMark/>
          </w:tcPr>
          <w:p w14:paraId="2FC820A4" w14:textId="77777777" w:rsidR="000B00B4" w:rsidRPr="000B00B4" w:rsidRDefault="000B00B4" w:rsidP="000C0697">
            <w:pPr>
              <w:pStyle w:val="TableText"/>
              <w:rPr>
                <w:sz w:val="18"/>
                <w:szCs w:val="18"/>
              </w:rPr>
            </w:pPr>
            <w:r w:rsidRPr="000B00B4">
              <w:t>Mason 1</w:t>
            </w:r>
          </w:p>
        </w:tc>
        <w:tc>
          <w:tcPr>
            <w:tcW w:w="982" w:type="dxa"/>
            <w:noWrap/>
            <w:hideMark/>
          </w:tcPr>
          <w:p w14:paraId="2B9905DA" w14:textId="77777777" w:rsidR="000B00B4" w:rsidRPr="000B00B4" w:rsidRDefault="000B00B4" w:rsidP="005C7A4A">
            <w:pPr>
              <w:pStyle w:val="TableTextRight"/>
              <w:rPr>
                <w:sz w:val="18"/>
                <w:szCs w:val="18"/>
              </w:rPr>
            </w:pPr>
            <w:r w:rsidRPr="000B00B4">
              <w:t>265.7</w:t>
            </w:r>
          </w:p>
        </w:tc>
        <w:tc>
          <w:tcPr>
            <w:tcW w:w="1018" w:type="dxa"/>
            <w:hideMark/>
          </w:tcPr>
          <w:p w14:paraId="2882409B" w14:textId="77777777" w:rsidR="000B00B4" w:rsidRPr="000B00B4" w:rsidRDefault="000B00B4" w:rsidP="005C7A4A">
            <w:pPr>
              <w:pStyle w:val="TableTextRight"/>
              <w:rPr>
                <w:sz w:val="18"/>
                <w:szCs w:val="18"/>
              </w:rPr>
            </w:pPr>
            <w:r w:rsidRPr="000B00B4">
              <w:t>2</w:t>
            </w:r>
          </w:p>
        </w:tc>
        <w:tc>
          <w:tcPr>
            <w:tcW w:w="1260" w:type="dxa"/>
            <w:hideMark/>
          </w:tcPr>
          <w:p w14:paraId="27F54DEE" w14:textId="31D92288" w:rsidR="000B00B4" w:rsidRPr="000B00B4" w:rsidRDefault="5B3F5A9C" w:rsidP="3C583D25">
            <w:pPr>
              <w:pStyle w:val="TableText"/>
              <w:rPr>
                <w:sz w:val="18"/>
                <w:szCs w:val="18"/>
              </w:rPr>
            </w:pPr>
            <w:r w:rsidRPr="5B3F5A9C">
              <w:t xml:space="preserve">Jamison </w:t>
            </w:r>
            <w:r w:rsidR="002652F2">
              <w:t>s</w:t>
            </w:r>
            <w:r w:rsidRPr="5B3F5A9C">
              <w:t>st</w:t>
            </w:r>
          </w:p>
        </w:tc>
        <w:tc>
          <w:tcPr>
            <w:tcW w:w="1337" w:type="dxa"/>
            <w:hideMark/>
          </w:tcPr>
          <w:p w14:paraId="08BB7237" w14:textId="77777777" w:rsidR="000B00B4" w:rsidRPr="000B00B4" w:rsidRDefault="000B00B4" w:rsidP="005C7A4A">
            <w:pPr>
              <w:pStyle w:val="TableTextRight"/>
              <w:rPr>
                <w:sz w:val="18"/>
                <w:szCs w:val="18"/>
              </w:rPr>
            </w:pPr>
            <w:r w:rsidRPr="000B00B4">
              <w:t>472</w:t>
            </w:r>
          </w:p>
        </w:tc>
        <w:tc>
          <w:tcPr>
            <w:tcW w:w="1011" w:type="dxa"/>
            <w:hideMark/>
          </w:tcPr>
          <w:p w14:paraId="1A1957CA" w14:textId="77777777" w:rsidR="000B00B4" w:rsidRPr="000B00B4" w:rsidRDefault="000B00B4" w:rsidP="005C7A4A">
            <w:pPr>
              <w:pStyle w:val="TableTextRight"/>
              <w:rPr>
                <w:sz w:val="18"/>
                <w:szCs w:val="18"/>
              </w:rPr>
            </w:pPr>
            <w:r w:rsidRPr="000B00B4">
              <w:t>887.19</w:t>
            </w:r>
          </w:p>
        </w:tc>
        <w:tc>
          <w:tcPr>
            <w:tcW w:w="840" w:type="dxa"/>
            <w:noWrap/>
            <w:hideMark/>
          </w:tcPr>
          <w:p w14:paraId="59498F83" w14:textId="77777777" w:rsidR="000B00B4" w:rsidRPr="000B00B4" w:rsidRDefault="000B00B4" w:rsidP="005C7A4A">
            <w:pPr>
              <w:pStyle w:val="TableTextRight"/>
              <w:rPr>
                <w:sz w:val="18"/>
                <w:szCs w:val="18"/>
              </w:rPr>
            </w:pPr>
            <w:r w:rsidRPr="000B00B4">
              <w:t>1197</w:t>
            </w:r>
          </w:p>
        </w:tc>
        <w:tc>
          <w:tcPr>
            <w:tcW w:w="1360" w:type="dxa"/>
            <w:noWrap/>
            <w:hideMark/>
          </w:tcPr>
          <w:p w14:paraId="76137817" w14:textId="77777777" w:rsidR="000B00B4" w:rsidRPr="000B00B4" w:rsidRDefault="000B00B4" w:rsidP="005C7A4A">
            <w:pPr>
              <w:pStyle w:val="TableTextRight"/>
              <w:rPr>
                <w:sz w:val="18"/>
                <w:szCs w:val="18"/>
              </w:rPr>
            </w:pPr>
            <w:r w:rsidRPr="000B00B4">
              <w:t>57.2</w:t>
            </w:r>
          </w:p>
        </w:tc>
        <w:tc>
          <w:tcPr>
            <w:tcW w:w="875" w:type="dxa"/>
            <w:hideMark/>
          </w:tcPr>
          <w:p w14:paraId="63F312F3" w14:textId="77777777" w:rsidR="000B00B4" w:rsidRPr="000B00B4" w:rsidRDefault="000B00B4" w:rsidP="005C7A4A">
            <w:pPr>
              <w:pStyle w:val="TableTextRight"/>
              <w:rPr>
                <w:sz w:val="18"/>
                <w:szCs w:val="18"/>
              </w:rPr>
            </w:pPr>
            <w:r w:rsidRPr="000B00B4">
              <w:t>50</w:t>
            </w:r>
          </w:p>
        </w:tc>
        <w:tc>
          <w:tcPr>
            <w:tcW w:w="1345" w:type="dxa"/>
            <w:noWrap/>
            <w:hideMark/>
          </w:tcPr>
          <w:p w14:paraId="7F2AD335" w14:textId="77777777" w:rsidR="000B00B4" w:rsidRPr="000B00B4" w:rsidRDefault="000B00B4" w:rsidP="005C7A4A">
            <w:pPr>
              <w:pStyle w:val="TableTextRight"/>
              <w:rPr>
                <w:sz w:val="18"/>
                <w:szCs w:val="18"/>
              </w:rPr>
            </w:pPr>
            <w:r w:rsidRPr="000B00B4">
              <w:t>203</w:t>
            </w:r>
          </w:p>
        </w:tc>
        <w:tc>
          <w:tcPr>
            <w:tcW w:w="1216" w:type="dxa"/>
            <w:noWrap/>
            <w:hideMark/>
          </w:tcPr>
          <w:p w14:paraId="28F59DC7" w14:textId="77777777" w:rsidR="000B00B4" w:rsidRPr="000B00B4" w:rsidRDefault="000B00B4" w:rsidP="005C7A4A">
            <w:pPr>
              <w:pStyle w:val="TableTextRight"/>
              <w:rPr>
                <w:sz w:val="18"/>
                <w:szCs w:val="18"/>
              </w:rPr>
            </w:pPr>
            <w:r w:rsidRPr="000B00B4">
              <w:t>221</w:t>
            </w:r>
          </w:p>
        </w:tc>
        <w:tc>
          <w:tcPr>
            <w:tcW w:w="2503" w:type="dxa"/>
            <w:hideMark/>
          </w:tcPr>
          <w:p w14:paraId="71B2A924" w14:textId="6C245BA6" w:rsidR="000B00B4" w:rsidRPr="000B00B4" w:rsidRDefault="000B00B4" w:rsidP="000C0697">
            <w:pPr>
              <w:pStyle w:val="TableText"/>
              <w:rPr>
                <w:sz w:val="18"/>
                <w:szCs w:val="18"/>
              </w:rPr>
            </w:pPr>
            <w:r w:rsidRPr="000B00B4">
              <w:t>15</w:t>
            </w:r>
            <w:r w:rsidR="003E4C79">
              <w:t xml:space="preserve"> </w:t>
            </w:r>
            <w:r w:rsidRPr="000B00B4">
              <w:t xml:space="preserve">m drilling mud, oil/emulsion smears on tools </w:t>
            </w:r>
          </w:p>
        </w:tc>
      </w:tr>
      <w:tr w:rsidR="000941E5" w:rsidRPr="000B00B4" w14:paraId="6D5B67AA" w14:textId="77777777" w:rsidTr="000941E5">
        <w:trPr>
          <w:cnfStyle w:val="000000100000" w:firstRow="0" w:lastRow="0" w:firstColumn="0" w:lastColumn="0" w:oddVBand="0" w:evenVBand="0" w:oddHBand="1" w:evenHBand="0" w:firstRowFirstColumn="0" w:firstRowLastColumn="0" w:lastRowFirstColumn="0" w:lastRowLastColumn="0"/>
          <w:trHeight w:val="1807"/>
        </w:trPr>
        <w:tc>
          <w:tcPr>
            <w:tcW w:w="1080" w:type="dxa"/>
            <w:noWrap/>
            <w:hideMark/>
          </w:tcPr>
          <w:p w14:paraId="6D3AB036" w14:textId="77777777" w:rsidR="000941E5" w:rsidRPr="000B00B4" w:rsidRDefault="000941E5" w:rsidP="000941E5">
            <w:pPr>
              <w:pStyle w:val="TableText"/>
              <w:rPr>
                <w:sz w:val="18"/>
                <w:szCs w:val="18"/>
              </w:rPr>
            </w:pPr>
            <w:r w:rsidRPr="000B00B4">
              <w:t>Ronald 1</w:t>
            </w:r>
          </w:p>
        </w:tc>
        <w:tc>
          <w:tcPr>
            <w:tcW w:w="982" w:type="dxa"/>
            <w:noWrap/>
            <w:hideMark/>
          </w:tcPr>
          <w:p w14:paraId="7F86F4A2" w14:textId="77777777" w:rsidR="000941E5" w:rsidRPr="000B00B4" w:rsidRDefault="000941E5" w:rsidP="000941E5">
            <w:pPr>
              <w:pStyle w:val="TableTextRight"/>
              <w:rPr>
                <w:sz w:val="18"/>
                <w:szCs w:val="18"/>
              </w:rPr>
            </w:pPr>
            <w:r w:rsidRPr="000B00B4">
              <w:t>254.3</w:t>
            </w:r>
          </w:p>
        </w:tc>
        <w:tc>
          <w:tcPr>
            <w:tcW w:w="1018" w:type="dxa"/>
            <w:hideMark/>
          </w:tcPr>
          <w:p w14:paraId="7763F624" w14:textId="77777777" w:rsidR="000941E5" w:rsidRPr="000B00B4" w:rsidRDefault="000941E5" w:rsidP="000941E5">
            <w:pPr>
              <w:pStyle w:val="TableTextRight"/>
              <w:rPr>
                <w:sz w:val="18"/>
                <w:szCs w:val="18"/>
              </w:rPr>
            </w:pPr>
          </w:p>
        </w:tc>
        <w:tc>
          <w:tcPr>
            <w:tcW w:w="1260" w:type="dxa"/>
            <w:hideMark/>
          </w:tcPr>
          <w:p w14:paraId="50E6B6B1" w14:textId="77777777" w:rsidR="000941E5" w:rsidRPr="000B00B4" w:rsidRDefault="000941E5" w:rsidP="000941E5">
            <w:pPr>
              <w:pStyle w:val="TableText"/>
              <w:rPr>
                <w:sz w:val="18"/>
                <w:szCs w:val="18"/>
              </w:rPr>
            </w:pPr>
            <w:r w:rsidRPr="000B00B4">
              <w:t>Moroak Sst</w:t>
            </w:r>
          </w:p>
        </w:tc>
        <w:tc>
          <w:tcPr>
            <w:tcW w:w="1337" w:type="dxa"/>
            <w:hideMark/>
          </w:tcPr>
          <w:p w14:paraId="3DFB88A1" w14:textId="77777777" w:rsidR="000941E5" w:rsidRPr="000B00B4" w:rsidRDefault="000941E5" w:rsidP="000941E5">
            <w:pPr>
              <w:pStyle w:val="TableTextRight"/>
              <w:rPr>
                <w:sz w:val="18"/>
                <w:szCs w:val="18"/>
              </w:rPr>
            </w:pPr>
            <w:r w:rsidRPr="000B00B4">
              <w:t>559</w:t>
            </w:r>
          </w:p>
        </w:tc>
        <w:tc>
          <w:tcPr>
            <w:tcW w:w="1011" w:type="dxa"/>
            <w:hideMark/>
          </w:tcPr>
          <w:p w14:paraId="75B56AA4" w14:textId="77777777" w:rsidR="000941E5" w:rsidRPr="000B00B4" w:rsidRDefault="000941E5" w:rsidP="000941E5">
            <w:pPr>
              <w:pStyle w:val="TableTextRight"/>
              <w:rPr>
                <w:sz w:val="18"/>
                <w:szCs w:val="18"/>
              </w:rPr>
            </w:pPr>
            <w:r w:rsidRPr="000B00B4">
              <w:t>1047.00</w:t>
            </w:r>
          </w:p>
        </w:tc>
        <w:tc>
          <w:tcPr>
            <w:tcW w:w="840" w:type="dxa"/>
            <w:noWrap/>
            <w:hideMark/>
          </w:tcPr>
          <w:p w14:paraId="4BC913D5" w14:textId="02D0A416" w:rsidR="000941E5" w:rsidRPr="003123B1" w:rsidRDefault="000941E5" w:rsidP="000941E5">
            <w:pPr>
              <w:pStyle w:val="TableTextRight"/>
            </w:pPr>
            <w:r w:rsidRPr="00111CE1">
              <w:t>na</w:t>
            </w:r>
          </w:p>
        </w:tc>
        <w:tc>
          <w:tcPr>
            <w:tcW w:w="1360" w:type="dxa"/>
            <w:noWrap/>
            <w:hideMark/>
          </w:tcPr>
          <w:p w14:paraId="7C0AAEC3" w14:textId="6CE65AA9" w:rsidR="000941E5" w:rsidRPr="003123B1" w:rsidRDefault="000941E5" w:rsidP="000941E5">
            <w:pPr>
              <w:pStyle w:val="TableTextRight"/>
            </w:pPr>
            <w:r w:rsidRPr="00111CE1">
              <w:t>na</w:t>
            </w:r>
          </w:p>
        </w:tc>
        <w:tc>
          <w:tcPr>
            <w:tcW w:w="875" w:type="dxa"/>
            <w:hideMark/>
          </w:tcPr>
          <w:p w14:paraId="40DF6D9E" w14:textId="5BC55D89" w:rsidR="000941E5" w:rsidRPr="003123B1" w:rsidRDefault="000941E5" w:rsidP="000941E5">
            <w:pPr>
              <w:pStyle w:val="TableTextRight"/>
            </w:pPr>
            <w:r w:rsidRPr="00111CE1">
              <w:t>na</w:t>
            </w:r>
          </w:p>
        </w:tc>
        <w:tc>
          <w:tcPr>
            <w:tcW w:w="1345" w:type="dxa"/>
            <w:noWrap/>
            <w:hideMark/>
          </w:tcPr>
          <w:p w14:paraId="567D2D20" w14:textId="77777777" w:rsidR="000941E5" w:rsidRPr="003123B1" w:rsidRDefault="000941E5" w:rsidP="000941E5">
            <w:pPr>
              <w:pStyle w:val="TableTextRight"/>
            </w:pPr>
            <w:r w:rsidRPr="000B00B4">
              <w:t>74</w:t>
            </w:r>
          </w:p>
        </w:tc>
        <w:tc>
          <w:tcPr>
            <w:tcW w:w="1216" w:type="dxa"/>
            <w:noWrap/>
            <w:hideMark/>
          </w:tcPr>
          <w:p w14:paraId="1B38FF97" w14:textId="5DD35DC5" w:rsidR="000941E5" w:rsidRPr="003123B1" w:rsidRDefault="000941E5" w:rsidP="000941E5">
            <w:pPr>
              <w:pStyle w:val="TableTextRight"/>
            </w:pPr>
            <w:r>
              <w:t>na</w:t>
            </w:r>
          </w:p>
        </w:tc>
        <w:tc>
          <w:tcPr>
            <w:tcW w:w="2503" w:type="dxa"/>
            <w:hideMark/>
          </w:tcPr>
          <w:p w14:paraId="31BB7E13" w14:textId="0442118E" w:rsidR="000941E5" w:rsidRPr="00046483" w:rsidRDefault="000941E5" w:rsidP="000941E5">
            <w:pPr>
              <w:pStyle w:val="TableText"/>
            </w:pPr>
            <w:r>
              <w:t>Not a DST test. The value was measured rather than calculated.</w:t>
            </w:r>
          </w:p>
          <w:p w14:paraId="74B20AF6" w14:textId="36FB9BFA" w:rsidR="000941E5" w:rsidRPr="00046483" w:rsidRDefault="000941E5" w:rsidP="000941E5">
            <w:pPr>
              <w:pStyle w:val="TableText"/>
            </w:pPr>
            <w:r w:rsidRPr="00046483">
              <w:t>Large volumes of water inflow encountered below 1045 m. Had to utilise mud pumps to control water volumes whil</w:t>
            </w:r>
            <w:r>
              <w:t>e</w:t>
            </w:r>
            <w:r w:rsidRPr="00046483">
              <w:t xml:space="preserve"> add drill pipe. Flow into well </w:t>
            </w:r>
            <w:r>
              <w:t>‘</w:t>
            </w:r>
            <w:r w:rsidRPr="00046483">
              <w:t>killed itself</w:t>
            </w:r>
            <w:r>
              <w:t>’</w:t>
            </w:r>
            <w:r w:rsidRPr="00046483">
              <w:t xml:space="preserve"> i.e. essentially stopped flowing when water le</w:t>
            </w:r>
            <w:r>
              <w:t>vel in hole reached about</w:t>
            </w:r>
            <w:r>
              <w:br/>
              <w:t xml:space="preserve">180 m </w:t>
            </w:r>
            <w:r w:rsidRPr="00046483">
              <w:t>KB (about 176</w:t>
            </w:r>
            <w:r>
              <w:t xml:space="preserve"> </w:t>
            </w:r>
            <w:r w:rsidRPr="00046483">
              <w:t>m below ground level)</w:t>
            </w:r>
          </w:p>
        </w:tc>
      </w:tr>
      <w:tr w:rsidR="00026EBF" w:rsidRPr="000B00B4" w14:paraId="57BAD883" w14:textId="77777777" w:rsidTr="000941E5">
        <w:trPr>
          <w:cnfStyle w:val="000000010000" w:firstRow="0" w:lastRow="0" w:firstColumn="0" w:lastColumn="0" w:oddVBand="0" w:evenVBand="0" w:oddHBand="0" w:evenHBand="1" w:firstRowFirstColumn="0" w:firstRowLastColumn="0" w:lastRowFirstColumn="0" w:lastRowLastColumn="0"/>
          <w:trHeight w:val="609"/>
        </w:trPr>
        <w:tc>
          <w:tcPr>
            <w:tcW w:w="1080" w:type="dxa"/>
            <w:hideMark/>
          </w:tcPr>
          <w:p w14:paraId="66A4DEF7" w14:textId="77777777" w:rsidR="000B00B4" w:rsidRPr="000B00B4" w:rsidRDefault="000B00B4" w:rsidP="000C0697">
            <w:pPr>
              <w:pStyle w:val="TableText"/>
              <w:rPr>
                <w:sz w:val="18"/>
                <w:szCs w:val="18"/>
              </w:rPr>
            </w:pPr>
            <w:r w:rsidRPr="000B00B4">
              <w:t>Ronald 1</w:t>
            </w:r>
          </w:p>
        </w:tc>
        <w:tc>
          <w:tcPr>
            <w:tcW w:w="982" w:type="dxa"/>
            <w:noWrap/>
            <w:hideMark/>
          </w:tcPr>
          <w:p w14:paraId="5E0A8D75" w14:textId="77777777" w:rsidR="000B00B4" w:rsidRPr="000B00B4" w:rsidRDefault="000B00B4" w:rsidP="00675131">
            <w:pPr>
              <w:pStyle w:val="TableTextRight"/>
              <w:rPr>
                <w:sz w:val="18"/>
                <w:szCs w:val="18"/>
              </w:rPr>
            </w:pPr>
            <w:r w:rsidRPr="000B00B4">
              <w:t>254.3</w:t>
            </w:r>
          </w:p>
        </w:tc>
        <w:tc>
          <w:tcPr>
            <w:tcW w:w="1018" w:type="dxa"/>
            <w:hideMark/>
          </w:tcPr>
          <w:p w14:paraId="55E1B8A4" w14:textId="77777777" w:rsidR="000B00B4" w:rsidRPr="000B00B4" w:rsidRDefault="000B00B4" w:rsidP="00675131">
            <w:pPr>
              <w:pStyle w:val="TableTextRight"/>
              <w:rPr>
                <w:sz w:val="18"/>
                <w:szCs w:val="18"/>
              </w:rPr>
            </w:pPr>
            <w:r w:rsidRPr="000B00B4">
              <w:t>1</w:t>
            </w:r>
          </w:p>
        </w:tc>
        <w:tc>
          <w:tcPr>
            <w:tcW w:w="1260" w:type="dxa"/>
            <w:hideMark/>
          </w:tcPr>
          <w:p w14:paraId="4F753E13" w14:textId="77777777" w:rsidR="000B00B4" w:rsidRPr="000B00B4" w:rsidRDefault="000B00B4" w:rsidP="000C0697">
            <w:pPr>
              <w:pStyle w:val="TableText"/>
              <w:rPr>
                <w:sz w:val="18"/>
                <w:szCs w:val="18"/>
              </w:rPr>
            </w:pPr>
            <w:r w:rsidRPr="000B00B4">
              <w:t>Moroak Sst</w:t>
            </w:r>
          </w:p>
        </w:tc>
        <w:tc>
          <w:tcPr>
            <w:tcW w:w="1337" w:type="dxa"/>
            <w:hideMark/>
          </w:tcPr>
          <w:p w14:paraId="5FDB3837" w14:textId="77777777" w:rsidR="000B00B4" w:rsidRPr="000B00B4" w:rsidRDefault="000B00B4" w:rsidP="008A70EC">
            <w:pPr>
              <w:pStyle w:val="TableTextRight"/>
              <w:rPr>
                <w:sz w:val="18"/>
                <w:szCs w:val="18"/>
              </w:rPr>
            </w:pPr>
            <w:r w:rsidRPr="000B00B4">
              <w:t>559</w:t>
            </w:r>
          </w:p>
        </w:tc>
        <w:tc>
          <w:tcPr>
            <w:tcW w:w="1011" w:type="dxa"/>
            <w:hideMark/>
          </w:tcPr>
          <w:p w14:paraId="78088399" w14:textId="77777777" w:rsidR="000B00B4" w:rsidRPr="000B00B4" w:rsidRDefault="000B00B4" w:rsidP="00675131">
            <w:pPr>
              <w:pStyle w:val="TableTextRight"/>
              <w:rPr>
                <w:sz w:val="18"/>
                <w:szCs w:val="18"/>
              </w:rPr>
            </w:pPr>
            <w:r w:rsidRPr="000B00B4">
              <w:t>1050.64</w:t>
            </w:r>
          </w:p>
        </w:tc>
        <w:tc>
          <w:tcPr>
            <w:tcW w:w="840" w:type="dxa"/>
            <w:noWrap/>
            <w:hideMark/>
          </w:tcPr>
          <w:p w14:paraId="79AD7AD1" w14:textId="77777777" w:rsidR="000B00B4" w:rsidRPr="000B00B4" w:rsidRDefault="000B00B4" w:rsidP="00675131">
            <w:pPr>
              <w:pStyle w:val="TableTextRight"/>
              <w:rPr>
                <w:sz w:val="18"/>
                <w:szCs w:val="18"/>
              </w:rPr>
            </w:pPr>
            <w:r w:rsidRPr="000B00B4">
              <w:t>1358</w:t>
            </w:r>
          </w:p>
        </w:tc>
        <w:tc>
          <w:tcPr>
            <w:tcW w:w="1360" w:type="dxa"/>
            <w:noWrap/>
            <w:hideMark/>
          </w:tcPr>
          <w:p w14:paraId="0F4D960B" w14:textId="77777777" w:rsidR="000B00B4" w:rsidRPr="000B00B4" w:rsidRDefault="000B00B4" w:rsidP="00675131">
            <w:pPr>
              <w:pStyle w:val="TableTextRight"/>
              <w:rPr>
                <w:sz w:val="18"/>
                <w:szCs w:val="18"/>
              </w:rPr>
            </w:pPr>
            <w:r w:rsidRPr="000B00B4">
              <w:t>71.1</w:t>
            </w:r>
          </w:p>
        </w:tc>
        <w:tc>
          <w:tcPr>
            <w:tcW w:w="875" w:type="dxa"/>
            <w:hideMark/>
          </w:tcPr>
          <w:p w14:paraId="2E81F00D" w14:textId="77777777" w:rsidR="000B00B4" w:rsidRPr="000B00B4" w:rsidRDefault="000B00B4" w:rsidP="00675131">
            <w:pPr>
              <w:pStyle w:val="TableTextRight"/>
              <w:rPr>
                <w:sz w:val="18"/>
                <w:szCs w:val="18"/>
              </w:rPr>
            </w:pPr>
            <w:r w:rsidRPr="000B00B4">
              <w:t>100</w:t>
            </w:r>
          </w:p>
        </w:tc>
        <w:tc>
          <w:tcPr>
            <w:tcW w:w="1345" w:type="dxa"/>
            <w:noWrap/>
            <w:hideMark/>
          </w:tcPr>
          <w:p w14:paraId="49E2E436" w14:textId="77777777" w:rsidR="000B00B4" w:rsidRPr="000B00B4" w:rsidRDefault="000B00B4" w:rsidP="00675131">
            <w:pPr>
              <w:pStyle w:val="TableTextRight"/>
              <w:rPr>
                <w:sz w:val="18"/>
                <w:szCs w:val="18"/>
              </w:rPr>
            </w:pPr>
            <w:r w:rsidRPr="000B00B4">
              <w:t>112</w:t>
            </w:r>
          </w:p>
        </w:tc>
        <w:tc>
          <w:tcPr>
            <w:tcW w:w="1216" w:type="dxa"/>
            <w:noWrap/>
            <w:hideMark/>
          </w:tcPr>
          <w:p w14:paraId="2059BC04" w14:textId="77777777" w:rsidR="000B00B4" w:rsidRPr="000B00B4" w:rsidRDefault="000B00B4" w:rsidP="00675131">
            <w:pPr>
              <w:pStyle w:val="TableTextRight"/>
              <w:rPr>
                <w:sz w:val="18"/>
                <w:szCs w:val="18"/>
              </w:rPr>
            </w:pPr>
            <w:r w:rsidRPr="000B00B4">
              <w:t>159</w:t>
            </w:r>
          </w:p>
        </w:tc>
        <w:tc>
          <w:tcPr>
            <w:tcW w:w="2503" w:type="dxa"/>
            <w:hideMark/>
          </w:tcPr>
          <w:p w14:paraId="2D8EBB79" w14:textId="13B264C9" w:rsidR="000B00B4" w:rsidRPr="000B00B4" w:rsidRDefault="000B00B4" w:rsidP="000C0697">
            <w:pPr>
              <w:pStyle w:val="TableText"/>
              <w:rPr>
                <w:sz w:val="18"/>
                <w:szCs w:val="18"/>
              </w:rPr>
            </w:pPr>
            <w:r w:rsidRPr="000B00B4">
              <w:t>3108</w:t>
            </w:r>
            <w:r w:rsidR="00BB6D37">
              <w:t> </w:t>
            </w:r>
            <w:r w:rsidR="008F7D37">
              <w:t>L</w:t>
            </w:r>
            <w:r w:rsidRPr="000B00B4" w:rsidDel="008F7D37">
              <w:t xml:space="preserve"> </w:t>
            </w:r>
            <w:r w:rsidRPr="000B00B4">
              <w:t xml:space="preserve">saline formation water and minor gas </w:t>
            </w:r>
          </w:p>
        </w:tc>
      </w:tr>
      <w:tr w:rsidR="00026EBF" w:rsidRPr="000B00B4" w14:paraId="7828415D" w14:textId="77777777" w:rsidTr="000941E5">
        <w:trPr>
          <w:cnfStyle w:val="000000100000" w:firstRow="0" w:lastRow="0" w:firstColumn="0" w:lastColumn="0" w:oddVBand="0" w:evenVBand="0" w:oddHBand="1" w:evenHBand="0" w:firstRowFirstColumn="0" w:firstRowLastColumn="0" w:lastRowFirstColumn="0" w:lastRowLastColumn="0"/>
          <w:trHeight w:val="464"/>
        </w:trPr>
        <w:tc>
          <w:tcPr>
            <w:tcW w:w="1080" w:type="dxa"/>
            <w:hideMark/>
          </w:tcPr>
          <w:p w14:paraId="36110556" w14:textId="77777777" w:rsidR="000B00B4" w:rsidRPr="000B00B4" w:rsidRDefault="000B00B4" w:rsidP="000C0697">
            <w:pPr>
              <w:pStyle w:val="TableText"/>
              <w:rPr>
                <w:sz w:val="18"/>
                <w:szCs w:val="18"/>
              </w:rPr>
            </w:pPr>
            <w:r w:rsidRPr="000B00B4">
              <w:t>Shortland 1</w:t>
            </w:r>
          </w:p>
        </w:tc>
        <w:tc>
          <w:tcPr>
            <w:tcW w:w="982" w:type="dxa"/>
            <w:noWrap/>
            <w:hideMark/>
          </w:tcPr>
          <w:p w14:paraId="460695B9" w14:textId="77777777" w:rsidR="000B00B4" w:rsidRPr="000B00B4" w:rsidRDefault="000B00B4" w:rsidP="00675131">
            <w:pPr>
              <w:pStyle w:val="TableTextRight"/>
              <w:rPr>
                <w:sz w:val="18"/>
                <w:szCs w:val="18"/>
              </w:rPr>
            </w:pPr>
            <w:r w:rsidRPr="000B00B4">
              <w:t>267.7</w:t>
            </w:r>
          </w:p>
        </w:tc>
        <w:tc>
          <w:tcPr>
            <w:tcW w:w="1018" w:type="dxa"/>
            <w:hideMark/>
          </w:tcPr>
          <w:p w14:paraId="05AAC01D" w14:textId="77777777" w:rsidR="000B00B4" w:rsidRPr="000B00B4" w:rsidRDefault="000B00B4" w:rsidP="00675131">
            <w:pPr>
              <w:pStyle w:val="TableTextRight"/>
              <w:rPr>
                <w:sz w:val="18"/>
                <w:szCs w:val="18"/>
              </w:rPr>
            </w:pPr>
            <w:r w:rsidRPr="000B00B4">
              <w:t>1</w:t>
            </w:r>
          </w:p>
        </w:tc>
        <w:tc>
          <w:tcPr>
            <w:tcW w:w="1260" w:type="dxa"/>
            <w:hideMark/>
          </w:tcPr>
          <w:p w14:paraId="0298CD37" w14:textId="7F286E4F" w:rsidR="000B00B4" w:rsidRPr="000B00B4" w:rsidRDefault="5B3F5A9C" w:rsidP="000C0697">
            <w:pPr>
              <w:pStyle w:val="TableText"/>
              <w:rPr>
                <w:sz w:val="18"/>
                <w:szCs w:val="18"/>
              </w:rPr>
            </w:pPr>
            <w:r w:rsidRPr="5B3F5A9C">
              <w:t xml:space="preserve">Hayfield </w:t>
            </w:r>
            <w:r w:rsidR="00AD1A11">
              <w:t>m</w:t>
            </w:r>
            <w:r w:rsidRPr="5B3F5A9C">
              <w:t>st</w:t>
            </w:r>
          </w:p>
        </w:tc>
        <w:tc>
          <w:tcPr>
            <w:tcW w:w="1337" w:type="dxa"/>
            <w:hideMark/>
          </w:tcPr>
          <w:p w14:paraId="3B055EB1" w14:textId="77777777" w:rsidR="000B00B4" w:rsidRPr="000B00B4" w:rsidRDefault="000B00B4" w:rsidP="008A70EC">
            <w:pPr>
              <w:pStyle w:val="TableTextRight"/>
              <w:rPr>
                <w:sz w:val="18"/>
                <w:szCs w:val="18"/>
              </w:rPr>
            </w:pPr>
            <w:r w:rsidRPr="000B00B4">
              <w:t>487</w:t>
            </w:r>
          </w:p>
        </w:tc>
        <w:tc>
          <w:tcPr>
            <w:tcW w:w="1011" w:type="dxa"/>
            <w:hideMark/>
          </w:tcPr>
          <w:p w14:paraId="580E907B" w14:textId="77777777" w:rsidR="000B00B4" w:rsidRPr="000B00B4" w:rsidRDefault="000B00B4" w:rsidP="00675131">
            <w:pPr>
              <w:pStyle w:val="TableTextRight"/>
              <w:rPr>
                <w:sz w:val="18"/>
                <w:szCs w:val="18"/>
              </w:rPr>
            </w:pPr>
            <w:r w:rsidRPr="000B00B4">
              <w:t>830.98</w:t>
            </w:r>
          </w:p>
        </w:tc>
        <w:tc>
          <w:tcPr>
            <w:tcW w:w="840" w:type="dxa"/>
            <w:noWrap/>
            <w:hideMark/>
          </w:tcPr>
          <w:p w14:paraId="41C9A9E8" w14:textId="77777777" w:rsidR="000B00B4" w:rsidRPr="000B00B4" w:rsidRDefault="000B00B4" w:rsidP="00675131">
            <w:pPr>
              <w:pStyle w:val="TableTextRight"/>
              <w:rPr>
                <w:sz w:val="18"/>
                <w:szCs w:val="18"/>
              </w:rPr>
            </w:pPr>
            <w:r w:rsidRPr="000B00B4">
              <w:t>950</w:t>
            </w:r>
          </w:p>
        </w:tc>
        <w:tc>
          <w:tcPr>
            <w:tcW w:w="1360" w:type="dxa"/>
            <w:noWrap/>
            <w:hideMark/>
          </w:tcPr>
          <w:p w14:paraId="70880058" w14:textId="77777777" w:rsidR="000B00B4" w:rsidRPr="000B00B4" w:rsidRDefault="000B00B4" w:rsidP="00675131">
            <w:pPr>
              <w:pStyle w:val="TableTextRight"/>
              <w:rPr>
                <w:sz w:val="18"/>
                <w:szCs w:val="18"/>
              </w:rPr>
            </w:pPr>
            <w:r w:rsidRPr="000B00B4">
              <w:t>55.8</w:t>
            </w:r>
          </w:p>
        </w:tc>
        <w:tc>
          <w:tcPr>
            <w:tcW w:w="875" w:type="dxa"/>
            <w:hideMark/>
          </w:tcPr>
          <w:p w14:paraId="2C8232B8" w14:textId="77777777" w:rsidR="000B00B4" w:rsidRPr="000B00B4" w:rsidRDefault="000B00B4" w:rsidP="00675131">
            <w:pPr>
              <w:pStyle w:val="TableTextRight"/>
              <w:rPr>
                <w:sz w:val="18"/>
                <w:szCs w:val="18"/>
              </w:rPr>
            </w:pPr>
            <w:r w:rsidRPr="000B00B4">
              <w:t>50</w:t>
            </w:r>
          </w:p>
        </w:tc>
        <w:tc>
          <w:tcPr>
            <w:tcW w:w="1345" w:type="dxa"/>
            <w:noWrap/>
            <w:hideMark/>
          </w:tcPr>
          <w:p w14:paraId="19E09556" w14:textId="77777777" w:rsidR="000B00B4" w:rsidRPr="000B00B4" w:rsidRDefault="000B00B4" w:rsidP="00675131">
            <w:pPr>
              <w:pStyle w:val="TableTextRight"/>
              <w:rPr>
                <w:sz w:val="18"/>
                <w:szCs w:val="18"/>
              </w:rPr>
            </w:pPr>
            <w:r w:rsidRPr="000B00B4">
              <w:t>90</w:t>
            </w:r>
          </w:p>
        </w:tc>
        <w:tc>
          <w:tcPr>
            <w:tcW w:w="1216" w:type="dxa"/>
            <w:noWrap/>
            <w:hideMark/>
          </w:tcPr>
          <w:p w14:paraId="57CDCB93" w14:textId="77777777" w:rsidR="000B00B4" w:rsidRPr="000B00B4" w:rsidRDefault="000B00B4" w:rsidP="00675131">
            <w:pPr>
              <w:pStyle w:val="TableTextRight"/>
              <w:rPr>
                <w:sz w:val="18"/>
                <w:szCs w:val="18"/>
              </w:rPr>
            </w:pPr>
            <w:r w:rsidRPr="000B00B4">
              <w:t>105</w:t>
            </w:r>
          </w:p>
        </w:tc>
        <w:tc>
          <w:tcPr>
            <w:tcW w:w="2503" w:type="dxa"/>
            <w:hideMark/>
          </w:tcPr>
          <w:p w14:paraId="0D079D3F" w14:textId="6533D761" w:rsidR="000B00B4" w:rsidRPr="000B00B4" w:rsidRDefault="000B00B4" w:rsidP="000C0697">
            <w:pPr>
              <w:pStyle w:val="TableText"/>
              <w:rPr>
                <w:sz w:val="18"/>
                <w:szCs w:val="18"/>
              </w:rPr>
            </w:pPr>
            <w:r w:rsidRPr="000B00B4">
              <w:t>8</w:t>
            </w:r>
            <w:r w:rsidR="00BB6D37">
              <w:t> </w:t>
            </w:r>
            <w:r w:rsidR="008F7D37">
              <w:t>L</w:t>
            </w:r>
            <w:r w:rsidRPr="00046483">
              <w:t xml:space="preserve"> of formati</w:t>
            </w:r>
            <w:r w:rsidR="00043D95" w:rsidRPr="00046483">
              <w:t>on water cut with rat hole mud</w:t>
            </w:r>
          </w:p>
        </w:tc>
      </w:tr>
      <w:tr w:rsidR="00026EBF" w:rsidRPr="000B00B4" w14:paraId="23628E3E" w14:textId="77777777" w:rsidTr="000941E5">
        <w:trPr>
          <w:cnfStyle w:val="000000010000" w:firstRow="0" w:lastRow="0" w:firstColumn="0" w:lastColumn="0" w:oddVBand="0" w:evenVBand="0" w:oddHBand="0" w:evenHBand="1" w:firstRowFirstColumn="0" w:firstRowLastColumn="0" w:lastRowFirstColumn="0" w:lastRowLastColumn="0"/>
          <w:trHeight w:val="510"/>
        </w:trPr>
        <w:tc>
          <w:tcPr>
            <w:tcW w:w="1080" w:type="dxa"/>
            <w:hideMark/>
          </w:tcPr>
          <w:p w14:paraId="3B6097ED" w14:textId="77777777" w:rsidR="000B00B4" w:rsidRPr="000B00B4" w:rsidRDefault="000B00B4" w:rsidP="000C0697">
            <w:pPr>
              <w:pStyle w:val="TableText"/>
              <w:rPr>
                <w:sz w:val="18"/>
                <w:szCs w:val="18"/>
              </w:rPr>
            </w:pPr>
            <w:r w:rsidRPr="000B00B4">
              <w:t>Walton 2</w:t>
            </w:r>
          </w:p>
        </w:tc>
        <w:tc>
          <w:tcPr>
            <w:tcW w:w="982" w:type="dxa"/>
            <w:noWrap/>
            <w:hideMark/>
          </w:tcPr>
          <w:p w14:paraId="03B144C8" w14:textId="77777777" w:rsidR="000B00B4" w:rsidRPr="000B00B4" w:rsidRDefault="000B00B4" w:rsidP="00675131">
            <w:pPr>
              <w:pStyle w:val="TableTextRight"/>
              <w:rPr>
                <w:sz w:val="18"/>
                <w:szCs w:val="18"/>
              </w:rPr>
            </w:pPr>
            <w:r w:rsidRPr="000B00B4">
              <w:t>192</w:t>
            </w:r>
          </w:p>
        </w:tc>
        <w:tc>
          <w:tcPr>
            <w:tcW w:w="1018" w:type="dxa"/>
            <w:hideMark/>
          </w:tcPr>
          <w:p w14:paraId="42A84C6D" w14:textId="77777777" w:rsidR="000B00B4" w:rsidRPr="000B00B4" w:rsidRDefault="000B00B4" w:rsidP="00675131">
            <w:pPr>
              <w:pStyle w:val="TableTextRight"/>
              <w:rPr>
                <w:sz w:val="18"/>
                <w:szCs w:val="18"/>
              </w:rPr>
            </w:pPr>
            <w:r w:rsidRPr="000B00B4">
              <w:t>2</w:t>
            </w:r>
          </w:p>
        </w:tc>
        <w:tc>
          <w:tcPr>
            <w:tcW w:w="1260" w:type="dxa"/>
            <w:hideMark/>
          </w:tcPr>
          <w:p w14:paraId="4D88CC09" w14:textId="704A05F2" w:rsidR="000B00B4" w:rsidRPr="000B00B4" w:rsidRDefault="007D6223" w:rsidP="000C0697">
            <w:pPr>
              <w:pStyle w:val="TableText"/>
              <w:rPr>
                <w:sz w:val="18"/>
                <w:szCs w:val="18"/>
              </w:rPr>
            </w:pPr>
            <w:r>
              <w:t>Velkerri</w:t>
            </w:r>
            <w:r w:rsidR="000B00B4" w:rsidRPr="00046483">
              <w:t xml:space="preserve"> Fm</w:t>
            </w:r>
          </w:p>
        </w:tc>
        <w:tc>
          <w:tcPr>
            <w:tcW w:w="1337" w:type="dxa"/>
            <w:hideMark/>
          </w:tcPr>
          <w:p w14:paraId="14085854" w14:textId="77777777" w:rsidR="000B00B4" w:rsidRPr="000B00B4" w:rsidRDefault="000B00B4" w:rsidP="008A70EC">
            <w:pPr>
              <w:pStyle w:val="TableTextRight"/>
              <w:rPr>
                <w:sz w:val="18"/>
                <w:szCs w:val="18"/>
              </w:rPr>
            </w:pPr>
            <w:r w:rsidRPr="000B00B4">
              <w:t>86</w:t>
            </w:r>
          </w:p>
        </w:tc>
        <w:tc>
          <w:tcPr>
            <w:tcW w:w="1011" w:type="dxa"/>
            <w:hideMark/>
          </w:tcPr>
          <w:p w14:paraId="1F3146F0" w14:textId="77777777" w:rsidR="000B00B4" w:rsidRPr="000B00B4" w:rsidRDefault="000B00B4" w:rsidP="00675131">
            <w:pPr>
              <w:pStyle w:val="TableTextRight"/>
              <w:rPr>
                <w:sz w:val="18"/>
                <w:szCs w:val="18"/>
              </w:rPr>
            </w:pPr>
            <w:r w:rsidRPr="000B00B4">
              <w:t>777.00</w:t>
            </w:r>
          </w:p>
        </w:tc>
        <w:tc>
          <w:tcPr>
            <w:tcW w:w="840" w:type="dxa"/>
            <w:noWrap/>
            <w:hideMark/>
          </w:tcPr>
          <w:p w14:paraId="407B3669" w14:textId="77777777" w:rsidR="000B00B4" w:rsidRPr="000B00B4" w:rsidRDefault="000B00B4" w:rsidP="00675131">
            <w:pPr>
              <w:pStyle w:val="TableTextRight"/>
              <w:rPr>
                <w:sz w:val="18"/>
                <w:szCs w:val="18"/>
              </w:rPr>
            </w:pPr>
            <w:r w:rsidRPr="000B00B4">
              <w:t>1129</w:t>
            </w:r>
          </w:p>
        </w:tc>
        <w:tc>
          <w:tcPr>
            <w:tcW w:w="1360" w:type="dxa"/>
            <w:noWrap/>
            <w:hideMark/>
          </w:tcPr>
          <w:p w14:paraId="51E33016" w14:textId="77777777" w:rsidR="000B00B4" w:rsidRPr="000B00B4" w:rsidRDefault="000B00B4" w:rsidP="00675131">
            <w:pPr>
              <w:pStyle w:val="TableTextRight"/>
              <w:rPr>
                <w:sz w:val="18"/>
                <w:szCs w:val="18"/>
              </w:rPr>
            </w:pPr>
            <w:r w:rsidRPr="000B00B4">
              <w:t>64.4</w:t>
            </w:r>
          </w:p>
        </w:tc>
        <w:tc>
          <w:tcPr>
            <w:tcW w:w="875" w:type="dxa"/>
            <w:hideMark/>
          </w:tcPr>
          <w:p w14:paraId="13B8A2F2" w14:textId="77777777" w:rsidR="000B00B4" w:rsidRPr="000B00B4" w:rsidRDefault="000B00B4" w:rsidP="00675131">
            <w:pPr>
              <w:pStyle w:val="TableTextRight"/>
              <w:rPr>
                <w:sz w:val="18"/>
                <w:szCs w:val="18"/>
              </w:rPr>
            </w:pPr>
            <w:r w:rsidRPr="000B00B4">
              <w:t>100</w:t>
            </w:r>
          </w:p>
        </w:tc>
        <w:tc>
          <w:tcPr>
            <w:tcW w:w="1345" w:type="dxa"/>
            <w:noWrap/>
            <w:hideMark/>
          </w:tcPr>
          <w:p w14:paraId="2D4FE76C" w14:textId="77777777" w:rsidR="000B00B4" w:rsidRPr="000B00B4" w:rsidRDefault="000B00B4" w:rsidP="00675131">
            <w:pPr>
              <w:pStyle w:val="TableTextRight"/>
              <w:rPr>
                <w:sz w:val="18"/>
                <w:szCs w:val="18"/>
              </w:rPr>
            </w:pPr>
            <w:r w:rsidRPr="000B00B4">
              <w:t>167</w:t>
            </w:r>
          </w:p>
        </w:tc>
        <w:tc>
          <w:tcPr>
            <w:tcW w:w="1216" w:type="dxa"/>
            <w:noWrap/>
            <w:hideMark/>
          </w:tcPr>
          <w:p w14:paraId="6D6DD4FA" w14:textId="77777777" w:rsidR="000B00B4" w:rsidRPr="000B00B4" w:rsidRDefault="000B00B4" w:rsidP="00675131">
            <w:pPr>
              <w:pStyle w:val="TableTextRight"/>
              <w:rPr>
                <w:sz w:val="18"/>
                <w:szCs w:val="18"/>
              </w:rPr>
            </w:pPr>
            <w:r w:rsidRPr="000B00B4">
              <w:t>209</w:t>
            </w:r>
          </w:p>
        </w:tc>
        <w:tc>
          <w:tcPr>
            <w:tcW w:w="2503" w:type="dxa"/>
            <w:hideMark/>
          </w:tcPr>
          <w:p w14:paraId="2990643F" w14:textId="4AE771D1" w:rsidR="000B00B4" w:rsidRPr="000B00B4" w:rsidRDefault="000B00B4" w:rsidP="000C0697">
            <w:pPr>
              <w:pStyle w:val="TableText"/>
              <w:rPr>
                <w:sz w:val="18"/>
                <w:szCs w:val="18"/>
              </w:rPr>
            </w:pPr>
            <w:r w:rsidRPr="000B00B4">
              <w:t>7.5</w:t>
            </w:r>
            <w:r w:rsidR="00BB6D37">
              <w:t> </w:t>
            </w:r>
            <w:r w:rsidR="008F7D37">
              <w:t>L</w:t>
            </w:r>
            <w:r w:rsidR="008B0122" w:rsidRPr="00046483" w:rsidDel="008F7D37">
              <w:t xml:space="preserve"> </w:t>
            </w:r>
            <w:r w:rsidRPr="00046483">
              <w:t>rat hole mud with slight oil cut</w:t>
            </w:r>
          </w:p>
        </w:tc>
      </w:tr>
    </w:tbl>
    <w:bookmarkEnd w:id="203"/>
    <w:p w14:paraId="43FCBC92" w14:textId="43D8B0A2" w:rsidR="00172478" w:rsidRDefault="008A70EC" w:rsidP="00DC677B">
      <w:pPr>
        <w:pStyle w:val="SourceornoteforTableorFigure"/>
      </w:pPr>
      <w:r>
        <w:t xml:space="preserve">DST = drill stem test; </w:t>
      </w:r>
      <w:r w:rsidR="000941E5">
        <w:t>na</w:t>
      </w:r>
      <w:r w:rsidR="003123B1">
        <w:t xml:space="preserve"> = not </w:t>
      </w:r>
      <w:r w:rsidR="000941E5">
        <w:t>applicable</w:t>
      </w:r>
      <w:r w:rsidR="003123B1">
        <w:t xml:space="preserve">; </w:t>
      </w:r>
      <w:r w:rsidR="008B0122">
        <w:t xml:space="preserve">RTSM </w:t>
      </w:r>
      <w:r>
        <w:t xml:space="preserve">= </w:t>
      </w:r>
      <w:r w:rsidR="008B0122">
        <w:t>Rate too small to measure</w:t>
      </w:r>
      <w:r w:rsidR="00546A3D">
        <w:t xml:space="preserve">; </w:t>
      </w:r>
      <w:r w:rsidR="5B3F5A9C">
        <w:t>Fm = Formation; Sst</w:t>
      </w:r>
      <w:r w:rsidR="003C6DBE">
        <w:t xml:space="preserve"> or sst</w:t>
      </w:r>
      <w:r w:rsidR="5B3F5A9C">
        <w:t xml:space="preserve"> = sandstone, </w:t>
      </w:r>
      <w:r w:rsidR="00AD1A11">
        <w:t>m</w:t>
      </w:r>
      <w:r w:rsidR="5B3F5A9C">
        <w:t>st = mudstone</w:t>
      </w:r>
      <w:r w:rsidR="00852881">
        <w:br/>
      </w:r>
      <w:r w:rsidR="003C6DBE">
        <w:t>KB = Kellybush, mAHD = metres above Australian Height Datum.</w:t>
      </w:r>
      <w:r w:rsidR="003C6DBE">
        <w:br/>
      </w:r>
      <w:r w:rsidR="00852881">
        <w:t>Caveats associated with calculations of hydraulic head are outlined in the method snapshot box.</w:t>
      </w:r>
      <w:r w:rsidR="00A41B1D">
        <w:br/>
        <w:t xml:space="preserve">Well locations are outlined on </w:t>
      </w:r>
      <w:r w:rsidR="00A41B1D">
        <w:fldChar w:fldCharType="begin"/>
      </w:r>
      <w:r w:rsidR="00A41B1D">
        <w:instrText xml:space="preserve"> REF _Ref21090047 \h </w:instrText>
      </w:r>
      <w:r w:rsidR="00A41B1D">
        <w:fldChar w:fldCharType="separate"/>
      </w:r>
      <w:r w:rsidR="00B177F5">
        <w:t xml:space="preserve">Figure </w:t>
      </w:r>
      <w:r w:rsidR="00B177F5">
        <w:rPr>
          <w:noProof/>
        </w:rPr>
        <w:t>5</w:t>
      </w:r>
      <w:r w:rsidR="00A41B1D">
        <w:fldChar w:fldCharType="end"/>
      </w:r>
      <w:r w:rsidR="00A41B1D">
        <w:t>.</w:t>
      </w:r>
      <w:r w:rsidR="00FE54F3">
        <w:br/>
        <w:t xml:space="preserve">Data: </w:t>
      </w:r>
      <w:r w:rsidR="00F76E0D">
        <w:fldChar w:fldCharType="begin"/>
      </w:r>
      <w:r w:rsidR="008F30E0">
        <w:instrText xml:space="preserve"> ADDIN EN.CITE &lt;EndNote&gt;&lt;Cite AuthorYear="1"&gt;&lt;Author&gt;Geological and Bioregional Assessment Program&lt;/Author&gt;&lt;Year&gt;2019&lt;/Year&gt;&lt;RecNum&gt;1003&lt;/RecNum&gt;&lt;DisplayText&gt;Geological and Bioregional Assessment Program (2019f)&lt;/DisplayText&gt;&lt;record&gt;&lt;rec-number&gt;1003&lt;/rec-number&gt;&lt;foreign-keys&gt;&lt;key app="EN" db-id="wdf9tzzdhw2saee559kv0vezt0wfsta0zedv" timestamp="1559184265"&gt;1003&lt;/key&gt;&lt;/foreign-keys&gt;&lt;ref-type name="Dataset"&gt;59&lt;/ref-type&gt;&lt;contributors&gt;&lt;authors&gt;&lt;author&gt;Geological and Bioregional Assessment Program,&lt;/author&gt;&lt;/authors&gt;&lt;/contributors&gt;&lt;titles&gt;&lt;title&gt;Beetaloo formation pressure and temperature data compiled from petroleum well completion reports&lt;/title&gt;&lt;/titles&gt;&lt;dates&gt;&lt;year&gt;2019&lt;/year&gt;&lt;/dates&gt;&lt;label&gt;65CF9145-483A-45E5-9349-CC66647731F1&lt;/label&gt;&lt;urls&gt;&lt;related-urls&gt;&lt;url&gt;&lt;style face="underline" font="default" size="100%"&gt;https://repo.bioregionalassessments.gov.au/metadata/65CF9145-483A-45E5-9349-CC66647731F1&lt;/style&gt;&lt;/url&gt;&lt;/related-urls&gt;&lt;/urls&gt;&lt;access-date&gt;08 March 2019&lt;/access-date&gt;&lt;/record&gt;&lt;/Cite&gt;&lt;/EndNote&gt;</w:instrText>
      </w:r>
      <w:r w:rsidR="00F76E0D">
        <w:fldChar w:fldCharType="separate"/>
      </w:r>
      <w:r w:rsidR="008F30E0">
        <w:rPr>
          <w:noProof/>
        </w:rPr>
        <w:t>Geological and Bioregional Assessment Program (2019f)</w:t>
      </w:r>
      <w:r w:rsidR="00F76E0D">
        <w:fldChar w:fldCharType="end"/>
      </w:r>
      <w:r w:rsidR="00F76E0D">
        <w:t xml:space="preserve">  </w:t>
      </w:r>
      <w:r w:rsidR="00172478">
        <w:br w:type="page"/>
      </w:r>
    </w:p>
    <w:p w14:paraId="3F07D465" w14:textId="0E328A9F" w:rsidR="00104F31" w:rsidRDefault="00852881" w:rsidP="00DC677B">
      <w:pPr>
        <w:pStyle w:val="SourceornoteforTableorFigure"/>
        <w:sectPr w:rsidR="00104F31" w:rsidSect="000B00B4">
          <w:headerReference w:type="even" r:id="rId54"/>
          <w:headerReference w:type="default" r:id="rId55"/>
          <w:pgSz w:w="16838" w:h="11906" w:orient="landscape" w:code="9"/>
          <w:pgMar w:top="1134" w:right="1247" w:bottom="1134" w:left="1134" w:header="510" w:footer="624" w:gutter="0"/>
          <w:cols w:space="284"/>
          <w:docGrid w:linePitch="360"/>
        </w:sectPr>
      </w:pPr>
      <w:r>
        <w:br/>
      </w:r>
    </w:p>
    <w:p w14:paraId="0D02B005" w14:textId="26FE9BDA" w:rsidR="000056C6" w:rsidRDefault="00827E8A" w:rsidP="00A06AB8">
      <w:pPr>
        <w:pStyle w:val="Heading2"/>
      </w:pPr>
      <w:bookmarkStart w:id="204" w:name="_Toc4072462"/>
      <w:bookmarkStart w:id="205" w:name="_Toc5020792"/>
      <w:bookmarkStart w:id="206" w:name="_Toc5021599"/>
      <w:bookmarkStart w:id="207" w:name="_Toc5808360"/>
      <w:bookmarkStart w:id="208" w:name="_Toc5895053"/>
      <w:bookmarkStart w:id="209" w:name="_Toc6308941"/>
      <w:bookmarkStart w:id="210" w:name="_Toc6327605"/>
      <w:bookmarkStart w:id="211" w:name="_Ref14770655"/>
      <w:bookmarkStart w:id="212" w:name="_Ref34913906"/>
      <w:bookmarkStart w:id="213" w:name="_Toc38990440"/>
      <w:r>
        <w:t>Groundwater system conceptualisation</w:t>
      </w:r>
      <w:bookmarkEnd w:id="204"/>
      <w:bookmarkEnd w:id="205"/>
      <w:bookmarkEnd w:id="206"/>
      <w:bookmarkEnd w:id="207"/>
      <w:bookmarkEnd w:id="208"/>
      <w:bookmarkEnd w:id="209"/>
      <w:bookmarkEnd w:id="210"/>
      <w:bookmarkEnd w:id="211"/>
      <w:bookmarkEnd w:id="212"/>
      <w:bookmarkEnd w:id="213"/>
    </w:p>
    <w:p w14:paraId="5ABA536F" w14:textId="12576384" w:rsidR="00AB11CB" w:rsidRDefault="00D700A3" w:rsidP="003C3A5C">
      <w:pPr>
        <w:pStyle w:val="Heading3"/>
      </w:pPr>
      <w:bookmarkStart w:id="214" w:name="_Toc4072463"/>
      <w:bookmarkStart w:id="215" w:name="_Toc5020793"/>
      <w:bookmarkStart w:id="216" w:name="_Toc5021600"/>
      <w:bookmarkStart w:id="217" w:name="_Toc5808361"/>
      <w:bookmarkStart w:id="218" w:name="_Toc5895054"/>
      <w:bookmarkStart w:id="219" w:name="_Toc6308942"/>
      <w:bookmarkStart w:id="220" w:name="_Toc6327606"/>
      <w:bookmarkStart w:id="221" w:name="_Ref35595594"/>
      <w:bookmarkStart w:id="222" w:name="_Toc38990441"/>
      <w:r>
        <w:t xml:space="preserve">Section </w:t>
      </w:r>
      <w:r w:rsidR="00E45BB5">
        <w:t>s</w:t>
      </w:r>
      <w:r w:rsidR="00AB11CB">
        <w:t>ummary</w:t>
      </w:r>
      <w:bookmarkEnd w:id="214"/>
      <w:bookmarkEnd w:id="215"/>
      <w:bookmarkEnd w:id="216"/>
      <w:bookmarkEnd w:id="217"/>
      <w:bookmarkEnd w:id="218"/>
      <w:bookmarkEnd w:id="219"/>
      <w:bookmarkEnd w:id="220"/>
      <w:bookmarkEnd w:id="221"/>
      <w:bookmarkEnd w:id="222"/>
    </w:p>
    <w:p w14:paraId="5352FCF2" w14:textId="0ECC6D22" w:rsidR="009E25E1" w:rsidRDefault="009E25E1" w:rsidP="003C3A5C">
      <w:pPr>
        <w:pStyle w:val="BodyText"/>
      </w:pPr>
      <w:r w:rsidRPr="00561F54">
        <w:t>The hydrogeology is characterised by a complex series of stacked sedimentary basins</w:t>
      </w:r>
      <w:r w:rsidR="00460C2F">
        <w:t>,</w:t>
      </w:r>
      <w:r>
        <w:t xml:space="preserve"> which include the Beetaloo Sub-basin; the Georgina, Wiso, </w:t>
      </w:r>
      <w:r w:rsidR="001C402E">
        <w:t>and</w:t>
      </w:r>
      <w:r>
        <w:t xml:space="preserve"> Daly </w:t>
      </w:r>
      <w:r w:rsidR="00DD6F9C">
        <w:t>b</w:t>
      </w:r>
      <w:r w:rsidR="001C402E">
        <w:t>asins;</w:t>
      </w:r>
      <w:r>
        <w:t xml:space="preserve"> and </w:t>
      </w:r>
      <w:r w:rsidR="001C402E">
        <w:t>the</w:t>
      </w:r>
      <w:r>
        <w:t xml:space="preserve"> Carpentaria Basin. Within these basins, </w:t>
      </w:r>
      <w:r w:rsidRPr="00561F54">
        <w:t xml:space="preserve">four </w:t>
      </w:r>
      <w:r>
        <w:t xml:space="preserve">primary </w:t>
      </w:r>
      <w:r w:rsidRPr="00561F54">
        <w:t xml:space="preserve">groundwater and aquitard sub-systems have been identified. </w:t>
      </w:r>
    </w:p>
    <w:p w14:paraId="7929BE43" w14:textId="1F7D840C" w:rsidR="0065690B" w:rsidRPr="00546A3D" w:rsidRDefault="50BA1442" w:rsidP="00C761B1">
      <w:pPr>
        <w:pStyle w:val="ListNumber"/>
        <w:numPr>
          <w:ilvl w:val="0"/>
          <w:numId w:val="18"/>
        </w:numPr>
      </w:pPr>
      <w:r w:rsidRPr="50BA1442">
        <w:rPr>
          <w:rStyle w:val="Bold"/>
        </w:rPr>
        <w:t>Mesoproterozoic Roper Group</w:t>
      </w:r>
      <w:r>
        <w:t>. This group is host to the primary unconventional hydrocarbon plays of the Velkerri and Kyalla formations. Sandstones and mudstones of the Roper Group are thought to predominantly have low permeability,</w:t>
      </w:r>
      <w:r w:rsidR="00B8219F">
        <w:t xml:space="preserve"> which is</w:t>
      </w:r>
      <w:r>
        <w:t xml:space="preserve"> typical of aquitards. Exceptions may be parts of the Moroak and Bessie Creek sandstone</w:t>
      </w:r>
      <w:r w:rsidR="00B8219F">
        <w:t>s</w:t>
      </w:r>
      <w:r>
        <w:t>, which in places could be locally fractured rock aquifers. Collectively, these Mesoproterozoic sandstones are not seen as effective groundwater systems. However, there are areas o</w:t>
      </w:r>
      <w:r w:rsidR="0051610C">
        <w:t>f</w:t>
      </w:r>
      <w:r>
        <w:t xml:space="preserve"> higher permeability and porosity associated with regional structures that contain pressured groundwater systems. The Derim Derim Dolerite, where present, is likely to act as an aquitard in the sequence. </w:t>
      </w:r>
    </w:p>
    <w:p w14:paraId="259D990C" w14:textId="3670FA4B" w:rsidR="003D4AEE" w:rsidRPr="00FC2FFA" w:rsidRDefault="50BA1442" w:rsidP="00546A3D">
      <w:pPr>
        <w:pStyle w:val="ListNumber"/>
      </w:pPr>
      <w:r w:rsidRPr="50BA1442">
        <w:rPr>
          <w:rStyle w:val="Bold"/>
        </w:rPr>
        <w:t>Neoproterozoic units.</w:t>
      </w:r>
      <w:r>
        <w:t xml:space="preserve"> Overlying the Roper Group is the regionally extensive Jamison sandstone aquifer. The sandstone is considered prospective as a potential water supply for future drilling operations. The overlying Hayfield mudstone is a regional aquitard and is present across </w:t>
      </w:r>
      <w:r w:rsidR="00B8219F">
        <w:t>most</w:t>
      </w:r>
      <w:r>
        <w:t xml:space="preserve"> of the Beetaloo GBA region except in small regions in the extreme north and south of the region. The Bukalara Sandstone, also considered an aquifer, is used as a groundwater resource outside the Beetaloo GBA region. However, little is known about it within the region.</w:t>
      </w:r>
    </w:p>
    <w:p w14:paraId="264485F0" w14:textId="1C42214E" w:rsidR="009372F1" w:rsidRDefault="13ECA1A1" w:rsidP="00546A3D">
      <w:pPr>
        <w:pStyle w:val="ListNumber"/>
      </w:pPr>
      <w:r w:rsidRPr="0025305D">
        <w:rPr>
          <w:rStyle w:val="Bold"/>
        </w:rPr>
        <w:t>Cambrian Limestone Aquifer (CLA) and Antrim Plateau Volcanics</w:t>
      </w:r>
      <w:r>
        <w:t xml:space="preserve">. The CLA is the most extensive and well-characterised aquifer system in the Beetaloo GBA region. It provides a significant, good quality, groundwater resource for the pastoral industry and communities within the region. At least two major groundwater flow systems are recognised in the CLA in the Beetaloo GBA region: </w:t>
      </w:r>
      <w:r w:rsidR="00B8219F">
        <w:t xml:space="preserve">(i) </w:t>
      </w:r>
      <w:r>
        <w:t xml:space="preserve">from the Georgina Basin into the Daly Basin and </w:t>
      </w:r>
      <w:r w:rsidR="00B8219F">
        <w:t xml:space="preserve">(ii) </w:t>
      </w:r>
      <w:r>
        <w:t xml:space="preserve">from the Wiso Basin into the Daly Basin. The inferred regional groundwater flow direction from potentiometric contours is generally </w:t>
      </w:r>
      <w:r w:rsidR="0051610C">
        <w:t xml:space="preserve">to the </w:t>
      </w:r>
      <w:r>
        <w:t xml:space="preserve">north-west. However, there are possible significant deviations to this trend, at least at a local scale, as a result of structure and discrete karst systems. </w:t>
      </w:r>
    </w:p>
    <w:p w14:paraId="1DF26079" w14:textId="7683A079" w:rsidR="009372F1" w:rsidRPr="00AC418C" w:rsidRDefault="009372F1" w:rsidP="009372F1">
      <w:pPr>
        <w:pStyle w:val="BodyText"/>
        <w:ind w:left="624"/>
        <w:rPr>
          <w:rFonts w:asciiTheme="minorHAnsi" w:eastAsia="Times" w:hAnsiTheme="minorHAnsi" w:cs="Arial"/>
          <w:color w:val="auto"/>
          <w:szCs w:val="20"/>
        </w:rPr>
      </w:pPr>
      <w:r w:rsidRPr="00AC418C">
        <w:rPr>
          <w:rFonts w:asciiTheme="minorHAnsi" w:eastAsia="Times" w:hAnsiTheme="minorHAnsi" w:cs="Arial"/>
          <w:color w:val="auto"/>
          <w:szCs w:val="20"/>
        </w:rPr>
        <w:t xml:space="preserve">Within the CLA, there is a lower (Gum Ridge Formation and equivalents) and upper (Anthony Lagoon Formation and equivalents) aquifer system, and each lies within the coeval limestone units of the adjoining Georgina, Wiso and Daly basins that merge under the Dunmarra region. Connectivity between the upper and lower parts of the CLA is variable regionally and not well understood. Although groundwater pressures are similar, they sometimes vary. Connectivity between lower and upper aquifers appears to be variably limited and </w:t>
      </w:r>
      <w:r w:rsidR="00B8219F">
        <w:rPr>
          <w:rFonts w:asciiTheme="minorHAnsi" w:eastAsia="Times" w:hAnsiTheme="minorHAnsi" w:cs="Arial"/>
          <w:color w:val="auto"/>
          <w:szCs w:val="20"/>
        </w:rPr>
        <w:t>may require</w:t>
      </w:r>
      <w:r w:rsidRPr="00AC418C">
        <w:rPr>
          <w:rFonts w:asciiTheme="minorHAnsi" w:eastAsia="Times" w:hAnsiTheme="minorHAnsi" w:cs="Arial"/>
          <w:color w:val="auto"/>
          <w:szCs w:val="20"/>
        </w:rPr>
        <w:t xml:space="preserve"> longer time intervals for equilibration in places.</w:t>
      </w:r>
    </w:p>
    <w:p w14:paraId="67CFC116" w14:textId="56093AA1" w:rsidR="00697FB0" w:rsidRDefault="13ECA1A1" w:rsidP="00697FB0">
      <w:pPr>
        <w:pStyle w:val="BodyText"/>
        <w:ind w:left="624"/>
      </w:pPr>
      <w:r w:rsidRPr="00AC418C">
        <w:t>Underlying the CLA is the Cambrian Antrim Plateau Volcanics. These volcanics provide a widespread regional aquitard, but where fractured, can act as a local</w:t>
      </w:r>
      <w:r w:rsidR="00B8219F">
        <w:t>-</w:t>
      </w:r>
      <w:r w:rsidRPr="00AC418C">
        <w:t>scale fractured rock aquifer. A north-west to south-east oriented broad zone of lineaments across the north-</w:t>
      </w:r>
      <w:r>
        <w:t>western part of region suggest</w:t>
      </w:r>
      <w:r w:rsidR="00B8219F">
        <w:t>s</w:t>
      </w:r>
      <w:r>
        <w:t xml:space="preserve"> either some structural disruption or some other feature such as palaeo-topography. This aquitard broadly covers the Beetaloo </w:t>
      </w:r>
      <w:r w:rsidR="00B8219F">
        <w:t>Sub-basin</w:t>
      </w:r>
      <w:r>
        <w:t xml:space="preserve"> but is incomplete, leaving several windows for direct contact of overlying aquifers with the underlying Neoproterozoic units.</w:t>
      </w:r>
    </w:p>
    <w:p w14:paraId="30E4A7EB" w14:textId="20DF42CA" w:rsidR="00697FB0" w:rsidRPr="00FC2FFA" w:rsidRDefault="00EA42DF" w:rsidP="00546A3D">
      <w:pPr>
        <w:pStyle w:val="ListNumber"/>
      </w:pPr>
      <w:r w:rsidRPr="00453132">
        <w:rPr>
          <w:rStyle w:val="Bold"/>
        </w:rPr>
        <w:t>C</w:t>
      </w:r>
      <w:r w:rsidR="000C241C" w:rsidRPr="00453132">
        <w:rPr>
          <w:rStyle w:val="Bold"/>
        </w:rPr>
        <w:t>arpentaria Basin</w:t>
      </w:r>
      <w:r w:rsidRPr="00453132">
        <w:rPr>
          <w:rStyle w:val="Bold"/>
        </w:rPr>
        <w:t xml:space="preserve"> </w:t>
      </w:r>
      <w:r w:rsidR="007F2811" w:rsidRPr="00453132">
        <w:rPr>
          <w:rStyle w:val="Bold"/>
        </w:rPr>
        <w:t>and Cenozoic sediments.</w:t>
      </w:r>
      <w:r w:rsidR="007F2811">
        <w:t xml:space="preserve"> </w:t>
      </w:r>
      <w:r w:rsidR="00697FB0">
        <w:t>Over</w:t>
      </w:r>
      <w:r>
        <w:t xml:space="preserve"> the eastern </w:t>
      </w:r>
      <w:r w:rsidR="00697FB0">
        <w:t xml:space="preserve">Beetaloo </w:t>
      </w:r>
      <w:r w:rsidR="00B8219F">
        <w:t>GBA region</w:t>
      </w:r>
      <w:r>
        <w:t xml:space="preserve"> </w:t>
      </w:r>
      <w:r w:rsidR="00697FB0">
        <w:t xml:space="preserve">the Carpentaria Basin </w:t>
      </w:r>
      <w:r>
        <w:t xml:space="preserve">is </w:t>
      </w:r>
      <w:r w:rsidR="00697FB0">
        <w:t>relatively thick and</w:t>
      </w:r>
      <w:r>
        <w:t xml:space="preserve"> predominantly unsaturated</w:t>
      </w:r>
      <w:r w:rsidR="0025305D">
        <w:t>.</w:t>
      </w:r>
      <w:r>
        <w:t xml:space="preserve"> </w:t>
      </w:r>
      <w:r w:rsidR="00697FB0">
        <w:t xml:space="preserve">Only </w:t>
      </w:r>
      <w:r w:rsidR="00683251">
        <w:t xml:space="preserve">in </w:t>
      </w:r>
      <w:r w:rsidR="00697FB0">
        <w:t xml:space="preserve">its deepest parts does a small area occur where </w:t>
      </w:r>
      <w:r>
        <w:t>sandstone</w:t>
      </w:r>
      <w:r w:rsidR="00697FB0">
        <w:t>s at the base of the Carpentaria Basin are saturated and</w:t>
      </w:r>
      <w:r>
        <w:t xml:space="preserve"> hydraulically connected to the underlying CLA.</w:t>
      </w:r>
      <w:r w:rsidR="00697FB0" w:rsidRPr="00697FB0">
        <w:t xml:space="preserve"> </w:t>
      </w:r>
      <w:r w:rsidR="00697FB0" w:rsidRPr="0058683F">
        <w:t>In contrast, in the western Beetaloo G</w:t>
      </w:r>
      <w:r w:rsidR="00697FB0">
        <w:t>BA</w:t>
      </w:r>
      <w:r w:rsidR="00697FB0" w:rsidRPr="0058683F">
        <w:t xml:space="preserve"> region the Cretaceous sequence is much thinner, and the basal sandstone is predominantly exposed, </w:t>
      </w:r>
      <w:r w:rsidR="00697FB0">
        <w:t>which increases the likelihood of</w:t>
      </w:r>
      <w:r w:rsidR="00697FB0" w:rsidRPr="0058683F">
        <w:t xml:space="preserve"> recharge into sinkholes</w:t>
      </w:r>
      <w:r w:rsidR="00697FB0">
        <w:t xml:space="preserve"> of </w:t>
      </w:r>
      <w:r w:rsidR="00697FB0" w:rsidRPr="0058683F">
        <w:t>the CLA. As a result, the western Beetaloo G</w:t>
      </w:r>
      <w:r w:rsidR="00697FB0">
        <w:t>BA</w:t>
      </w:r>
      <w:r w:rsidR="00697FB0" w:rsidRPr="0058683F">
        <w:t xml:space="preserve"> region experiences much higher recharge rates compared to the eastern Beetaloo G</w:t>
      </w:r>
      <w:r w:rsidR="00697FB0">
        <w:t>BA</w:t>
      </w:r>
      <w:r w:rsidR="00697FB0" w:rsidRPr="0058683F">
        <w:t xml:space="preserve"> region. In overlying surficial Cenozoic units and regolith, a small number of bores within the eastern Beetaloo GAB region intercept saturated units</w:t>
      </w:r>
      <w:r w:rsidR="00697FB0">
        <w:t>,</w:t>
      </w:r>
      <w:r w:rsidR="00697FB0" w:rsidRPr="0058683F">
        <w:t xml:space="preserve"> indicating the presence of perched aquifers. However, beyond these specific sites the distribution and prevalence of such aquifers is unknown.</w:t>
      </w:r>
    </w:p>
    <w:p w14:paraId="4D996C3D" w14:textId="272A85ED" w:rsidR="00A90C89" w:rsidRDefault="00D76253" w:rsidP="00876140">
      <w:pPr>
        <w:pStyle w:val="BodyText"/>
      </w:pPr>
      <w:r>
        <w:fldChar w:fldCharType="begin"/>
      </w:r>
      <w:r>
        <w:instrText xml:space="preserve"> REF _Ref3897942 \h </w:instrText>
      </w:r>
      <w:r>
        <w:fldChar w:fldCharType="separate"/>
      </w:r>
      <w:r w:rsidR="00B177F5">
        <w:t xml:space="preserve">Figure </w:t>
      </w:r>
      <w:r w:rsidR="00B177F5">
        <w:rPr>
          <w:noProof/>
        </w:rPr>
        <w:t>3</w:t>
      </w:r>
      <w:r>
        <w:fldChar w:fldCharType="end"/>
      </w:r>
      <w:r w:rsidR="00D978A8">
        <w:t xml:space="preserve"> presents </w:t>
      </w:r>
      <w:r w:rsidR="00AB11CB">
        <w:t>these aquifer systems and illustrates the most significant flowpaths</w:t>
      </w:r>
      <w:r w:rsidR="000F039B">
        <w:t xml:space="preserve"> between the systems. </w:t>
      </w:r>
      <w:r w:rsidR="0005071F">
        <w:t xml:space="preserve">Further details, including the hydrostratigraphic framework, hydrodynamics, </w:t>
      </w:r>
      <w:r w:rsidR="002E6955">
        <w:t>and hydrochemistry</w:t>
      </w:r>
      <w:r w:rsidR="0005071F">
        <w:t xml:space="preserve"> and surface water</w:t>
      </w:r>
      <w:r w:rsidR="00B8219F">
        <w:t xml:space="preserve"> </w:t>
      </w:r>
      <w:r w:rsidR="00B8219F">
        <w:rPr>
          <w:rFonts w:cs="Calibri"/>
        </w:rPr>
        <w:t>–</w:t>
      </w:r>
      <w:r w:rsidR="00B8219F">
        <w:t xml:space="preserve"> </w:t>
      </w:r>
      <w:r w:rsidR="0005071F">
        <w:t xml:space="preserve">groundwater interactions are provided in the </w:t>
      </w:r>
      <w:r w:rsidR="000676FC">
        <w:t xml:space="preserve">following </w:t>
      </w:r>
      <w:r w:rsidR="0005071F">
        <w:t xml:space="preserve">subsections. </w:t>
      </w:r>
    </w:p>
    <w:p w14:paraId="7B56E048" w14:textId="6F5D4824" w:rsidR="007F0F22" w:rsidRPr="00DA63C1" w:rsidRDefault="00FF4D38" w:rsidP="00FF4D38">
      <w:pPr>
        <w:pStyle w:val="Figures"/>
      </w:pPr>
      <w:r>
        <w:rPr>
          <w:noProof/>
        </w:rPr>
        <w:drawing>
          <wp:inline distT="0" distB="0" distL="0" distR="0" wp14:anchorId="1A054EE4" wp14:editId="59FAAAD9">
            <wp:extent cx="5504400" cy="7700400"/>
            <wp:effectExtent l="0" t="0" r="1270" b="0"/>
            <wp:docPr id="1077938627" name="Picture 2" descr="C:\Users\u60793\Documents\Beetaloo\Figures\PnP_figures\PP-279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56">
                      <a:extLst>
                        <a:ext uri="{28A0092B-C50C-407E-A947-70E740481C1C}">
                          <a14:useLocalDpi xmlns:a14="http://schemas.microsoft.com/office/drawing/2010/main" val="0"/>
                        </a:ext>
                      </a:extLst>
                    </a:blip>
                    <a:stretch>
                      <a:fillRect/>
                    </a:stretch>
                  </pic:blipFill>
                  <pic:spPr>
                    <a:xfrm>
                      <a:off x="0" y="0"/>
                      <a:ext cx="5504400" cy="7700400"/>
                    </a:xfrm>
                    <a:prstGeom prst="rect">
                      <a:avLst/>
                    </a:prstGeom>
                  </pic:spPr>
                </pic:pic>
              </a:graphicData>
            </a:graphic>
          </wp:inline>
        </w:drawing>
      </w:r>
    </w:p>
    <w:p w14:paraId="3D2C3FC8" w14:textId="63906A7C" w:rsidR="00D76253" w:rsidRDefault="007F0F22" w:rsidP="00D76253">
      <w:pPr>
        <w:pStyle w:val="Caption"/>
      </w:pPr>
      <w:bookmarkStart w:id="223" w:name="_Ref3897942"/>
      <w:bookmarkStart w:id="224" w:name="_Toc4072431"/>
      <w:bookmarkStart w:id="225" w:name="_Toc4670943"/>
      <w:bookmarkStart w:id="226" w:name="_Toc4754363"/>
      <w:bookmarkStart w:id="227" w:name="_Toc5020748"/>
      <w:bookmarkStart w:id="228" w:name="_Toc5021555"/>
      <w:bookmarkStart w:id="229" w:name="_Toc5097081"/>
      <w:bookmarkStart w:id="230" w:name="_Toc5108473"/>
      <w:bookmarkStart w:id="231" w:name="_Toc5284137"/>
      <w:bookmarkStart w:id="232" w:name="_Toc5635351"/>
      <w:bookmarkStart w:id="233" w:name="_Toc5808310"/>
      <w:bookmarkStart w:id="234" w:name="_Toc5894913"/>
      <w:bookmarkStart w:id="235" w:name="_Toc5895002"/>
      <w:bookmarkStart w:id="236" w:name="_Toc6308891"/>
      <w:bookmarkStart w:id="237" w:name="_Toc6327556"/>
      <w:bookmarkStart w:id="238" w:name="_Toc38990457"/>
      <w:bookmarkStart w:id="239" w:name="_Hlk35260828"/>
      <w:r>
        <w:t xml:space="preserve">Figure </w:t>
      </w:r>
      <w:r w:rsidR="0079748A" w:rsidRPr="50B193BD">
        <w:fldChar w:fldCharType="begin"/>
      </w:r>
      <w:r w:rsidR="0079748A">
        <w:rPr>
          <w:noProof/>
        </w:rPr>
        <w:instrText xml:space="preserve"> SEQ Figure \* ARABIC </w:instrText>
      </w:r>
      <w:r w:rsidR="0079748A" w:rsidRPr="50B193BD">
        <w:rPr>
          <w:noProof/>
        </w:rPr>
        <w:fldChar w:fldCharType="separate"/>
      </w:r>
      <w:r w:rsidR="00B177F5">
        <w:rPr>
          <w:noProof/>
        </w:rPr>
        <w:t>3</w:t>
      </w:r>
      <w:r w:rsidR="0079748A" w:rsidRPr="50B193BD">
        <w:fldChar w:fldCharType="end"/>
      </w:r>
      <w:bookmarkEnd w:id="223"/>
      <w:r>
        <w:t xml:space="preserve"> Conceptual model of groundwater </w:t>
      </w:r>
      <w:r w:rsidR="00DD3DE2">
        <w:t xml:space="preserve">systems </w:t>
      </w:r>
      <w:r>
        <w:t>in the Beetaloo GBA region</w:t>
      </w:r>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p>
    <w:p w14:paraId="76AFD5DD" w14:textId="2B533B6C" w:rsidR="00726D17" w:rsidRDefault="13ECA1A1" w:rsidP="003E1F1E">
      <w:pPr>
        <w:pStyle w:val="SourceornoteforTableorFigure"/>
        <w:contextualSpacing/>
        <w:rPr>
          <w:rFonts w:cs="Calibri"/>
        </w:rPr>
      </w:pPr>
      <w:r>
        <w:t>This conceptual diagram (not to scale) depicts the hydrostratigraphy across the Beetaloo GBA region</w:t>
      </w:r>
      <w:r w:rsidR="00284DD4">
        <w:t>. T</w:t>
      </w:r>
      <w:r>
        <w:t xml:space="preserve">he Mesoproterozoic Roper Group hosts two prospective formations for tight gas, shale gas </w:t>
      </w:r>
      <w:r w:rsidR="00D700A3">
        <w:t>(Velkerri and Kyalla formations)</w:t>
      </w:r>
      <w:r w:rsidR="00284DD4">
        <w:t>, which are separated by the Moroak Sandstone</w:t>
      </w:r>
      <w:r w:rsidR="00EF171F">
        <w:t xml:space="preserve">, which is also </w:t>
      </w:r>
      <w:r w:rsidR="002E6955">
        <w:t>prospective. Overlying</w:t>
      </w:r>
      <w:r w:rsidR="00284DD4">
        <w:t xml:space="preserve"> the Roper Group are</w:t>
      </w:r>
      <w:r>
        <w:t xml:space="preserve"> </w:t>
      </w:r>
      <w:r w:rsidR="00D03BBA">
        <w:t xml:space="preserve">the </w:t>
      </w:r>
      <w:r w:rsidR="002E6955">
        <w:t>Neoproterozoic</w:t>
      </w:r>
      <w:r w:rsidR="00284DD4">
        <w:t xml:space="preserve"> s</w:t>
      </w:r>
      <w:r w:rsidR="00D03BBA">
        <w:t xml:space="preserve">equences, of which the Hayfield </w:t>
      </w:r>
      <w:r w:rsidR="002E1294">
        <w:t>m</w:t>
      </w:r>
      <w:r w:rsidR="00D03BBA">
        <w:t>udstone acts as a regional seal (aquitard) for underlying sequences. At shallower levels, another regional aquitard, the</w:t>
      </w:r>
      <w:r>
        <w:t xml:space="preserve"> Antrim Plateau Volcanics</w:t>
      </w:r>
      <w:r w:rsidR="00D03BBA">
        <w:t xml:space="preserve">, for the most </w:t>
      </w:r>
      <w:r w:rsidR="003123B1">
        <w:t xml:space="preserve">part, </w:t>
      </w:r>
      <w:r w:rsidR="002E6955">
        <w:t>separates underlying</w:t>
      </w:r>
      <w:r w:rsidR="00D03BBA">
        <w:t xml:space="preserve"> sequences from the </w:t>
      </w:r>
      <w:r>
        <w:t>Cambrian Limestone Aquifer</w:t>
      </w:r>
      <w:r w:rsidR="00D03BBA">
        <w:t>. This in turn is overlaid and in places</w:t>
      </w:r>
      <w:r>
        <w:t xml:space="preserve"> confin</w:t>
      </w:r>
      <w:r w:rsidR="00D03BBA">
        <w:t>ed</w:t>
      </w:r>
      <w:r>
        <w:t xml:space="preserve"> </w:t>
      </w:r>
      <w:r w:rsidR="00D03BBA">
        <w:t xml:space="preserve">the </w:t>
      </w:r>
      <w:r>
        <w:t xml:space="preserve">Cretaceous sequence. </w:t>
      </w:r>
      <w:bookmarkEnd w:id="239"/>
      <w:r w:rsidR="00207A3E">
        <w:br/>
      </w:r>
      <w:r>
        <w:t xml:space="preserve">Element: </w:t>
      </w:r>
      <w:bookmarkStart w:id="240" w:name="_Toc4072464"/>
      <w:bookmarkStart w:id="241" w:name="_Toc5020794"/>
      <w:bookmarkStart w:id="242" w:name="_Toc5021601"/>
      <w:r w:rsidR="00207A3E" w:rsidRPr="00B44463">
        <w:t>GBA-BEE-2-325</w:t>
      </w:r>
    </w:p>
    <w:p w14:paraId="1D3CC879" w14:textId="434C7343" w:rsidR="00827E8A" w:rsidRPr="000B6198" w:rsidRDefault="00827E8A" w:rsidP="00726D17">
      <w:pPr>
        <w:pStyle w:val="Heading3"/>
      </w:pPr>
      <w:bookmarkStart w:id="243" w:name="_Toc5808362"/>
      <w:bookmarkStart w:id="244" w:name="_Toc5895055"/>
      <w:bookmarkStart w:id="245" w:name="_Toc6308943"/>
      <w:bookmarkStart w:id="246" w:name="_Toc6327607"/>
      <w:bookmarkStart w:id="247" w:name="_Ref14704635"/>
      <w:bookmarkStart w:id="248" w:name="_Ref33450674"/>
      <w:bookmarkStart w:id="249" w:name="_Ref33451494"/>
      <w:bookmarkStart w:id="250" w:name="_Ref33452193"/>
      <w:bookmarkStart w:id="251" w:name="_Toc38990442"/>
      <w:r>
        <w:t>Hydrostratigraphic framework</w:t>
      </w:r>
      <w:bookmarkEnd w:id="240"/>
      <w:bookmarkEnd w:id="241"/>
      <w:bookmarkEnd w:id="242"/>
      <w:bookmarkEnd w:id="243"/>
      <w:bookmarkEnd w:id="244"/>
      <w:bookmarkEnd w:id="245"/>
      <w:bookmarkEnd w:id="246"/>
      <w:bookmarkEnd w:id="247"/>
      <w:bookmarkEnd w:id="248"/>
      <w:bookmarkEnd w:id="249"/>
      <w:bookmarkEnd w:id="250"/>
      <w:bookmarkEnd w:id="251"/>
    </w:p>
    <w:p w14:paraId="68A1FACD" w14:textId="7A73E75D" w:rsidR="004A3948" w:rsidRDefault="00925F9F" w:rsidP="00827E8A">
      <w:pPr>
        <w:pStyle w:val="BodyText"/>
      </w:pPr>
      <w:r>
        <w:t>For this report, t</w:t>
      </w:r>
      <w:r w:rsidR="004A3948">
        <w:t>he base of hydrostratigraph</w:t>
      </w:r>
      <w:r>
        <w:t xml:space="preserve">y </w:t>
      </w:r>
      <w:r w:rsidR="004A3948">
        <w:t xml:space="preserve">equates to the base of Roper Group. </w:t>
      </w:r>
      <w:r w:rsidR="004A3948" w:rsidRPr="004A3948">
        <w:t xml:space="preserve">Outcrop of </w:t>
      </w:r>
      <w:r w:rsidR="007D6223">
        <w:t>Roper Group</w:t>
      </w:r>
      <w:r w:rsidR="004A3948" w:rsidRPr="004A3948">
        <w:t xml:space="preserve"> an</w:t>
      </w:r>
      <w:r w:rsidR="00FC18D4">
        <w:t>d other Proterozoic rocks occur</w:t>
      </w:r>
      <w:r w:rsidR="004A3948" w:rsidRPr="004A3948">
        <w:t xml:space="preserve"> to the north and north-east of the Beetaloo GBA region. Within the Beetaloo GBA region, the </w:t>
      </w:r>
      <w:r w:rsidR="007D6223">
        <w:t>Roper Group</w:t>
      </w:r>
      <w:r w:rsidR="004A3948" w:rsidRPr="004A3948">
        <w:t xml:space="preserve"> and other Proterozoic rocks are completely </w:t>
      </w:r>
      <w:r>
        <w:t xml:space="preserve">buried </w:t>
      </w:r>
      <w:r w:rsidR="004A3948" w:rsidRPr="004A3948">
        <w:t xml:space="preserve">by younger </w:t>
      </w:r>
      <w:r w:rsidR="004A3948">
        <w:t>geological</w:t>
      </w:r>
      <w:r w:rsidR="004A3948" w:rsidRPr="004A3948">
        <w:t xml:space="preserve"> </w:t>
      </w:r>
      <w:r w:rsidR="00FC18D4">
        <w:t xml:space="preserve">sequences </w:t>
      </w:r>
      <w:r w:rsidR="00F05864">
        <w:t xml:space="preserve">outlined in </w:t>
      </w:r>
      <w:r>
        <w:fldChar w:fldCharType="begin"/>
      </w:r>
      <w:r>
        <w:instrText xml:space="preserve"> REF _Ref3897942 \h </w:instrText>
      </w:r>
      <w:r>
        <w:fldChar w:fldCharType="separate"/>
      </w:r>
      <w:r w:rsidR="00B177F5">
        <w:t xml:space="preserve">Figure </w:t>
      </w:r>
      <w:r w:rsidR="00B177F5">
        <w:rPr>
          <w:noProof/>
        </w:rPr>
        <w:t>3</w:t>
      </w:r>
      <w:r>
        <w:fldChar w:fldCharType="end"/>
      </w:r>
      <w:r w:rsidR="00F05864">
        <w:t xml:space="preserve"> and </w:t>
      </w:r>
      <w:r w:rsidR="00A541ED">
        <w:fldChar w:fldCharType="begin"/>
      </w:r>
      <w:r w:rsidR="00F76E0D">
        <w:instrText xml:space="preserve"> ADDIN EN.CITE &lt;EndNote&gt;&lt;Cite AuthorYear="1"&gt;&lt;Author&gt;Orr&lt;/Author&gt;&lt;Year&gt;2020&lt;/Year&gt;&lt;RecNum&gt;797&lt;/RecNum&gt;&lt;DisplayText&gt;Orr et al. (2020)&lt;/DisplayText&gt;&lt;record&gt;&lt;rec-number&gt;797&lt;/rec-number&gt;&lt;foreign-keys&gt;&lt;key app="EN" db-id="wdf9tzzdhw2saee559kv0vezt0wfsta0zedv" timestamp="1552607511"&gt;797&lt;/key&gt;&lt;/foreign-keys&gt;&lt;ref-type name="Report"&gt;27&lt;/ref-type&gt;&lt;contributors&gt;&lt;authors&gt;&lt;author&gt;Orr, M.L.,&lt;/author&gt;&lt;author&gt;Bernardel, G.,&lt;/author&gt;&lt;author&gt;Owens, R.,&lt;/author&gt;&lt;author&gt;Hall,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A541ED">
        <w:fldChar w:fldCharType="separate"/>
      </w:r>
      <w:r w:rsidR="006456ED">
        <w:rPr>
          <w:noProof/>
        </w:rPr>
        <w:t>Orr et al. (2020)</w:t>
      </w:r>
      <w:r w:rsidR="00A541ED">
        <w:fldChar w:fldCharType="end"/>
      </w:r>
      <w:r w:rsidR="000E72B9">
        <w:t>.</w:t>
      </w:r>
    </w:p>
    <w:p w14:paraId="5F235C59" w14:textId="77777777" w:rsidR="00132A64" w:rsidRDefault="00132A64" w:rsidP="00827E8A">
      <w:pPr>
        <w:pStyle w:val="BodyText"/>
        <w:sectPr w:rsidR="00132A64" w:rsidSect="00B65F93">
          <w:headerReference w:type="even" r:id="rId57"/>
          <w:headerReference w:type="default" r:id="rId58"/>
          <w:type w:val="continuous"/>
          <w:pgSz w:w="11906" w:h="16838" w:code="9"/>
          <w:pgMar w:top="1247" w:right="1134" w:bottom="1134" w:left="1134" w:header="510" w:footer="624" w:gutter="0"/>
          <w:cols w:space="284"/>
          <w:docGrid w:linePitch="360"/>
        </w:sectPr>
      </w:pPr>
    </w:p>
    <w:p w14:paraId="59D0CF42" w14:textId="44AC73AB" w:rsidR="008B63F9" w:rsidRDefault="00D03BBA" w:rsidP="008B63F9">
      <w:pPr>
        <w:pStyle w:val="Figures"/>
      </w:pPr>
      <w:r>
        <w:rPr>
          <w:noProof/>
        </w:rPr>
        <w:drawing>
          <wp:inline distT="0" distB="0" distL="0" distR="0" wp14:anchorId="616E2177" wp14:editId="780A5BA7">
            <wp:extent cx="7585199" cy="11980802"/>
            <wp:effectExtent l="0" t="0" r="0" b="1905"/>
            <wp:docPr id="904360019" name="Picture 1" descr="T:\proj\ba2\Stage2\3_Beetaloo\MapsAndFigures\Figures\PnP_figures\PP-27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59" cstate="screen">
                      <a:extLst>
                        <a:ext uri="{28A0092B-C50C-407E-A947-70E740481C1C}">
                          <a14:useLocalDpi xmlns:a14="http://schemas.microsoft.com/office/drawing/2010/main" val="0"/>
                        </a:ext>
                      </a:extLst>
                    </a:blip>
                    <a:stretch>
                      <a:fillRect/>
                    </a:stretch>
                  </pic:blipFill>
                  <pic:spPr>
                    <a:xfrm>
                      <a:off x="0" y="0"/>
                      <a:ext cx="7585199" cy="11980802"/>
                    </a:xfrm>
                    <a:prstGeom prst="rect">
                      <a:avLst/>
                    </a:prstGeom>
                  </pic:spPr>
                </pic:pic>
              </a:graphicData>
            </a:graphic>
          </wp:inline>
        </w:drawing>
      </w:r>
    </w:p>
    <w:p w14:paraId="797AF7A4" w14:textId="763BCE8F" w:rsidR="00AE52DF" w:rsidRDefault="00AE52DF" w:rsidP="00827E8A">
      <w:pPr>
        <w:pStyle w:val="Caption"/>
      </w:pPr>
      <w:bookmarkStart w:id="252" w:name="_Ref535407260"/>
      <w:bookmarkStart w:id="253" w:name="_Toc4072432"/>
      <w:bookmarkStart w:id="254" w:name="_Toc4670944"/>
      <w:bookmarkStart w:id="255" w:name="_Toc4754364"/>
      <w:bookmarkStart w:id="256" w:name="_Toc5020749"/>
      <w:bookmarkStart w:id="257" w:name="_Toc5021556"/>
      <w:bookmarkStart w:id="258" w:name="_Toc5097082"/>
      <w:bookmarkStart w:id="259" w:name="_Toc5108474"/>
      <w:bookmarkStart w:id="260" w:name="_Toc5284138"/>
      <w:bookmarkStart w:id="261" w:name="_Toc5635352"/>
      <w:bookmarkStart w:id="262" w:name="_Toc5808311"/>
      <w:bookmarkStart w:id="263" w:name="_Toc5894914"/>
      <w:bookmarkStart w:id="264" w:name="_Toc5895003"/>
      <w:bookmarkStart w:id="265" w:name="_Toc6308892"/>
      <w:bookmarkStart w:id="266" w:name="_Toc6327557"/>
      <w:bookmarkStart w:id="267" w:name="_Toc38990458"/>
      <w:r>
        <w:t xml:space="preserve">Figure </w:t>
      </w:r>
      <w:r>
        <w:rPr>
          <w:noProof/>
        </w:rPr>
        <w:fldChar w:fldCharType="begin"/>
      </w:r>
      <w:r>
        <w:rPr>
          <w:noProof/>
        </w:rPr>
        <w:instrText xml:space="preserve"> SEQ Figure \* ARABIC </w:instrText>
      </w:r>
      <w:r>
        <w:rPr>
          <w:noProof/>
        </w:rPr>
        <w:fldChar w:fldCharType="separate"/>
      </w:r>
      <w:r w:rsidR="00B177F5">
        <w:rPr>
          <w:noProof/>
        </w:rPr>
        <w:t>4</w:t>
      </w:r>
      <w:r>
        <w:rPr>
          <w:noProof/>
        </w:rPr>
        <w:fldChar w:fldCharType="end"/>
      </w:r>
      <w:bookmarkEnd w:id="252"/>
      <w:r>
        <w:t xml:space="preserve"> Hydrostratigraphic column for the Beetaloo </w:t>
      </w:r>
      <w:bookmarkEnd w:id="253"/>
      <w:bookmarkEnd w:id="254"/>
      <w:bookmarkEnd w:id="255"/>
      <w:bookmarkEnd w:id="256"/>
      <w:bookmarkEnd w:id="257"/>
      <w:bookmarkEnd w:id="258"/>
      <w:bookmarkEnd w:id="259"/>
      <w:bookmarkEnd w:id="260"/>
      <w:bookmarkEnd w:id="261"/>
      <w:bookmarkEnd w:id="262"/>
      <w:bookmarkEnd w:id="263"/>
      <w:bookmarkEnd w:id="264"/>
      <w:r w:rsidR="00AD1A11">
        <w:t>GBA region</w:t>
      </w:r>
      <w:bookmarkEnd w:id="265"/>
      <w:bookmarkEnd w:id="266"/>
      <w:bookmarkEnd w:id="267"/>
    </w:p>
    <w:p w14:paraId="18AD10DA" w14:textId="696F4D18" w:rsidR="00132A64" w:rsidRDefault="00132A64" w:rsidP="00CF40AD">
      <w:pPr>
        <w:pStyle w:val="SourceornoteforTableorFigure"/>
        <w:sectPr w:rsidR="00132A64" w:rsidSect="00132A64">
          <w:headerReference w:type="default" r:id="rId60"/>
          <w:footerReference w:type="default" r:id="rId61"/>
          <w:pgSz w:w="16838" w:h="23811" w:code="8"/>
          <w:pgMar w:top="1247" w:right="1134" w:bottom="1134" w:left="1134" w:header="510" w:footer="624" w:gutter="0"/>
          <w:cols w:space="284"/>
          <w:docGrid w:linePitch="360"/>
        </w:sectPr>
      </w:pPr>
      <w:bookmarkStart w:id="268" w:name="_Hlk25919622"/>
      <w:r>
        <w:t xml:space="preserve">The Cambrian Limestone Aquifer stratigraphy for the three basins is as follows: Georgina Basin - </w:t>
      </w:r>
      <w:r w:rsidRPr="00EA0E81">
        <w:t>Gum Ridge Formation</w:t>
      </w:r>
      <w:r>
        <w:t>,</w:t>
      </w:r>
      <w:r w:rsidRPr="009F110D">
        <w:t xml:space="preserve"> </w:t>
      </w:r>
      <w:r w:rsidRPr="00EA0E81">
        <w:t>Anthony Lagoon For</w:t>
      </w:r>
      <w:r>
        <w:t xml:space="preserve">mation; Daly Basin - </w:t>
      </w:r>
      <w:r w:rsidRPr="00EA0E81">
        <w:t>Tindall Limeston</w:t>
      </w:r>
      <w:r>
        <w:t>e,</w:t>
      </w:r>
      <w:r w:rsidRPr="009F110D">
        <w:t xml:space="preserve"> </w:t>
      </w:r>
      <w:r>
        <w:t>Jinduckin Formation and Oolloo Dolostone; Wiso Basin - Montejinni Limestone,</w:t>
      </w:r>
      <w:r w:rsidRPr="009F110D">
        <w:t xml:space="preserve"> </w:t>
      </w:r>
      <w:r>
        <w:t xml:space="preserve">Hooker Creek Formation and Point Wakefield beds. </w:t>
      </w:r>
      <w:r w:rsidR="00177C42">
        <w:t>‘</w:t>
      </w:r>
      <w:r w:rsidRPr="00EA0E81">
        <w:t>Gum Ri</w:t>
      </w:r>
      <w:r>
        <w:t>dge Formation and equivalents</w:t>
      </w:r>
      <w:r w:rsidR="00177C42">
        <w:t>’</w:t>
      </w:r>
      <w:r>
        <w:t xml:space="preserve"> includes the </w:t>
      </w:r>
      <w:r w:rsidRPr="00EA0E81">
        <w:t>Gum Ridge Formation, Tindall Limeston</w:t>
      </w:r>
      <w:r>
        <w:t xml:space="preserve">e and the Montejinni Limestone. </w:t>
      </w:r>
      <w:r w:rsidR="00177C42">
        <w:t>‘</w:t>
      </w:r>
      <w:r w:rsidRPr="00EA0E81">
        <w:t>Anthony Lag</w:t>
      </w:r>
      <w:r>
        <w:t>oon Formation and equivalents</w:t>
      </w:r>
      <w:r w:rsidR="00177C42">
        <w:t>’</w:t>
      </w:r>
      <w:r>
        <w:t xml:space="preserve"> includes the: </w:t>
      </w:r>
      <w:r w:rsidRPr="00EA0E81">
        <w:t>Anthony Lagoon For</w:t>
      </w:r>
      <w:r>
        <w:t>mation, Jinduckin Formation, Hooker Creek Formation and Point Wakefield beds.</w:t>
      </w:r>
      <w:r w:rsidR="00D8570D">
        <w:t xml:space="preserve"> </w:t>
      </w:r>
      <w:bookmarkEnd w:id="268"/>
      <w:r w:rsidR="00AB578B" w:rsidRPr="00AB578B">
        <w:t>The chart breaks at 1300 to 840 Ma and 480 to 120 Ma are for display purposes.</w:t>
      </w:r>
      <w:r w:rsidR="00AB578B">
        <w:t xml:space="preserve"> </w:t>
      </w:r>
      <w:r w:rsidR="00ED7E9D">
        <w:t xml:space="preserve">This figure has been optimised for printing on A3 paper (420 mm x 297 mm). </w:t>
      </w:r>
      <w:r w:rsidR="00AB578B">
        <w:br/>
      </w:r>
      <w:r w:rsidR="00AB578B" w:rsidRPr="00AB578B">
        <w:t xml:space="preserve">Source: </w:t>
      </w:r>
      <w:r w:rsidR="00AF7750">
        <w:fldChar w:fldCharType="begin"/>
      </w:r>
      <w:r w:rsidR="00F76E0D">
        <w:instrText xml:space="preserve"> ADDIN EN.CITE &lt;EndNote&gt;&lt;Cite AuthorYear="1"&gt;&lt;Author&gt;Munson&lt;/Author&gt;&lt;Year&gt;2016&lt;/Year&gt;&lt;RecNum&gt;687&lt;/RecNum&gt;&lt;DisplayText&gt;Munson (2016)&lt;/DisplayText&gt;&lt;record&gt;&lt;rec-number&gt;687&lt;/rec-number&gt;&lt;foreign-keys&gt;&lt;key app="EN" db-id="wdf9tzzdhw2saee559kv0vezt0wfsta0zedv" timestamp="1545264489"&gt;687&lt;/key&gt;&lt;key app="ENWeb" db-id=""&gt;0&lt;/key&gt;&lt;/foreign-keys&gt;&lt;ref-type name="Report"&gt;27&lt;/ref-type&gt;&lt;contributors&gt;&lt;authors&gt;&lt;author&gt;Munson, T.J.&lt;/author&gt;&lt;/authors&gt;&lt;tertiary-authors&gt;&lt;author&gt;Northern Territory Geological Survey&lt;/author&gt;&lt;/tertiary-authors&gt;&lt;/contributors&gt;&lt;titles&gt;&lt;title&gt;Sedimentary characterisation of the Wilton package, greater McArthur Basin, Northern Territory. NTGS Record 2016-003&lt;/title&gt;&lt;/titles&gt;&lt;number&gt;NTGS Record 2016-003&lt;/number&gt;&lt;keywords&gt;&lt;keyword&gt;McArthur Basin&lt;/keyword&gt;&lt;keyword&gt;Geology&lt;/keyword&gt;&lt;keyword&gt;Geochronology&lt;/keyword&gt;&lt;keyword&gt;Roper Group&lt;/keyword&gt;&lt;keyword&gt;Collara Subgroup&lt;/keyword&gt;&lt;keyword&gt;Maiwok Subgroup&lt;/keyword&gt;&lt;keyword&gt;Renner Group&lt;/keyword&gt;&lt;keyword&gt;Tijunna Group&lt;/keyword&gt;&lt;keyword&gt;Beetaloo Sub-basin&lt;/keyword&gt;&lt;/keywords&gt;&lt;dates&gt;&lt;year&gt;2016&lt;/year&gt;&lt;/dates&gt;&lt;publisher&gt;Northern Territory Geological Survey&lt;/publisher&gt;&lt;isbn&gt;Record 2016-003&lt;/isbn&gt;&lt;urls&gt;&lt;related-urls&gt;&lt;url&gt;&lt;style face="underline" font="default" size="100%"&gt;https://geoscience.nt.gov.au/gemis/ntgsjspui/handle/1/83806&lt;/style&gt;&lt;/url&gt;&lt;/related-urls&gt;&lt;/urls&gt;&lt;access-date&gt;28 November 2019&lt;/access-date&gt;&lt;/record&gt;&lt;/Cite&gt;&lt;/EndNote&gt;</w:instrText>
      </w:r>
      <w:r w:rsidR="00AF7750">
        <w:fldChar w:fldCharType="separate"/>
      </w:r>
      <w:r w:rsidR="00AF7750">
        <w:rPr>
          <w:noProof/>
        </w:rPr>
        <w:t>Munson (2016)</w:t>
      </w:r>
      <w:r w:rsidR="00AF7750">
        <w:fldChar w:fldCharType="end"/>
      </w:r>
      <w:r w:rsidR="00AB578B" w:rsidRPr="00AB578B">
        <w:t xml:space="preserve">, </w:t>
      </w:r>
      <w:r w:rsidR="00AF7750">
        <w:fldChar w:fldCharType="begin"/>
      </w:r>
      <w:r w:rsidR="00F76E0D">
        <w:instrText xml:space="preserve"> ADDIN EN.CITE &lt;EndNote&gt;&lt;Cite AuthorYear="1"&gt;&lt;Author&gt;Rawlings&lt;/Author&gt;&lt;Year&gt;1999&lt;/Year&gt;&lt;RecNum&gt;672&lt;/RecNum&gt;&lt;DisplayText&gt;Rawlings (1999)&lt;/DisplayText&gt;&lt;record&gt;&lt;rec-number&gt;672&lt;/rec-number&gt;&lt;foreign-keys&gt;&lt;key app="EN" db-id="wdf9tzzdhw2saee559kv0vezt0wfsta0zedv" timestamp="1545264415"&gt;672&lt;/key&gt;&lt;key app="ENWeb" db-id=""&gt;0&lt;/key&gt;&lt;/foreign-keys&gt;&lt;ref-type name="Journal Article"&gt;17&lt;/ref-type&gt;&lt;contributors&gt;&lt;authors&gt;&lt;author&gt;Rawlings, D. J.&lt;/author&gt;&lt;/authors&gt;&lt;/contributors&gt;&lt;titles&gt;&lt;title&gt;Stratigraphic resolution of a multiphase intracratonic basin system: The McArthur Basin, northern Australia&lt;/title&gt;&lt;secondary-title&gt;Australian Journal of Earth Sciences&lt;/secondary-title&gt;&lt;/titles&gt;&lt;periodical&gt;&lt;full-title&gt;Australian Journal of Earth Sciences&lt;/full-title&gt;&lt;/periodical&gt;&lt;pages&gt;703-723&lt;/pages&gt;&lt;volume&gt;46&lt;/volume&gt;&lt;number&gt;5&lt;/number&gt;&lt;keywords&gt;&lt;keyword&gt;basin analysis&lt;/keyword&gt;&lt;keyword&gt;geochronology&lt;/keyword&gt;&lt;keyword&gt;lithostratigraphy&lt;/keyword&gt;&lt;keyword&gt;McArthur Basin&lt;/keyword&gt;&lt;keyword&gt;Beetaloo Sub-basin&lt;/keyword&gt;&lt;/keywords&gt;&lt;dates&gt;&lt;year&gt;1999&lt;/year&gt;&lt;pub-dates&gt;&lt;date&gt;1999/10/01&lt;/date&gt;&lt;/pub-dates&gt;&lt;/dates&gt;&lt;publisher&gt;Taylor &amp;amp; Francis&lt;/publisher&gt;&lt;isbn&gt;0812-0099&lt;/isbn&gt;&lt;urls&gt;&lt;related-urls&gt;&lt;url&gt;&lt;style face="underline" font="default" size="100%"&gt;https://doi.org/10.1046/j.1440-0952.1999.00739.x&lt;/style&gt;&lt;/url&gt;&lt;/related-urls&gt;&lt;/urls&gt;&lt;electronic-resource-num&gt;10.1046/j.1440-0952.1999.00739.x&lt;/electronic-resource-num&gt;&lt;/record&gt;&lt;/Cite&gt;&lt;/EndNote&gt;</w:instrText>
      </w:r>
      <w:r w:rsidR="00AF7750">
        <w:fldChar w:fldCharType="separate"/>
      </w:r>
      <w:r w:rsidR="00AF7750">
        <w:rPr>
          <w:noProof/>
        </w:rPr>
        <w:t>Rawlings (1999)</w:t>
      </w:r>
      <w:r w:rsidR="00AF7750">
        <w:fldChar w:fldCharType="end"/>
      </w:r>
      <w:r w:rsidR="00AB578B" w:rsidRPr="00AB578B">
        <w:t xml:space="preserve">, </w:t>
      </w:r>
      <w:r w:rsidR="00CB2D9B">
        <w:fldChar w:fldCharType="begin"/>
      </w:r>
      <w:r w:rsidR="00F76E0D">
        <w:instrText xml:space="preserve"> ADDIN EN.CITE &lt;EndNote&gt;&lt;Cite AuthorYear="1"&gt;&lt;Author&gt;Abbott&lt;/Author&gt;&lt;Year&gt;2001&lt;/Year&gt;&lt;RecNum&gt;655&lt;/RecNum&gt;&lt;DisplayText&gt;Abbott et al. (2001)&lt;/DisplayText&gt;&lt;record&gt;&lt;rec-number&gt;655&lt;/rec-number&gt;&lt;foreign-keys&gt;&lt;key app="EN" db-id="wdf9tzzdhw2saee559kv0vezt0wfsta0zedv" timestamp="1545264350"&gt;655&lt;/key&gt;&lt;key app="ENWeb" db-id=""&gt;0&lt;/key&gt;&lt;/foreign-keys&gt;&lt;ref-type name="Report"&gt;27&lt;/ref-type&gt;&lt;contributors&gt;&lt;authors&gt;&lt;author&gt;Abbott, S.T.&lt;/author&gt;&lt;author&gt;Sweet, I.P.&lt;/author&gt;&lt;author&gt;Plumb, K.A.&lt;/author&gt;&lt;author&gt;Young, D.N.&lt;/author&gt;&lt;author&gt;Cutovinos, A.&lt;/author&gt;&lt;author&gt;Ferenczi, P.A.&lt;/author&gt;&lt;author&gt;Brakel, A.T.&lt;/author&gt;&lt;author&gt;Pietsch, B.A.&lt;/author&gt;&lt;/authors&gt;&lt;tertiary-authors&gt;&lt;author&gt;Northern Territory Geological Survey&lt;/author&gt;&lt;author&gt;Geoscience Australia&lt;/author&gt;&lt;author&gt;National Geoscience Mapping Accord (Australia)&lt;/author&gt;&lt;/tertiary-authors&gt;&lt;/contributors&gt;&lt;titles&gt;&lt;title&gt;Roper Region – Urapunga and Roper River Special, Northern Territory (Second Edition) combined explanatory notes. SD 53-10, 11&lt;/title&gt;&lt;secondary-title&gt;1:250 000 geological map series and explanatory notes&lt;/secondary-title&gt;&lt;/titles&gt;&lt;edition&gt;2nd&lt;/edition&gt;&lt;keywords&gt;&lt;keyword&gt;Beetaloo Sub-basin&lt;/keyword&gt;&lt;/keywords&gt;&lt;dates&gt;&lt;year&gt;2001&lt;/year&gt;&lt;/dates&gt;&lt;pub-location&gt;Darwin&lt;/pub-location&gt;&lt;publisher&gt;Northern Territory Geological Survey and Geoscience Australia (National Geoscience Mapping Accord)&lt;/publisher&gt;&lt;work-type&gt;Explanatory Notes to Geological Map&lt;/work-type&gt;&lt;urls&gt;&lt;related-urls&gt;&lt;url&gt;&lt;style face="underline" font="default" size="100%"&gt;https://geoscience.nt.gov.au/gemis/ntgsjspui/handle/1/81859&lt;/style&gt;&lt;/url&gt;&lt;/related-urls&gt;&lt;/urls&gt;&lt;access-date&gt;29 November 2019&lt;/access-date&gt;&lt;/record&gt;&lt;/Cite&gt;&lt;/EndNote&gt;</w:instrText>
      </w:r>
      <w:r w:rsidR="00CB2D9B">
        <w:fldChar w:fldCharType="separate"/>
      </w:r>
      <w:r w:rsidR="00CB2D9B">
        <w:rPr>
          <w:noProof/>
        </w:rPr>
        <w:t>Abbott et al. (2001)</w:t>
      </w:r>
      <w:r w:rsidR="00CB2D9B">
        <w:fldChar w:fldCharType="end"/>
      </w:r>
      <w:r w:rsidR="00AB578B" w:rsidRPr="00AB578B">
        <w:t xml:space="preserve">, </w:t>
      </w:r>
      <w:r w:rsidR="00CB2D9B">
        <w:fldChar w:fldCharType="begin"/>
      </w:r>
      <w:r w:rsidR="00F76E0D">
        <w:instrText xml:space="preserve"> ADDIN EN.CITE &lt;EndNote&gt;&lt;Cite AuthorYear="1"&gt;&lt;Author&gt;Munson&lt;/Author&gt;&lt;Year&gt;2018&lt;/Year&gt;&lt;RecNum&gt;947&lt;/RecNum&gt;&lt;DisplayText&gt;Munson and Revie (2018)&lt;/DisplayText&gt;&lt;record&gt;&lt;rec-number&gt;947&lt;/rec-number&gt;&lt;foreign-keys&gt;&lt;key app="EN" db-id="wdf9tzzdhw2saee559kv0vezt0wfsta0zedv" timestamp="1556253936"&gt;947&lt;/key&gt;&lt;key app="ENWeb" db-id=""&gt;0&lt;/key&gt;&lt;/foreign-keys&gt;&lt;ref-type name="Report"&gt;27&lt;/ref-type&gt;&lt;contributors&gt;&lt;authors&gt;&lt;author&gt;Munson, T.J.&lt;/author&gt;&lt;author&gt;Revie, D.&lt;/author&gt;&lt;/authors&gt;&lt;tertiary-authors&gt;&lt;author&gt;Northern Territory Geological Survey&lt;/author&gt;&lt;/tertiary-authors&gt;&lt;subsidiary-authors&gt;&lt;author&gt;Primary Industry and Resources&lt;/author&gt;&lt;/subsidiary-authors&gt;&lt;/contributors&gt;&lt;titles&gt;&lt;title&gt;Stratigraphic subdivision of the Velkerri Formation, Roper Group, McArthur Basin, Northern Territory. NTGS Record 2018-006&lt;/title&gt;&lt;secondary-title&gt;Northern Territory Geological Survey, Record 2018-006&lt;/secondary-title&gt;&lt;/titles&gt;&lt;pages&gt;27&lt;/pages&gt;&lt;dates&gt;&lt;year&gt;2018&lt;/year&gt;&lt;/dates&gt;&lt;pub-location&gt;Darwin&lt;/pub-location&gt;&lt;publisher&gt;Northern Territory Geological Survey&lt;/publisher&gt;&lt;urls&gt;&lt;related-urls&gt;&lt;url&gt;&lt;style face="underline" font="default" size="100%"&gt;https://geoscience.nt.gov.au/gemis/ntgsjspui/handle/1/87322&lt;/style&gt;&lt;/url&gt;&lt;/related-urls&gt;&lt;/urls&gt;&lt;access-date&gt;29 November 2019&lt;/access-date&gt;&lt;/record&gt;&lt;/Cite&gt;&lt;/EndNote&gt;</w:instrText>
      </w:r>
      <w:r w:rsidR="00CB2D9B">
        <w:fldChar w:fldCharType="separate"/>
      </w:r>
      <w:r w:rsidR="00CB2D9B">
        <w:rPr>
          <w:noProof/>
        </w:rPr>
        <w:t>Munson and Revie (2018)</w:t>
      </w:r>
      <w:r w:rsidR="00CB2D9B">
        <w:fldChar w:fldCharType="end"/>
      </w:r>
      <w:r w:rsidR="00AB578B" w:rsidRPr="00AB578B">
        <w:t xml:space="preserve">, </w:t>
      </w:r>
      <w:r w:rsidR="00177C42">
        <w:fldChar w:fldCharType="begin"/>
      </w:r>
      <w:r w:rsidR="005D0C32">
        <w:instrText xml:space="preserve"> ADDIN EN.CITE &lt;EndNote&gt;&lt;Cite AuthorYear="1"&gt;&lt;Author&gt;Munson&lt;/Author&gt;&lt;Year&gt;2013&lt;/Year&gt;&lt;RecNum&gt;1139&lt;/RecNum&gt;&lt;DisplayText&gt;Munson et al. (2013a)&lt;/DisplayText&gt;&lt;record&gt;&lt;rec-number&gt;1139&lt;/rec-number&gt;&lt;foreign-keys&gt;&lt;key app="EN" db-id="wdf9tzzdhw2saee559kv0vezt0wfsta0zedv" timestamp="1562804835"&gt;1139&lt;/key&gt;&lt;/foreign-keys&gt;&lt;ref-type name="Book Section"&gt;5&lt;/ref-type&gt;&lt;contributors&gt;&lt;authors&gt;&lt;author&gt;Munson, T.J.&lt;/author&gt;&lt;author&gt;Kruse, P.D.&lt;/author&gt;&lt;author&gt;Ahmad, M.&lt;/author&gt;&lt;/authors&gt;&lt;/contributors&gt;&lt;titles&gt;&lt;title&gt;Chapter 22: Centralian Superbasin. In: Ahmad M and Munson TJ (eds)&lt;/title&gt;&lt;secondary-title&gt;Geology and mineral resources of the Northern Territory. Northern Territory Geological Survey, Special Publication 5&lt;/secondary-title&gt;&lt;/titles&gt;&lt;pages&gt;639–657&lt;/pages&gt;&lt;dates&gt;&lt;year&gt;2013&lt;/year&gt;&lt;/dates&gt;&lt;pub-location&gt;Darwin&lt;/pub-location&gt;&lt;urls&gt;&lt;/urls&gt;&lt;/record&gt;&lt;/Cite&gt;&lt;/EndNote&gt;</w:instrText>
      </w:r>
      <w:r w:rsidR="00177C42">
        <w:fldChar w:fldCharType="separate"/>
      </w:r>
      <w:r w:rsidR="005D0C32">
        <w:rPr>
          <w:noProof/>
        </w:rPr>
        <w:t>Munson et al. (2013a)</w:t>
      </w:r>
      <w:r w:rsidR="00177C42">
        <w:fldChar w:fldCharType="end"/>
      </w:r>
      <w:r w:rsidR="00AB578B" w:rsidRPr="00AB578B">
        <w:t xml:space="preserve">, </w:t>
      </w:r>
      <w:r w:rsidR="00CB2D9B">
        <w:fldChar w:fldCharType="begin"/>
      </w:r>
      <w:r w:rsidR="00F76E0D">
        <w:instrText xml:space="preserve"> ADDIN EN.CITE &lt;EndNote&gt;&lt;Cite AuthorYear="1"&gt;&lt;Author&gt;Betts&lt;/Author&gt;&lt;Year&gt;2015&lt;/Year&gt;&lt;RecNum&gt;804&lt;/RecNum&gt;&lt;DisplayText&gt;Betts et al. (2015)&lt;/DisplayText&gt;&lt;record&gt;&lt;rec-number&gt;804&lt;/rec-number&gt;&lt;foreign-keys&gt;&lt;key app="EN" db-id="wdf9tzzdhw2saee559kv0vezt0wfsta0zedv" timestamp="1552630691"&gt;804&lt;/key&gt;&lt;/foreign-keys&gt;&lt;ref-type name="Report"&gt;27&lt;/ref-type&gt;&lt;contributors&gt;&lt;authors&gt;&lt;author&gt;Betts, P.&lt;/author&gt;&lt;author&gt;Armit, R.&lt;/author&gt;&lt;author&gt;Ailleres, L.&lt;/author&gt;&lt;/authors&gt;&lt;tertiary-authors&gt;&lt;author&gt;Northern Territory Geological Survey&lt;/author&gt;&lt;/tertiary-authors&gt;&lt;subsidiary-authors&gt;&lt;author&gt;Department of Mines and Energy&lt;/author&gt;&lt;/subsidiary-authors&gt;&lt;/contributors&gt;&lt;titles&gt;&lt;title&gt;Potential-field interpretation mapping of the greater McArthur Basin. PGN Geoscience Report 15/2014&lt;/title&gt;&lt;secondary-title&gt;&amp;apos;Geophysical and structural interpretation of the greater McArthur Basin&amp;apos;. Northern Territory Geological Survey, Digital Information Package DIP 015&lt;/secondary-title&gt;&lt;/titles&gt;&lt;pages&gt;70&lt;/pages&gt;&lt;dates&gt;&lt;year&gt;2015&lt;/year&gt;&lt;/dates&gt;&lt;pub-location&gt;Darwin&lt;/pub-location&gt;&lt;publisher&gt;Northern Territory Geological Survey&lt;/publisher&gt;&lt;urls&gt;&lt;related-urls&gt;&lt;url&gt;&lt;style face="underline" font="default" size="100%"&gt;https://geoscience.nt.gov.au/gemis/ntgsjspui/handle/1/81754&lt;/style&gt;&lt;/url&gt;&lt;/related-urls&gt;&lt;/urls&gt;&lt;access-date&gt;24 October 2019&lt;/access-date&gt;&lt;/record&gt;&lt;/Cite&gt;&lt;/EndNote&gt;</w:instrText>
      </w:r>
      <w:r w:rsidR="00CB2D9B">
        <w:fldChar w:fldCharType="separate"/>
      </w:r>
      <w:r w:rsidR="00CB2D9B">
        <w:rPr>
          <w:noProof/>
        </w:rPr>
        <w:t>Betts et al. (2015)</w:t>
      </w:r>
      <w:r w:rsidR="00CB2D9B">
        <w:fldChar w:fldCharType="end"/>
      </w:r>
      <w:r w:rsidR="00AB578B" w:rsidRPr="00AB578B">
        <w:t xml:space="preserve">, </w:t>
      </w:r>
      <w:r w:rsidR="00CB2D9B">
        <w:fldChar w:fldCharType="begin"/>
      </w:r>
      <w:r w:rsidR="00F76E0D">
        <w:instrText xml:space="preserve"> ADDIN EN.CITE &lt;EndNote&gt;&lt;Cite AuthorYear="1"&gt;&lt;Author&gt;Page&lt;/Author&gt;&lt;Year&gt;2000&lt;/Year&gt;&lt;RecNum&gt;1201&lt;/RecNum&gt;&lt;DisplayText&gt;Page et al. (2000)&lt;/DisplayText&gt;&lt;record&gt;&lt;rec-number&gt;1201&lt;/rec-number&gt;&lt;foreign-keys&gt;&lt;key app="EN" db-id="wdf9tzzdhw2saee559kv0vezt0wfsta0zedv" timestamp="1564529736"&gt;1201&lt;/key&gt;&lt;key app="ENWeb" db-id=""&gt;0&lt;/key&gt;&lt;/foreign-keys&gt;&lt;ref-type name="Journal Article"&gt;17&lt;/ref-type&gt;&lt;contributors&gt;&lt;authors&gt;&lt;author&gt;Page, R. W.&lt;/author&gt;&lt;author&gt;Jackson, M. J.&lt;/author&gt;&lt;author&gt;Krassay, A. A.&lt;/author&gt;&lt;/authors&gt;&lt;/contributors&gt;&lt;titles&gt;&lt;title&gt;Constraining sequence stratigraphy in north Australian basins: SHRIMP U-Pb zircon geochronology between Mt Isa and McArthur River&lt;/title&gt;&lt;secondary-title&gt;Australian Journal of Earth Sciences&lt;/secondary-title&gt;&lt;/titles&gt;&lt;periodical&gt;&lt;full-title&gt;Australian Journal of Earth Sciences&lt;/full-title&gt;&lt;/periodical&gt;&lt;pages&gt;431-459&lt;/pages&gt;&lt;volume&gt;47&lt;/volume&gt;&lt;number&gt;3&lt;/number&gt;&lt;dates&gt;&lt;year&gt;2000&lt;/year&gt;&lt;pub-dates&gt;&lt;date&gt;Jun&lt;/date&gt;&lt;/pub-dates&gt;&lt;/dates&gt;&lt;isbn&gt;0812-0099&lt;/isbn&gt;&lt;accession-num&gt;WOS:000087878800005&lt;/accession-num&gt;&lt;urls&gt;&lt;related-urls&gt;&lt;url&gt;&lt;style face="underline" font="default" size="100%"&gt;&amp;lt;Go to ISI&amp;gt;://WOS:000087878800005&lt;/style&gt;&lt;/url&gt;&lt;/related-urls&gt;&lt;/urls&gt;&lt;electronic-resource-num&gt;10.1046/j.1440-0952.2000.00797.x&lt;/electronic-resource-num&gt;&lt;/record&gt;&lt;/Cite&gt;&lt;/EndNote&gt;</w:instrText>
      </w:r>
      <w:r w:rsidR="00CB2D9B">
        <w:fldChar w:fldCharType="separate"/>
      </w:r>
      <w:r w:rsidR="005A6E56">
        <w:rPr>
          <w:noProof/>
        </w:rPr>
        <w:t>Page et al. (2000)</w:t>
      </w:r>
      <w:r w:rsidR="00CB2D9B">
        <w:fldChar w:fldCharType="end"/>
      </w:r>
      <w:r w:rsidR="00AB578B" w:rsidRPr="00AB578B">
        <w:t xml:space="preserve">, </w:t>
      </w:r>
      <w:r w:rsidR="00CB2D9B">
        <w:fldChar w:fldCharType="begin"/>
      </w:r>
      <w:r w:rsidR="00F76E0D">
        <w:instrText xml:space="preserve"> ADDIN EN.CITE &lt;EndNote&gt;&lt;Cite AuthorYear="1"&gt;&lt;Author&gt;Collins&lt;/Author&gt;&lt;Year&gt;2018&lt;/Year&gt;&lt;RecNum&gt;737&lt;/RecNum&gt;&lt;DisplayText&gt;Collins et al. (2018)&lt;/DisplayText&gt;&lt;record&gt;&lt;rec-number&gt;737&lt;/rec-number&gt;&lt;foreign-keys&gt;&lt;key app="EN" db-id="wdf9tzzdhw2saee559kv0vezt0wfsta0zedv" timestamp="1550544786"&gt;737&lt;/key&gt;&lt;key app="ENWeb" db-id=""&gt;0&lt;/key&gt;&lt;/foreign-keys&gt;&lt;ref-type name="Conference Paper"&gt;47&lt;/ref-type&gt;&lt;contributors&gt;&lt;authors&gt;&lt;author&gt;Collins, Alan&lt;/author&gt;&lt;author&gt;Farkas, Juraj&lt;/author&gt;&lt;author&gt;Glorie, Stijn&lt;/author&gt;&lt;author&gt;Cox, Grant&lt;/author&gt;&lt;author&gt;Blades, Morgan&lt;/author&gt;&lt;author&gt;Yang, Bo&lt;/author&gt;&lt;author&gt;Nixon, Angus&lt;/author&gt;&lt;author&gt;Bullen, Maxwell&lt;/author&gt;&lt;author&gt;Foden, John&lt;/author&gt;&lt;author&gt;Dosseto, Anthony&lt;/author&gt;&lt;author&gt;Payne, Justin&lt;/author&gt;&lt;author&gt;Denyszyn, Steven&lt;/author&gt;&lt;author&gt;J Edgoose, Christine&lt;/author&gt;&lt;author&gt;Close, Dorothy&lt;/author&gt;&lt;author&gt;Munson, Timothy&lt;/author&gt;&lt;author&gt;Menpes, Sandra&lt;/author&gt;&lt;author&gt;Spagnuolo, Saviero&lt;/author&gt;&lt;author&gt;Gusterhuber, Juergen&lt;/author&gt;&lt;author&gt;Sheridan, Mattilda&lt;/author&gt;&lt;author&gt;Close, David&lt;/author&gt;&lt;/authors&gt;&lt;/contributors&gt;&lt;titles&gt;&lt;title&gt;Orogens to oil: government–industry–academia collaboration to better understand the greater McArthur Basin&lt;/title&gt;&lt;secondary-title&gt;Annual Geoscience Exploration Seminar (AGES) 2018 Proceedings&lt;/secondary-title&gt;&lt;/titles&gt;&lt;dates&gt;&lt;year&gt;2018&lt;/year&gt;&lt;pub-dates&gt;&lt;date&gt;20–21 March 2018&lt;/date&gt;&lt;/pub-dates&gt;&lt;/dates&gt;&lt;pub-location&gt;Alice Springs, Northern Territory&lt;/pub-location&gt;&lt;publisher&gt;Northern Territory Geological Survey&lt;/publisher&gt;&lt;urls&gt;&lt;related-urls&gt;&lt;url&gt;&lt;style face="underline" font="default" size="100%"&gt;https://www.researchgate.net/publication/324000194&lt;/style&gt;&lt;/url&gt;&lt;/related-urls&gt;&lt;/urls&gt;&lt;access-date&gt;29 November 2019&lt;/access-date&gt;&lt;/record&gt;&lt;/Cite&gt;&lt;/EndNote&gt;</w:instrText>
      </w:r>
      <w:r w:rsidR="00CB2D9B">
        <w:fldChar w:fldCharType="separate"/>
      </w:r>
      <w:r w:rsidR="00CB2D9B">
        <w:rPr>
          <w:noProof/>
        </w:rPr>
        <w:t>Collins et al. (2018)</w:t>
      </w:r>
      <w:r w:rsidR="00CB2D9B">
        <w:fldChar w:fldCharType="end"/>
      </w:r>
      <w:r w:rsidR="00AB578B" w:rsidRPr="00AB578B">
        <w:t xml:space="preserve">, </w:t>
      </w:r>
      <w:r w:rsidR="00CB2D9B">
        <w:fldChar w:fldCharType="begin"/>
      </w:r>
      <w:r w:rsidR="00F76E0D">
        <w:instrText xml:space="preserve"> ADDIN EN.CITE &lt;EndNote&gt;&lt;Cite AuthorYear="1"&gt;&lt;Author&gt;Ahmad&lt;/Author&gt;&lt;Year&gt;2013&lt;/Year&gt;&lt;RecNum&gt;803&lt;/RecNum&gt;&lt;DisplayText&gt;Ahmad et al. (2013)&lt;/DisplayText&gt;&lt;record&gt;&lt;rec-number&gt;803&lt;/rec-number&gt;&lt;foreign-keys&gt;&lt;key app="EN" db-id="wdf9tzzdhw2saee559kv0vezt0wfsta0zedv" timestamp="1552630671"&gt;803&lt;/key&gt;&lt;key app="ENWeb" db-id=""&gt;0&lt;/key&gt;&lt;/foreign-keys&gt;&lt;ref-type name="Book Section"&gt;5&lt;/ref-type&gt;&lt;contributors&gt;&lt;authors&gt;&lt;author&gt;Ahmad, M&lt;/author&gt;&lt;author&gt;Dunster, J.N.&lt;/author&gt;&lt;author&gt;Munson, T.J.&lt;/author&gt;&lt;/authors&gt;&lt;/contributors&gt;&lt;titles&gt;&lt;title&gt;Chapter 15: McArthur Basin. In Ahmad M and Munson TJ (eds). Geology and mineral resources of the Northern Territory&lt;/title&gt;&lt;secondary-title&gt;Geology and mineral resources of the Northern Territory. Special Publication 5&lt;/secondary-title&gt;&lt;/titles&gt;&lt;pages&gt;73&lt;/pages&gt;&lt;section&gt;15&lt;/section&gt;&lt;dates&gt;&lt;year&gt;2013&lt;/year&gt;&lt;/dates&gt;&lt;pub-location&gt;Darwin, NT, Australia&lt;/pub-location&gt;&lt;publisher&gt;Northern Territory Geological Survey&lt;/publisher&gt;&lt;isbn&gt;978-0-7245-7257-1&lt;/isbn&gt;&lt;urls&gt;&lt;related-urls&gt;&lt;url&gt;&lt;style face="underline" font="default" size="100%"&gt;https://geoscience.nt.gov.au/gemis/ntgsjspui/handle/1/81446&lt;/style&gt;&lt;/url&gt;&lt;/related-urls&gt;&lt;/urls&gt;&lt;/record&gt;&lt;/Cite&gt;&lt;/EndNote&gt;</w:instrText>
      </w:r>
      <w:r w:rsidR="00CB2D9B">
        <w:fldChar w:fldCharType="separate"/>
      </w:r>
      <w:r w:rsidR="00CB2D9B">
        <w:rPr>
          <w:noProof/>
        </w:rPr>
        <w:t>Ahmad et al. (2013)</w:t>
      </w:r>
      <w:r w:rsidR="00CB2D9B">
        <w:fldChar w:fldCharType="end"/>
      </w:r>
      <w:r w:rsidR="00AB578B" w:rsidRPr="00AB578B">
        <w:t xml:space="preserve">, </w:t>
      </w:r>
      <w:r w:rsidR="00CB2D9B">
        <w:fldChar w:fldCharType="begin"/>
      </w:r>
      <w:r w:rsidR="00F76E0D">
        <w:instrText xml:space="preserve"> ADDIN EN.CITE &lt;EndNote&gt;&lt;Cite AuthorYear="1"&gt;&lt;Author&gt;Kruse&lt;/Author&gt;&lt;Year&gt;2013&lt;/Year&gt;&lt;RecNum&gt;686&lt;/RecNum&gt;&lt;DisplayText&gt;Kruse et al. (2013)&lt;/DisplayText&gt;&lt;record&gt;&lt;rec-number&gt;686&lt;/rec-number&gt;&lt;foreign-keys&gt;&lt;key app="EN" db-id="wdf9tzzdhw2saee559kv0vezt0wfsta0zedv" timestamp="1545264480"&gt;686&lt;/key&gt;&lt;key app="ENWeb" db-id=""&gt;0&lt;/key&gt;&lt;/foreign-keys&gt;&lt;ref-type name="Book Section"&gt;5&lt;/ref-type&gt;&lt;contributors&gt;&lt;authors&gt;&lt;author&gt;Kruse, P.D.&lt;/author&gt;&lt;author&gt;Dunster, J.N.&lt;/author&gt;&lt;author&gt;Munson, T.J.&lt;/author&gt;&lt;/authors&gt;&lt;/contributors&gt;&lt;titles&gt;&lt;title&gt;Chapter 28: Georgina Basin. In: Ahmad M and Munson TJ (eds)&lt;/title&gt;&lt;secondary-title&gt;Geology and mineral resources of the Northern Territory. Northern Territory Geological Survey, Special Publication 5&lt;/secondary-title&gt;&lt;/titles&gt;&lt;volume&gt;Special Publication 5&lt;/volume&gt;&lt;section&gt;28&lt;/section&gt;&lt;dates&gt;&lt;year&gt;2013&lt;/year&gt;&lt;/dates&gt;&lt;urls&gt;&lt;related-urls&gt;&lt;url&gt;&lt;style face="underline" font="default" size="100%"&gt;https://geoscience.nt.gov.au/gemis/ntgsjspui/bitstream/1/81508/1/GNT_Ch28_Georgina.pdf&lt;/style&gt;&lt;/url&gt;&lt;/related-urls&gt;&lt;/urls&gt;&lt;access-date&gt;28 November 2019&lt;/access-date&gt;&lt;/record&gt;&lt;/Cite&gt;&lt;/EndNote&gt;</w:instrText>
      </w:r>
      <w:r w:rsidR="00CB2D9B">
        <w:fldChar w:fldCharType="separate"/>
      </w:r>
      <w:r w:rsidR="00123D6A">
        <w:rPr>
          <w:noProof/>
        </w:rPr>
        <w:t>Kruse et al. (2013)</w:t>
      </w:r>
      <w:r w:rsidR="00CB2D9B">
        <w:fldChar w:fldCharType="end"/>
      </w:r>
      <w:r w:rsidR="00AB578B" w:rsidRPr="00AB578B">
        <w:t xml:space="preserve">, </w:t>
      </w:r>
      <w:r w:rsidR="00177C42">
        <w:fldChar w:fldCharType="begin"/>
      </w:r>
      <w:r w:rsidR="008F30E0">
        <w:instrText xml:space="preserve"> ADDIN EN.CITE &lt;EndNote&gt;&lt;Cite AuthorYear="1"&gt;&lt;Author&gt;Kruse&lt;/Author&gt;&lt;Year&gt;2013&lt;/Year&gt;&lt;RecNum&gt;1154&lt;/RecNum&gt;&lt;DisplayText&gt;Kruse and Munson (2013b)&lt;/DisplayText&gt;&lt;record&gt;&lt;rec-number&gt;1154&lt;/rec-number&gt;&lt;foreign-keys&gt;&lt;key app="EN" db-id="wdf9tzzdhw2saee559kv0vezt0wfsta0zedv" timestamp="1562804874"&gt;1154&lt;/key&gt;&lt;key app="ENWeb" db-id=""&gt;0&lt;/key&gt;&lt;/foreign-keys&gt;&lt;ref-type name="Book Section"&gt;5&lt;/ref-type&gt;&lt;contributors&gt;&lt;authors&gt;&lt;author&gt;Kruse, P.D.&lt;/author&gt;&lt;author&gt;Munson, T.J.&lt;/author&gt;&lt;/authors&gt;&lt;/contributors&gt;&lt;titles&gt;&lt;title&gt;Chapter 31: Daly Basin. In: Ahmad M and Munson TJ (eds)&lt;/title&gt;&lt;secondary-title&gt;Geology and mineral resources of the Northern Territory. Northern Territory Geological Survey, Special Publication 5&lt;/secondary-title&gt;&lt;/titles&gt;&lt;pages&gt;14&lt;/pages&gt;&lt;section&gt;31&lt;/section&gt;&lt;dates&gt;&lt;year&gt;2013&lt;/year&gt;&lt;/dates&gt;&lt;pub-location&gt;Darwin&lt;/pub-location&gt;&lt;isbn&gt;978-0-7245-7257-1&lt;/isbn&gt;&lt;urls&gt;&lt;related-urls&gt;&lt;url&gt;&lt;style face="underline" font="default" size="100%"&gt;https://geoscience.nt.gov.au/gemis/ntgsjspui/handle/1/81446&lt;/style&gt;&lt;/url&gt;&lt;/related-urls&gt;&lt;/urls&gt;&lt;access-date&gt;28 November 2019&lt;/access-date&gt;&lt;/record&gt;&lt;/Cite&gt;&lt;/EndNote&gt;</w:instrText>
      </w:r>
      <w:r w:rsidR="00177C42">
        <w:fldChar w:fldCharType="separate"/>
      </w:r>
      <w:r w:rsidR="008F30E0">
        <w:rPr>
          <w:noProof/>
        </w:rPr>
        <w:t>Kruse and Munson (2013b)</w:t>
      </w:r>
      <w:r w:rsidR="00177C42">
        <w:fldChar w:fldCharType="end"/>
      </w:r>
      <w:r w:rsidR="00AB578B" w:rsidRPr="00AB578B">
        <w:t xml:space="preserve">, </w:t>
      </w:r>
      <w:r w:rsidR="00177C42">
        <w:fldChar w:fldCharType="begin"/>
      </w:r>
      <w:r w:rsidR="005D0C32">
        <w:instrText xml:space="preserve"> ADDIN EN.CITE &lt;EndNote&gt;&lt;Cite AuthorYear="1"&gt;&lt;Author&gt;Munson&lt;/Author&gt;&lt;Year&gt;2013&lt;/Year&gt;&lt;RecNum&gt;815&lt;/RecNum&gt;&lt;DisplayText&gt;Munson et al. (2013b)&lt;/DisplayText&gt;&lt;record&gt;&lt;rec-number&gt;815&lt;/rec-number&gt;&lt;foreign-keys&gt;&lt;key app="EN" db-id="wdf9tzzdhw2saee559kv0vezt0wfsta0zedv" timestamp="1552633487"&gt;815&lt;/key&gt;&lt;key app="ENWeb" db-id=""&gt;0&lt;/key&gt;&lt;/foreign-keys&gt;&lt;ref-type name="Book Section"&gt;5&lt;/ref-type&gt;&lt;contributors&gt;&lt;authors&gt;&lt;author&gt;Munson, T.J.&lt;/author&gt;&lt;author&gt;Ahmad, M&lt;/author&gt;&lt;author&gt;Dunster, J. N.&lt;/author&gt;&lt;/authors&gt;&lt;/contributors&gt;&lt;titles&gt;&lt;title&gt;Chapter 39: Carpentaria Basin: in Ahmad M and Munson TJ (eds). Geology and mineral resources of the Northern Territory. Northern Territory Geological Survey, Special Publication 5.&lt;/title&gt;&lt;secondary-title&gt;Geology and Mineral Resources of the Northern Territory&lt;/secondary-title&gt;&lt;/titles&gt;&lt;pages&gt;18&lt;/pages&gt;&lt;section&gt;39&lt;/section&gt;&lt;dates&gt;&lt;year&gt;2013&lt;/year&gt;&lt;/dates&gt;&lt;pub-location&gt;Darwin&lt;/pub-location&gt;&lt;publisher&gt;Northern Territory Geological Survey&lt;/publisher&gt;&lt;isbn&gt;978-0-7245-7257-1&lt;/isbn&gt;&lt;urls&gt;&lt;related-urls&gt;&lt;url&gt;https://geoscience.nt.gov.au/gemis/ntgsjspui/handle/1/81446&lt;/url&gt;&lt;/related-urls&gt;&lt;/urls&gt;&lt;/record&gt;&lt;/Cite&gt;&lt;/EndNote&gt;</w:instrText>
      </w:r>
      <w:r w:rsidR="00177C42">
        <w:fldChar w:fldCharType="separate"/>
      </w:r>
      <w:r w:rsidR="005D0C32">
        <w:rPr>
          <w:noProof/>
        </w:rPr>
        <w:t>Munson et al. (2013b)</w:t>
      </w:r>
      <w:r w:rsidR="00177C42">
        <w:fldChar w:fldCharType="end"/>
      </w:r>
      <w:r w:rsidR="00AB578B" w:rsidRPr="00AB578B">
        <w:t xml:space="preserve">, </w:t>
      </w:r>
      <w:r w:rsidR="00123D6A">
        <w:fldChar w:fldCharType="begin"/>
      </w:r>
      <w:r w:rsidR="00F76E0D">
        <w:instrText xml:space="preserve"> ADDIN EN.CITE &lt;EndNote&gt;&lt;Cite AuthorYear="1"&gt;&lt;Author&gt;Edgoose&lt;/Author&gt;&lt;Year&gt;2013&lt;/Year&gt;&lt;RecNum&gt;814&lt;/RecNum&gt;&lt;DisplayText&gt;Edgoose and Ahmad (2013)&lt;/DisplayText&gt;&lt;record&gt;&lt;rec-number&gt;814&lt;/rec-number&gt;&lt;foreign-keys&gt;&lt;key app="EN" db-id="wdf9tzzdhw2saee559kv0vezt0wfsta0zedv" timestamp="1552633487"&gt;814&lt;/key&gt;&lt;/foreign-keys&gt;&lt;ref-type name="Book Section"&gt;5&lt;/ref-type&gt;&lt;contributors&gt;&lt;authors&gt;&lt;author&gt;Edgoose,C.J.&lt;/author&gt;&lt;author&gt;Ahmad, M.&lt;/author&gt;&lt;/authors&gt;&lt;/contributors&gt;&lt;titles&gt;&lt;title&gt;Chapter 42: Cenozoic geology and regolith. In: Ahmad M and Munson TJ (compilers)&lt;/title&gt;&lt;secondary-title&gt;Geology and mineral resources of the Northern Territory. Special Publication 5&lt;/secondary-title&gt;&lt;/titles&gt;&lt;pages&gt;44&lt;/pages&gt;&lt;section&gt;42&lt;/section&gt;&lt;dates&gt;&lt;year&gt;2013&lt;/year&gt;&lt;/dates&gt;&lt;pub-location&gt;Darwin&lt;/pub-location&gt;&lt;publisher&gt;Northern Territory Geological Survey&lt;/publisher&gt;&lt;isbn&gt;978-0-7245-7257-1&lt;/isbn&gt;&lt;urls&gt;&lt;related-urls&gt;&lt;url&gt;&lt;style face="underline" font="default" size="100%"&gt;https://geoscience.nt.gov.au/gemis/ntgsjspui/handle/1/81446&lt;/style&gt;&lt;/url&gt;&lt;/related-urls&gt;&lt;/urls&gt;&lt;/record&gt;&lt;/Cite&gt;&lt;/EndNote&gt;</w:instrText>
      </w:r>
      <w:r w:rsidR="00123D6A">
        <w:fldChar w:fldCharType="separate"/>
      </w:r>
      <w:r w:rsidR="00123D6A">
        <w:rPr>
          <w:noProof/>
        </w:rPr>
        <w:t>Edgoose and Ahmad (2013)</w:t>
      </w:r>
      <w:r w:rsidR="00123D6A">
        <w:fldChar w:fldCharType="end"/>
      </w:r>
      <w:r w:rsidR="00123D6A">
        <w:t xml:space="preserve"> and</w:t>
      </w:r>
      <w:r w:rsidR="00AB578B" w:rsidRPr="00AB578B">
        <w:t xml:space="preserve"> </w:t>
      </w:r>
      <w:r w:rsidR="00123D6A">
        <w:fldChar w:fldCharType="begin"/>
      </w:r>
      <w:r w:rsidR="00F76E0D">
        <w:instrText xml:space="preserve"> ADDIN EN.CITE &lt;EndNote&gt;&lt;Cite AuthorYear="1"&gt;&lt;Author&gt;Munson&lt;/Author&gt;&lt;Year&gt;2014&lt;/Year&gt;&lt;RecNum&gt;802&lt;/RecNum&gt;&lt;DisplayText&gt;Munson (2014)&lt;/DisplayText&gt;&lt;record&gt;&lt;rec-number&gt;802&lt;/rec-number&gt;&lt;foreign-keys&gt;&lt;key app="EN" db-id="wdf9tzzdhw2saee559kv0vezt0wfsta0zedv" timestamp="1552630671"&gt;802&lt;/key&gt;&lt;/foreign-keys&gt;&lt;ref-type name="Report"&gt;27&lt;/ref-type&gt;&lt;contributors&gt;&lt;authors&gt;&lt;author&gt;Munson, T.J.&lt;/author&gt;&lt;/authors&gt;&lt;/contributors&gt;&lt;titles&gt;&lt;title&gt;Petroleum geology and potential of the onshore Northern Territory, 2014. Northern Territory Geological Survey, Report 22.&lt;/title&gt;&lt;/titles&gt;&lt;pages&gt;252&lt;/pages&gt;&lt;dates&gt;&lt;year&gt;2014&lt;/year&gt;&lt;/dates&gt;&lt;pub-location&gt;Darwin&lt;/pub-location&gt;&lt;publisher&gt;Northern Territory Geological Survey&lt;/publisher&gt;&lt;urls&gt;&lt;related-urls&gt;&lt;url&gt;https://geoscience.nt.gov.au/gemis/ntgsjspui/handle/1/81558&lt;/url&gt;&lt;/related-urls&gt;&lt;/urls&gt;&lt;access-date&gt;31 August 2018&lt;/access-date&gt;&lt;/record&gt;&lt;/Cite&gt;&lt;/EndNote&gt;</w:instrText>
      </w:r>
      <w:r w:rsidR="00123D6A">
        <w:fldChar w:fldCharType="separate"/>
      </w:r>
      <w:r w:rsidR="00123D6A">
        <w:rPr>
          <w:noProof/>
        </w:rPr>
        <w:t>Munson (2014)</w:t>
      </w:r>
      <w:r w:rsidR="00123D6A">
        <w:fldChar w:fldCharType="end"/>
      </w:r>
      <w:r w:rsidR="006C0820" w:rsidRPr="00AB578B">
        <w:br/>
      </w:r>
      <w:r w:rsidR="00D8570D" w:rsidRPr="00446FE3">
        <w:t>Element:</w:t>
      </w:r>
      <w:r w:rsidR="00D8570D">
        <w:t xml:space="preserve"> </w:t>
      </w:r>
      <w:r w:rsidR="002E16EA" w:rsidRPr="005D7638">
        <w:t>GBA-BEE-2-053</w:t>
      </w:r>
    </w:p>
    <w:p w14:paraId="62AF5328" w14:textId="4238A129" w:rsidR="002935EE" w:rsidRDefault="007D6223" w:rsidP="00827E8A">
      <w:pPr>
        <w:pStyle w:val="Heading4"/>
      </w:pPr>
      <w:bookmarkStart w:id="269" w:name="_Ref279671"/>
      <w:bookmarkStart w:id="270" w:name="_Ref279683"/>
      <w:r>
        <w:t>Roper Group</w:t>
      </w:r>
      <w:bookmarkEnd w:id="269"/>
      <w:bookmarkEnd w:id="270"/>
    </w:p>
    <w:p w14:paraId="7AA789BB" w14:textId="6ABB9599" w:rsidR="00044FB3" w:rsidRDefault="002F4975" w:rsidP="002F4975">
      <w:r>
        <w:t xml:space="preserve">The Roper Group </w:t>
      </w:r>
      <w:r w:rsidR="00123D6A">
        <w:t>comprises</w:t>
      </w:r>
      <w:r>
        <w:t xml:space="preserve"> </w:t>
      </w:r>
      <w:r w:rsidR="00FD6AB7">
        <w:t xml:space="preserve">the </w:t>
      </w:r>
      <w:r>
        <w:t>Collara and Maiwok subgroups (</w:t>
      </w:r>
      <w:r>
        <w:fldChar w:fldCharType="begin"/>
      </w:r>
      <w:r>
        <w:instrText xml:space="preserve"> REF _Ref535407260 \h </w:instrText>
      </w:r>
      <w:r>
        <w:fldChar w:fldCharType="separate"/>
      </w:r>
      <w:r w:rsidR="00B177F5">
        <w:t xml:space="preserve">Figure </w:t>
      </w:r>
      <w:r w:rsidR="00B177F5">
        <w:rPr>
          <w:noProof/>
        </w:rPr>
        <w:t>4</w:t>
      </w:r>
      <w:r>
        <w:fldChar w:fldCharType="end"/>
      </w:r>
      <w:r>
        <w:t>). With little groundwater data available from deep drilling within the Beetaloo Sub-basin, or even in the greater McArthur Basin</w:t>
      </w:r>
      <w:r w:rsidR="00177C42">
        <w:t>,</w:t>
      </w:r>
      <w:r w:rsidR="00FD6AB7">
        <w:t xml:space="preserve"> </w:t>
      </w:r>
      <w:r w:rsidR="00A541ED">
        <w:fldChar w:fldCharType="begin"/>
      </w:r>
      <w:r w:rsidR="008F30E0">
        <w:instrText xml:space="preserve"> ADDIN EN.CITE &lt;EndNote&gt;&lt;Cite AuthorYear="1"&gt;&lt;Author&gt;Fulton&lt;/Author&gt;&lt;Year&gt;2015&lt;/Year&gt;&lt;RecNum&gt;671&lt;/RecNum&gt;&lt;DisplayText&gt;Fulton and Knapton (2015b)&lt;/DisplayText&gt;&lt;record&gt;&lt;rec-number&gt;671&lt;/rec-number&gt;&lt;foreign-keys&gt;&lt;key app="EN" db-id="wdf9tzzdhw2saee559kv0vezt0wfsta0zedv" timestamp="1545264407"&gt;671&lt;/key&gt;&lt;key app="ENWeb" db-id=""&gt;0&lt;/key&gt;&lt;/foreign-keys&gt;&lt;ref-type name="Report"&gt;27&lt;/ref-type&gt;&lt;contributors&gt;&lt;authors&gt;&lt;author&gt;Fulton, S.&lt;/author&gt;&lt;author&gt;Knapton, A.&lt;/author&gt;&lt;/authors&gt;&lt;/contributors&gt;&lt;titles&gt;&lt;title&gt;Beetaloo Basin hydrogeological assessment. Cloud GMS&lt;/title&gt;&lt;/titles&gt;&lt;pages&gt;70&lt;/pages&gt;&lt;dates&gt;&lt;year&gt;2015&lt;/year&gt;&lt;pub-dates&gt;&lt;date&gt;February 2015&lt;/date&gt;&lt;/pub-dates&gt;&lt;/dates&gt;&lt;publisher&gt;Origin Energy Report 1 for Fracking Enquiry NT&lt;/publisher&gt;&lt;urls&gt;&lt;related-urls&gt;&lt;url&gt;https://frackinginquiry.nt.gov.au/?a=410609&lt;/url&gt;&lt;/related-urls&gt;&lt;/urls&gt;&lt;access-date&gt;28 November 2019&lt;/access-date&gt;&lt;/record&gt;&lt;/Cite&gt;&lt;/EndNote&gt;</w:instrText>
      </w:r>
      <w:r w:rsidR="00A541ED">
        <w:fldChar w:fldCharType="separate"/>
      </w:r>
      <w:r w:rsidR="008F30E0">
        <w:rPr>
          <w:noProof/>
        </w:rPr>
        <w:t>Fulton and Knapton (2015b)</w:t>
      </w:r>
      <w:r w:rsidR="00A541ED">
        <w:fldChar w:fldCharType="end"/>
      </w:r>
      <w:r w:rsidR="006D1E1F">
        <w:t xml:space="preserve"> </w:t>
      </w:r>
      <w:r>
        <w:t xml:space="preserve">used lithology to infer the </w:t>
      </w:r>
      <w:r w:rsidR="006C0820">
        <w:t xml:space="preserve">hydrogeological </w:t>
      </w:r>
      <w:r>
        <w:t xml:space="preserve">character </w:t>
      </w:r>
      <w:r w:rsidR="006C0820">
        <w:t>of the Roper Group</w:t>
      </w:r>
      <w:r>
        <w:t>. In this approach, they used a basic subdivision of the Roper Group formations into aquifers (coarse-grained clastics) or aquitards (fine-grained clastics</w:t>
      </w:r>
      <w:r w:rsidR="00FD6AB7">
        <w:t>)</w:t>
      </w:r>
      <w:r>
        <w:t xml:space="preserve"> (after </w:t>
      </w:r>
      <w:r w:rsidR="00A541ED">
        <w:fldChar w:fldCharType="begin"/>
      </w:r>
      <w:r w:rsidR="00F76E0D">
        <w:instrText xml:space="preserve"> ADDIN EN.CITE &lt;EndNote&gt;&lt;Cite AuthorYear="1"&gt;&lt;Author&gt;Silverman&lt;/Author&gt;&lt;Year&gt;2007&lt;/Year&gt;&lt;RecNum&gt;674&lt;/RecNum&gt;&lt;DisplayText&gt;Silverman et al. (2007)&lt;/DisplayText&gt;&lt;record&gt;&lt;rec-number&gt;674&lt;/rec-number&gt;&lt;foreign-keys&gt;&lt;key app="EN" db-id="wdf9tzzdhw2saee559kv0vezt0wfsta0zedv" timestamp="1545264432"&gt;674&lt;/key&gt;&lt;key app="ENWeb" db-id=""&gt;0&lt;/key&gt;&lt;/foreign-keys&gt;&lt;ref-type name="Conference Paper"&gt;47&lt;/ref-type&gt;&lt;contributors&gt;&lt;authors&gt;&lt;author&gt;Silverman, M. R.&lt;/author&gt;&lt;author&gt;Landon, S. M.&lt;/author&gt;&lt;author&gt;Leaver, J. S.&lt;/author&gt;&lt;author&gt;Mather, T. J.&lt;/author&gt;&lt;author&gt;Berg, E.&lt;/author&gt;&lt;/authors&gt;&lt;/contributors&gt;&lt;titles&gt;&lt;title&gt;No fuel like an old fuel: proterozoic oil and gas potential in the Beetaloo Basin, Northern Territory, Australia&lt;/title&gt;&lt;secondary-title&gt;Proceedings of the Central Australian Basins Symposium (CABS), Northern Territory Geological Survey (NTGS) Special Publication 2&lt;/secondary-title&gt;&lt;/titles&gt;&lt;pages&gt;205–215&lt;/pages&gt;&lt;volume&gt;2&lt;/volume&gt;&lt;keywords&gt;&lt;keyword&gt;Northern Territory&lt;/keyword&gt;&lt;keyword&gt;Beetaloo Basin&lt;/keyword&gt;&lt;keyword&gt;Velkerri Formation&lt;/keyword&gt;&lt;keyword&gt;Kyalla Formation&lt;/keyword&gt;&lt;keyword&gt;Jamison Sandstone&lt;/keyword&gt;&lt;keyword&gt;Moroak Sandstone&lt;/keyword&gt;&lt;keyword&gt;Proterozoic&lt;/keyword&gt;&lt;keyword&gt;Hydrocarbons&lt;/keyword&gt;&lt;keyword&gt;Petroleum potential&lt;/keyword&gt;&lt;keyword&gt;Petroleum exploration&lt;/keyword&gt;&lt;keyword&gt;Petroleum geology&lt;/keyword&gt;&lt;keyword&gt;Beetaloo Sub-basin&lt;/keyword&gt;&lt;/keywords&gt;&lt;dates&gt;&lt;year&gt;2007&lt;/year&gt;&lt;pub-dates&gt;&lt;date&gt;16-18 August 2005&lt;/date&gt;&lt;/pub-dates&gt;&lt;/dates&gt;&lt;pub-location&gt;Alice Springs, Northern Territory&lt;/pub-location&gt;&lt;urls&gt;&lt;/urls&gt;&lt;/record&gt;&lt;/Cite&gt;&lt;/EndNote&gt;</w:instrText>
      </w:r>
      <w:r w:rsidR="00A541ED">
        <w:fldChar w:fldCharType="separate"/>
      </w:r>
      <w:r w:rsidR="00A541ED">
        <w:rPr>
          <w:noProof/>
        </w:rPr>
        <w:t>Silverman et al. (2007)</w:t>
      </w:r>
      <w:r w:rsidR="00A541ED">
        <w:fldChar w:fldCharType="end"/>
      </w:r>
      <w:r>
        <w:t xml:space="preserve"> and </w:t>
      </w:r>
      <w:r w:rsidR="00A541ED">
        <w:fldChar w:fldCharType="begin"/>
      </w:r>
      <w:r w:rsidR="00F76E0D">
        <w:instrText xml:space="preserve"> ADDIN EN.CITE &lt;EndNote&gt;&lt;Cite AuthorYear="1"&gt;&lt;Author&gt;Rawlings&lt;/Author&gt;&lt;Year&gt;1999&lt;/Year&gt;&lt;RecNum&gt;672&lt;/RecNum&gt;&lt;DisplayText&gt;Rawlings (1999)&lt;/DisplayText&gt;&lt;record&gt;&lt;rec-number&gt;672&lt;/rec-number&gt;&lt;foreign-keys&gt;&lt;key app="EN" db-id="wdf9tzzdhw2saee559kv0vezt0wfsta0zedv" timestamp="1545264415"&gt;672&lt;/key&gt;&lt;key app="ENWeb" db-id=""&gt;0&lt;/key&gt;&lt;/foreign-keys&gt;&lt;ref-type name="Journal Article"&gt;17&lt;/ref-type&gt;&lt;contributors&gt;&lt;authors&gt;&lt;author&gt;Rawlings, D. J.&lt;/author&gt;&lt;/authors&gt;&lt;/contributors&gt;&lt;titles&gt;&lt;title&gt;Stratigraphic resolution of a multiphase intracratonic basin system: The McArthur Basin, northern Australia&lt;/title&gt;&lt;secondary-title&gt;Australian Journal of Earth Sciences&lt;/secondary-title&gt;&lt;/titles&gt;&lt;periodical&gt;&lt;full-title&gt;Australian Journal of Earth Sciences&lt;/full-title&gt;&lt;/periodical&gt;&lt;pages&gt;703-723&lt;/pages&gt;&lt;volume&gt;46&lt;/volume&gt;&lt;number&gt;5&lt;/number&gt;&lt;keywords&gt;&lt;keyword&gt;basin analysis&lt;/keyword&gt;&lt;keyword&gt;geochronology&lt;/keyword&gt;&lt;keyword&gt;lithostratigraphy&lt;/keyword&gt;&lt;keyword&gt;McArthur Basin&lt;/keyword&gt;&lt;keyword&gt;Beetaloo Sub-basin&lt;/keyword&gt;&lt;/keywords&gt;&lt;dates&gt;&lt;year&gt;1999&lt;/year&gt;&lt;pub-dates&gt;&lt;date&gt;1999/10/01&lt;/date&gt;&lt;/pub-dates&gt;&lt;/dates&gt;&lt;publisher&gt;Taylor &amp;amp; Francis&lt;/publisher&gt;&lt;isbn&gt;0812-0099&lt;/isbn&gt;&lt;urls&gt;&lt;related-urls&gt;&lt;url&gt;&lt;style face="underline" font="default" size="100%"&gt;https://doi.org/10.1046/j.1440-0952.1999.00739.x&lt;/style&gt;&lt;/url&gt;&lt;/related-urls&gt;&lt;/urls&gt;&lt;electronic-resource-num&gt;10.1046/j.1440-0952.1999.00739.x&lt;/electronic-resource-num&gt;&lt;/record&gt;&lt;/Cite&gt;&lt;/EndNote&gt;</w:instrText>
      </w:r>
      <w:r w:rsidR="00A541ED">
        <w:fldChar w:fldCharType="separate"/>
      </w:r>
      <w:r w:rsidR="00A541ED">
        <w:rPr>
          <w:noProof/>
        </w:rPr>
        <w:t>Rawlings (1999)</w:t>
      </w:r>
      <w:r w:rsidR="00A541ED">
        <w:fldChar w:fldCharType="end"/>
      </w:r>
      <w:r>
        <w:t>). Accordingly, the level of confidence in such an assessment is significantly lower than i</w:t>
      </w:r>
      <w:r w:rsidR="00C27D21">
        <w:t xml:space="preserve">n </w:t>
      </w:r>
      <w:r w:rsidR="00FD6AB7">
        <w:t xml:space="preserve">the </w:t>
      </w:r>
      <w:r>
        <w:t xml:space="preserve">Cambrian and Mesozoic sequence </w:t>
      </w:r>
      <w:r w:rsidR="00820DF8">
        <w:t>of the Beetaloo GBA region</w:t>
      </w:r>
      <w:r>
        <w:t xml:space="preserve"> in which groundwater occurrences are better documented.</w:t>
      </w:r>
      <w:r w:rsidR="00D81067">
        <w:t xml:space="preserve"> </w:t>
      </w:r>
    </w:p>
    <w:p w14:paraId="43564FBF" w14:textId="511B9A36" w:rsidR="00DF42D0" w:rsidRPr="00D67885" w:rsidRDefault="005C62B0" w:rsidP="00AA3A52">
      <w:r>
        <w:t xml:space="preserve">A further complication in </w:t>
      </w:r>
      <w:r w:rsidR="00C03243">
        <w:t>the classification of a unit as an</w:t>
      </w:r>
      <w:r>
        <w:t xml:space="preserve"> aquifer or otherwise, is </w:t>
      </w:r>
      <w:r w:rsidR="00C47A50">
        <w:t>that p</w:t>
      </w:r>
      <w:r>
        <w:t xml:space="preserve">orosity and permeability tend to </w:t>
      </w:r>
      <w:r w:rsidR="005627D9">
        <w:t xml:space="preserve">be </w:t>
      </w:r>
      <w:r>
        <w:t>higher near structures</w:t>
      </w:r>
      <w:r w:rsidR="00AD1A11">
        <w:t xml:space="preserve"> </w:t>
      </w:r>
      <w:r w:rsidR="00A541ED">
        <w:fldChar w:fldCharType="begin"/>
      </w:r>
      <w:r w:rsidR="00F76E0D">
        <w:instrText xml:space="preserve"> ADDIN EN.CITE &lt;EndNote&gt;&lt;Cite&gt;&lt;Author&gt;Orr&lt;/Author&gt;&lt;Year&gt;2020&lt;/Year&gt;&lt;RecNum&gt;797&lt;/RecNum&gt;&lt;DisplayText&gt;(Orr et al., 2020)&lt;/DisplayText&gt;&lt;record&gt;&lt;rec-number&gt;797&lt;/rec-number&gt;&lt;foreign-keys&gt;&lt;key app="EN" db-id="wdf9tzzdhw2saee559kv0vezt0wfsta0zedv" timestamp="1552607511"&gt;797&lt;/key&gt;&lt;/foreign-keys&gt;&lt;ref-type name="Report"&gt;27&lt;/ref-type&gt;&lt;contributors&gt;&lt;authors&gt;&lt;author&gt;Orr, M.L.,&lt;/author&gt;&lt;author&gt;Bernardel, G.,&lt;/author&gt;&lt;author&gt;Owens, R.,&lt;/author&gt;&lt;author&gt;Hall,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A541ED">
        <w:fldChar w:fldCharType="separate"/>
      </w:r>
      <w:r w:rsidR="006456ED">
        <w:rPr>
          <w:noProof/>
        </w:rPr>
        <w:t>(Orr et al., 2020)</w:t>
      </w:r>
      <w:r w:rsidR="00A541ED">
        <w:fldChar w:fldCharType="end"/>
      </w:r>
      <w:r>
        <w:t xml:space="preserve">. </w:t>
      </w:r>
      <w:r w:rsidR="00177C42">
        <w:t xml:space="preserve">In </w:t>
      </w:r>
      <w:r>
        <w:t>‘</w:t>
      </w:r>
      <w:r w:rsidR="00177C42">
        <w:t>o</w:t>
      </w:r>
      <w:r>
        <w:t>n structure’</w:t>
      </w:r>
      <w:r w:rsidR="00177C42">
        <w:t xml:space="preserve"> regions</w:t>
      </w:r>
      <w:r>
        <w:t xml:space="preserve">, </w:t>
      </w:r>
      <w:r w:rsidR="00C47A50">
        <w:t>better</w:t>
      </w:r>
      <w:r>
        <w:t xml:space="preserve"> porosity and permeability appear to have been preserved</w:t>
      </w:r>
      <w:r w:rsidR="00AA3A52">
        <w:t xml:space="preserve"> (or created through tectonic processes)</w:t>
      </w:r>
      <w:r w:rsidR="005627D9">
        <w:t>,</w:t>
      </w:r>
      <w:r>
        <w:t xml:space="preserve"> while elsewhere, only </w:t>
      </w:r>
      <w:r w:rsidR="00873D64">
        <w:t xml:space="preserve">some </w:t>
      </w:r>
      <w:r>
        <w:t xml:space="preserve">fracture porosity exists in well-indurated </w:t>
      </w:r>
      <w:r w:rsidR="00873D64">
        <w:t>sandstones</w:t>
      </w:r>
      <w:bookmarkStart w:id="271" w:name="_Hlk37772129"/>
      <w:r w:rsidRPr="00D67885">
        <w:t>.</w:t>
      </w:r>
      <w:r w:rsidR="006C0820" w:rsidRPr="00D67885">
        <w:t xml:space="preserve"> </w:t>
      </w:r>
      <w:r w:rsidR="00DF42D0" w:rsidRPr="00D67885">
        <w:t xml:space="preserve">In ‘off structure’ regions, </w:t>
      </w:r>
      <w:r w:rsidR="00873D64" w:rsidRPr="00D67885">
        <w:t>whil</w:t>
      </w:r>
      <w:r w:rsidR="007C1CF7">
        <w:t>e</w:t>
      </w:r>
      <w:r w:rsidR="00873D64" w:rsidRPr="00D67885">
        <w:t xml:space="preserve"> more competent cemented sandstones may have some fracture porosity, </w:t>
      </w:r>
      <w:r w:rsidR="00DF42D0" w:rsidRPr="00D67885">
        <w:t xml:space="preserve">both </w:t>
      </w:r>
      <w:r w:rsidR="00AA3A52" w:rsidRPr="00D67885">
        <w:t xml:space="preserve">sandstones and finer grained </w:t>
      </w:r>
      <w:r w:rsidR="00DF42D0" w:rsidRPr="00D67885">
        <w:t>rocks are expected to have greatly reduced permeability</w:t>
      </w:r>
      <w:r w:rsidR="00AA3A52" w:rsidRPr="00D67885">
        <w:t xml:space="preserve"> and act as aquitards</w:t>
      </w:r>
      <w:r w:rsidR="00873D64" w:rsidRPr="00D67885">
        <w:t xml:space="preserve">. </w:t>
      </w:r>
    </w:p>
    <w:bookmarkEnd w:id="271"/>
    <w:p w14:paraId="44719A1E" w14:textId="09C5388A" w:rsidR="00DF42D0" w:rsidRPr="00D67885" w:rsidRDefault="00DF42D0" w:rsidP="00AA3A52">
      <w:pPr>
        <w:pStyle w:val="BodyText"/>
      </w:pPr>
      <w:r w:rsidRPr="00D67885">
        <w:t>The coarser</w:t>
      </w:r>
      <w:r w:rsidR="00177C42">
        <w:t xml:space="preserve"> </w:t>
      </w:r>
      <w:r w:rsidRPr="00D67885">
        <w:t xml:space="preserve">grained units of the Roper Group initially had high porosity and permeability but </w:t>
      </w:r>
      <w:r w:rsidR="00AA3A52" w:rsidRPr="00D67885">
        <w:t xml:space="preserve">as part of their geological history </w:t>
      </w:r>
      <w:r w:rsidRPr="00D67885">
        <w:t>were subject to diagenetic effects with burial</w:t>
      </w:r>
      <w:r w:rsidR="00177C42">
        <w:rPr>
          <w:rFonts w:cs="Calibri"/>
        </w:rPr>
        <w:t>–</w:t>
      </w:r>
      <w:r w:rsidRPr="00D67885">
        <w:t xml:space="preserve">compaction, pressure solution and authigenic cementation. They were then subject to hydraulic and tectonic fracturing after their embrittlement through induration. Observations have been made by several authors </w:t>
      </w:r>
      <w:r w:rsidRPr="00D67885">
        <w:fldChar w:fldCharType="begin"/>
      </w:r>
      <w:r w:rsidR="00F76E0D">
        <w:instrText xml:space="preserve"> ADDIN EN.CITE &lt;EndNote&gt;&lt;Cite&gt;&lt;Author&gt;Silverman&lt;/Author&gt;&lt;Year&gt;2007&lt;/Year&gt;&lt;RecNum&gt;674&lt;/RecNum&gt;&lt;DisplayText&gt;(Silverman et al., 2007)&lt;/DisplayText&gt;&lt;record&gt;&lt;rec-number&gt;674&lt;/rec-number&gt;&lt;foreign-keys&gt;&lt;key app="EN" db-id="wdf9tzzdhw2saee559kv0vezt0wfsta0zedv" timestamp="1545264432"&gt;674&lt;/key&gt;&lt;key app="ENWeb" db-id=""&gt;0&lt;/key&gt;&lt;/foreign-keys&gt;&lt;ref-type name="Conference Paper"&gt;47&lt;/ref-type&gt;&lt;contributors&gt;&lt;authors&gt;&lt;author&gt;Silverman, M. R.&lt;/author&gt;&lt;author&gt;Landon, S. M.&lt;/author&gt;&lt;author&gt;Leaver, J. S.&lt;/author&gt;&lt;author&gt;Mather, T. J.&lt;/author&gt;&lt;author&gt;Berg, E.&lt;/author&gt;&lt;/authors&gt;&lt;/contributors&gt;&lt;titles&gt;&lt;title&gt;No fuel like an old fuel: proterozoic oil and gas potential in the Beetaloo Basin, Northern Territory, Australia&lt;/title&gt;&lt;secondary-title&gt;Proceedings of the Central Australian Basins Symposium (CABS), Northern Territory Geological Survey (NTGS) Special Publication 2&lt;/secondary-title&gt;&lt;/titles&gt;&lt;pages&gt;205–215&lt;/pages&gt;&lt;volume&gt;2&lt;/volume&gt;&lt;keywords&gt;&lt;keyword&gt;Northern Territory&lt;/keyword&gt;&lt;keyword&gt;Beetaloo Basin&lt;/keyword&gt;&lt;keyword&gt;Velkerri Formation&lt;/keyword&gt;&lt;keyword&gt;Kyalla Formation&lt;/keyword&gt;&lt;keyword&gt;Jamison Sandstone&lt;/keyword&gt;&lt;keyword&gt;Moroak Sandstone&lt;/keyword&gt;&lt;keyword&gt;Proterozoic&lt;/keyword&gt;&lt;keyword&gt;Hydrocarbons&lt;/keyword&gt;&lt;keyword&gt;Petroleum potential&lt;/keyword&gt;&lt;keyword&gt;Petroleum exploration&lt;/keyword&gt;&lt;keyword&gt;Petroleum geology&lt;/keyword&gt;&lt;keyword&gt;Beetaloo Sub-basin&lt;/keyword&gt;&lt;/keywords&gt;&lt;dates&gt;&lt;year&gt;2007&lt;/year&gt;&lt;pub-dates&gt;&lt;date&gt;16-18 August 2005&lt;/date&gt;&lt;/pub-dates&gt;&lt;/dates&gt;&lt;pub-location&gt;Alice Springs, Northern Territory&lt;/pub-location&gt;&lt;urls&gt;&lt;/urls&gt;&lt;/record&gt;&lt;/Cite&gt;&lt;/EndNote&gt;</w:instrText>
      </w:r>
      <w:r w:rsidRPr="00D67885">
        <w:fldChar w:fldCharType="separate"/>
      </w:r>
      <w:r w:rsidRPr="00D67885">
        <w:rPr>
          <w:noProof/>
        </w:rPr>
        <w:t>(Silverman et al., 2007)</w:t>
      </w:r>
      <w:r w:rsidRPr="00D67885">
        <w:fldChar w:fldCharType="end"/>
      </w:r>
      <w:r w:rsidRPr="00D67885">
        <w:t xml:space="preserve"> that ‘on structure’, where earlier hydrocarbon migration and entrapment had occurred through buoyancy-driven conventional accumulation, some porosity and permeability had been preserved. So structurally high regions may retain better potential for connectivity, while the more indurated </w:t>
      </w:r>
      <w:r w:rsidR="001A637E">
        <w:t>‘</w:t>
      </w:r>
      <w:r w:rsidRPr="00D67885">
        <w:t>off structure</w:t>
      </w:r>
      <w:r w:rsidR="001A637E">
        <w:t>’</w:t>
      </w:r>
      <w:r w:rsidRPr="00D67885">
        <w:t xml:space="preserve"> regions may have a </w:t>
      </w:r>
      <w:r w:rsidRPr="00D67885" w:rsidDel="003D4024">
        <w:t>much</w:t>
      </w:r>
      <w:r w:rsidRPr="00D67885">
        <w:t>-reduced porosity and permeability, available only through fracturing and jointing of brittle cemented rocks.</w:t>
      </w:r>
    </w:p>
    <w:p w14:paraId="133A7EAF" w14:textId="37A7474C" w:rsidR="002F4975" w:rsidRDefault="002F4975" w:rsidP="002F4975">
      <w:pPr>
        <w:pStyle w:val="Heading6notnumbered"/>
      </w:pPr>
      <w:r>
        <w:t xml:space="preserve">Collara </w:t>
      </w:r>
      <w:r w:rsidR="009338F9">
        <w:t>S</w:t>
      </w:r>
      <w:r>
        <w:t>ubgroup</w:t>
      </w:r>
    </w:p>
    <w:p w14:paraId="461ABEAA" w14:textId="019464AB" w:rsidR="002F4975" w:rsidRDefault="002F4975" w:rsidP="002F4975">
      <w:r>
        <w:t>Little drilling information is available for the Collara Subgroup in the Beetaloo GBA region as it is deeply buried and has not been the primary target for petroleum exploration.</w:t>
      </w:r>
      <w:r w:rsidR="00873D64">
        <w:t xml:space="preserve"> </w:t>
      </w:r>
      <w:r>
        <w:t xml:space="preserve">In the Collara </w:t>
      </w:r>
      <w:r w:rsidR="009338F9">
        <w:t>S</w:t>
      </w:r>
      <w:r>
        <w:t>ubg</w:t>
      </w:r>
      <w:r w:rsidR="007805B6">
        <w:t>roup, coarse clastic formations include the</w:t>
      </w:r>
      <w:r>
        <w:t xml:space="preserve"> Phelp</w:t>
      </w:r>
      <w:r w:rsidR="001749F0">
        <w:t>,</w:t>
      </w:r>
      <w:r>
        <w:t xml:space="preserve"> Limmen, Arnold and Hodgson </w:t>
      </w:r>
      <w:r w:rsidR="001749F0">
        <w:t>s</w:t>
      </w:r>
      <w:r>
        <w:t>andstones</w:t>
      </w:r>
      <w:r w:rsidR="00873D64">
        <w:t xml:space="preserve"> (see </w:t>
      </w:r>
      <w:r w:rsidR="00873D64">
        <w:fldChar w:fldCharType="begin"/>
      </w:r>
      <w:r w:rsidR="00873D64">
        <w:instrText xml:space="preserve"> REF _Ref535407260 \h </w:instrText>
      </w:r>
      <w:r w:rsidR="00873D64">
        <w:fldChar w:fldCharType="separate"/>
      </w:r>
      <w:r w:rsidR="00B177F5">
        <w:t xml:space="preserve">Figure </w:t>
      </w:r>
      <w:r w:rsidR="00B177F5">
        <w:rPr>
          <w:noProof/>
        </w:rPr>
        <w:t>4</w:t>
      </w:r>
      <w:r w:rsidR="00873D64">
        <w:fldChar w:fldCharType="end"/>
      </w:r>
      <w:r w:rsidR="00873D64">
        <w:t>).</w:t>
      </w:r>
      <w:r>
        <w:t xml:space="preserve"> </w:t>
      </w:r>
      <w:r w:rsidR="00873D64">
        <w:t>Outside the Beetaloo GBA region</w:t>
      </w:r>
      <w:r w:rsidR="00F97DC0">
        <w:t>,</w:t>
      </w:r>
      <w:r w:rsidR="00873D64">
        <w:t xml:space="preserve"> </w:t>
      </w:r>
      <w:r w:rsidR="00F97DC0">
        <w:t>t</w:t>
      </w:r>
      <w:r>
        <w:t>he Abner Sandstone is the equivalent of the Arnold Sandstone-Jalboi Formation-Hodgson Sandstone sequence</w:t>
      </w:r>
      <w:r w:rsidR="007805B6">
        <w:t xml:space="preserve"> </w:t>
      </w:r>
      <w:r w:rsidR="00873D64">
        <w:t xml:space="preserve">found </w:t>
      </w:r>
      <w:r w:rsidR="007805B6">
        <w:t xml:space="preserve">within the Beetaloo GBA </w:t>
      </w:r>
      <w:r w:rsidR="00873D64">
        <w:t xml:space="preserve">region. </w:t>
      </w:r>
      <w:r w:rsidR="00F97DC0">
        <w:t>The</w:t>
      </w:r>
      <w:r w:rsidR="00873D64">
        <w:t xml:space="preserve"> Abner Sandstone is used as a local aquifer outside the Beetaloo GBA region</w:t>
      </w:r>
      <w:r>
        <w:t xml:space="preserve">. </w:t>
      </w:r>
    </w:p>
    <w:p w14:paraId="0B11575A" w14:textId="0376B0B9" w:rsidR="002F4975" w:rsidRDefault="0085577D" w:rsidP="002F4975">
      <w:r>
        <w:t>Fine-</w:t>
      </w:r>
      <w:r w:rsidR="002F4975">
        <w:t xml:space="preserve">grained clastic rocks in the Collara </w:t>
      </w:r>
      <w:r w:rsidR="009338F9">
        <w:t>S</w:t>
      </w:r>
      <w:r w:rsidR="002F4975">
        <w:t>ubgroup include: Mantangula, Mainoru and Jalboi forma</w:t>
      </w:r>
      <w:r w:rsidR="00873D64">
        <w:t xml:space="preserve">tions. </w:t>
      </w:r>
      <w:r w:rsidR="00F97DC0">
        <w:t>Whil</w:t>
      </w:r>
      <w:r w:rsidR="007C1CF7">
        <w:t>e</w:t>
      </w:r>
      <w:r w:rsidR="00F97DC0">
        <w:t xml:space="preserve"> there is no information, their litho</w:t>
      </w:r>
      <w:r w:rsidR="002E6955">
        <w:t>lo</w:t>
      </w:r>
      <w:r w:rsidR="00F97DC0">
        <w:t>gy suggests that they are likely to be</w:t>
      </w:r>
      <w:r w:rsidR="002F4975">
        <w:t xml:space="preserve"> regional aquitards. </w:t>
      </w:r>
    </w:p>
    <w:p w14:paraId="3350D822" w14:textId="47F93793" w:rsidR="002F4975" w:rsidRDefault="002F4975" w:rsidP="002F4975">
      <w:pPr>
        <w:pStyle w:val="Heading6notnumbered"/>
      </w:pPr>
      <w:r>
        <w:t xml:space="preserve">Maiwok </w:t>
      </w:r>
      <w:r w:rsidR="009338F9">
        <w:t>S</w:t>
      </w:r>
      <w:r>
        <w:t>ubgroup</w:t>
      </w:r>
    </w:p>
    <w:p w14:paraId="3DAD1D82" w14:textId="7F53973A" w:rsidR="002F4975" w:rsidRDefault="002F4975" w:rsidP="002F4975">
      <w:r>
        <w:t>The Bessie Creek and</w:t>
      </w:r>
      <w:r w:rsidR="006A5CE2">
        <w:t xml:space="preserve"> Moroak sandstones are </w:t>
      </w:r>
      <w:r w:rsidR="00873D64">
        <w:t xml:space="preserve">nominally </w:t>
      </w:r>
      <w:r w:rsidR="005C62B0">
        <w:t xml:space="preserve">classed </w:t>
      </w:r>
      <w:r w:rsidR="00E85B06">
        <w:t xml:space="preserve">as </w:t>
      </w:r>
      <w:r w:rsidR="006C0820">
        <w:t>partial</w:t>
      </w:r>
      <w:r w:rsidR="00E85B06">
        <w:t xml:space="preserve"> </w:t>
      </w:r>
      <w:r>
        <w:t>aquifers (</w:t>
      </w:r>
      <w:r>
        <w:fldChar w:fldCharType="begin"/>
      </w:r>
      <w:r>
        <w:instrText xml:space="preserve"> REF _Ref535407260 \h </w:instrText>
      </w:r>
      <w:r>
        <w:fldChar w:fldCharType="separate"/>
      </w:r>
      <w:r w:rsidR="00B177F5">
        <w:t xml:space="preserve">Figure </w:t>
      </w:r>
      <w:r w:rsidR="00B177F5">
        <w:rPr>
          <w:noProof/>
        </w:rPr>
        <w:t>4</w:t>
      </w:r>
      <w:r>
        <w:fldChar w:fldCharType="end"/>
      </w:r>
      <w:r>
        <w:t>)</w:t>
      </w:r>
      <w:r w:rsidR="00E85B06">
        <w:t>,</w:t>
      </w:r>
      <w:r w:rsidR="005C62B0">
        <w:t xml:space="preserve"> as they are sandstone dominated</w:t>
      </w:r>
      <w:r>
        <w:t xml:space="preserve">. </w:t>
      </w:r>
      <w:r w:rsidR="00CE05BA">
        <w:t>To date, t</w:t>
      </w:r>
      <w:r>
        <w:t xml:space="preserve">he Bessie Creek Sandstone is the deepest unit intersected by </w:t>
      </w:r>
      <w:r w:rsidR="00CE05BA">
        <w:t xml:space="preserve">petroleum </w:t>
      </w:r>
      <w:r>
        <w:t>exploration drilling within the Beetaloo Sub-basin</w:t>
      </w:r>
      <w:r w:rsidR="001749F0">
        <w:t>,</w:t>
      </w:r>
      <w:r w:rsidR="00CE05BA">
        <w:t xml:space="preserve"> however, </w:t>
      </w:r>
      <w:r>
        <w:t>only along the northern margins</w:t>
      </w:r>
      <w:r w:rsidR="00CE05BA">
        <w:t xml:space="preserve"> of the basin</w:t>
      </w:r>
      <w:r>
        <w:t xml:space="preserve">, with known thickness ranging from 60 m </w:t>
      </w:r>
      <w:r w:rsidR="00F361BD">
        <w:t>in Sever-1 to 417 m in Altree-2</w:t>
      </w:r>
      <w:r>
        <w:t xml:space="preserve"> </w:t>
      </w:r>
      <w:r w:rsidR="00873D64">
        <w:t xml:space="preserve">(see </w:t>
      </w:r>
      <w:r w:rsidR="00873D64">
        <w:fldChar w:fldCharType="begin"/>
      </w:r>
      <w:r w:rsidR="00873D64">
        <w:instrText xml:space="preserve"> REF _Ref21090047 \h </w:instrText>
      </w:r>
      <w:r w:rsidR="00873D64">
        <w:fldChar w:fldCharType="separate"/>
      </w:r>
      <w:r w:rsidR="00B177F5">
        <w:t xml:space="preserve">Figure </w:t>
      </w:r>
      <w:r w:rsidR="00B177F5">
        <w:rPr>
          <w:noProof/>
        </w:rPr>
        <w:t>5</w:t>
      </w:r>
      <w:r w:rsidR="00873D64">
        <w:fldChar w:fldCharType="end"/>
      </w:r>
      <w:r w:rsidR="00873D64">
        <w:t xml:space="preserve"> for well locations)</w:t>
      </w:r>
      <w:r w:rsidR="00CE05BA">
        <w:t>.</w:t>
      </w:r>
      <w:r w:rsidR="00873D64">
        <w:t xml:space="preserve"> </w:t>
      </w:r>
      <w:r>
        <w:t>The Bessie Creek Sandstone outcrops just outside this north</w:t>
      </w:r>
      <w:r w:rsidR="009338F9">
        <w:t>-</w:t>
      </w:r>
      <w:r>
        <w:t>eastern margin of the</w:t>
      </w:r>
      <w:r w:rsidR="00CE05BA">
        <w:t xml:space="preserve"> Beetaloo Sub</w:t>
      </w:r>
      <w:r w:rsidR="007C1CF7">
        <w:t>-</w:t>
      </w:r>
      <w:r w:rsidR="00CE05BA">
        <w:t>basin and</w:t>
      </w:r>
      <w:r>
        <w:t xml:space="preserve"> </w:t>
      </w:r>
      <w:r w:rsidR="00CE05BA">
        <w:t>s</w:t>
      </w:r>
      <w:r>
        <w:t xml:space="preserve">eismic imagery indicates it has </w:t>
      </w:r>
      <w:r w:rsidR="0085577D">
        <w:t xml:space="preserve">a </w:t>
      </w:r>
      <w:r>
        <w:t xml:space="preserve">basin-wide extent. The Bessie Creek Sandstone consists of fine to coarse quartz sandstone and rare clasts of mudstone, in massive to planar beds that are cross-bedded and in thin beds. The sandstone is mineralogically and texturally mature. Visible compaction, pressure solution and joint fracturing are evident. Original porosity has been </w:t>
      </w:r>
      <w:r w:rsidR="006C0820">
        <w:t>destroyed largely</w:t>
      </w:r>
      <w:r>
        <w:t xml:space="preserve"> by silica, chlorite and authigenic clay cements </w:t>
      </w:r>
      <w:r w:rsidR="00A541ED">
        <w:fldChar w:fldCharType="begin">
          <w:fldData xml:space="preserve">PEVuZE5vdGU+PENpdGU+PEF1dGhvcj5TaWx2ZXJtYW48L0F1dGhvcj48WWVhcj4yMDA3PC9ZZWFy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</w:fldData>
        </w:fldChar>
      </w:r>
      <w:r w:rsidR="00F76E0D">
        <w:instrText xml:space="preserve"> ADDIN EN.CITE </w:instrText>
      </w:r>
      <w:r w:rsidR="00F76E0D">
        <w:fldChar w:fldCharType="begin">
          <w:fldData xml:space="preserve">PEVuZE5vdGU+PENpdGU+PEF1dGhvcj5TaWx2ZXJtYW48L0F1dGhvcj48WWVhcj4yMDA3PC9ZZWFy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</w:fldData>
        </w:fldChar>
      </w:r>
      <w:r w:rsidR="00F76E0D">
        <w:instrText xml:space="preserve"> ADDIN EN.CITE.DATA </w:instrText>
      </w:r>
      <w:r w:rsidR="00F76E0D">
        <w:fldChar w:fldCharType="end"/>
      </w:r>
      <w:r w:rsidR="00A541ED">
        <w:fldChar w:fldCharType="separate"/>
      </w:r>
      <w:r w:rsidR="00A541ED">
        <w:rPr>
          <w:noProof/>
        </w:rPr>
        <w:t>(Silverman et al., 2007; Lanigan et al., 1994)</w:t>
      </w:r>
      <w:r w:rsidR="00A541ED">
        <w:fldChar w:fldCharType="end"/>
      </w:r>
      <w:r>
        <w:t>. ‘On structure’, good porosity and permeability appear to have been preserved</w:t>
      </w:r>
      <w:r w:rsidR="00E85B06">
        <w:t>,</w:t>
      </w:r>
      <w:r>
        <w:t xml:space="preserve"> while elsewhere</w:t>
      </w:r>
      <w:r w:rsidR="00E85B06">
        <w:t>,</w:t>
      </w:r>
      <w:r>
        <w:t xml:space="preserve"> only fracture porosity exists in well-indurated rocks. Compaction and pressure solution effects have detrimentally affected reservoir properties at greater burial depths.</w:t>
      </w:r>
    </w:p>
    <w:p w14:paraId="3551C68A" w14:textId="71B616CB" w:rsidR="002F4975" w:rsidRDefault="002F4975" w:rsidP="002F4975">
      <w:r>
        <w:t xml:space="preserve">The Moroak Sandstone </w:t>
      </w:r>
      <w:r w:rsidR="00FE4010">
        <w:t xml:space="preserve">(for distribution see </w:t>
      </w:r>
      <w:r w:rsidR="00EE0AFD">
        <w:fldChar w:fldCharType="begin"/>
      </w:r>
      <w:r w:rsidR="00EE0AFD">
        <w:instrText xml:space="preserve"> REF _Ref535418897 \h </w:instrText>
      </w:r>
      <w:r w:rsidR="00EE0AFD">
        <w:fldChar w:fldCharType="separate"/>
      </w:r>
      <w:r w:rsidR="00B177F5">
        <w:t xml:space="preserve">Figure </w:t>
      </w:r>
      <w:r w:rsidR="00B177F5">
        <w:rPr>
          <w:noProof/>
        </w:rPr>
        <w:t>13</w:t>
      </w:r>
      <w:r w:rsidR="00EE0AFD">
        <w:fldChar w:fldCharType="end"/>
      </w:r>
      <w:r w:rsidR="00EE0AFD">
        <w:t xml:space="preserve"> or </w:t>
      </w:r>
      <w:r w:rsidR="00A541ED">
        <w:fldChar w:fldCharType="begin"/>
      </w:r>
      <w:r w:rsidR="00F76E0D">
        <w:instrText xml:space="preserve"> ADDIN EN.CITE &lt;EndNote&gt;&lt;Cite AuthorYear="1"&gt;&lt;Author&gt;Orr&lt;/Author&gt;&lt;Year&gt;2020&lt;/Year&gt;&lt;RecNum&gt;797&lt;/RecNum&gt;&lt;DisplayText&gt;Orr et al. (2020)&lt;/DisplayText&gt;&lt;record&gt;&lt;rec-number&gt;797&lt;/rec-number&gt;&lt;foreign-keys&gt;&lt;key app="EN" db-id="wdf9tzzdhw2saee559kv0vezt0wfsta0zedv" timestamp="1552607511"&gt;797&lt;/key&gt;&lt;/foreign-keys&gt;&lt;ref-type name="Report"&gt;27&lt;/ref-type&gt;&lt;contributors&gt;&lt;authors&gt;&lt;author&gt;Orr, M.L.,&lt;/author&gt;&lt;author&gt;Bernardel, G.,&lt;/author&gt;&lt;author&gt;Owens, R.,&lt;/author&gt;&lt;author&gt;Hall,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A541ED">
        <w:fldChar w:fldCharType="separate"/>
      </w:r>
      <w:r w:rsidR="006456ED">
        <w:rPr>
          <w:noProof/>
        </w:rPr>
        <w:t>Orr et al. (2020)</w:t>
      </w:r>
      <w:r w:rsidR="00A541ED">
        <w:fldChar w:fldCharType="end"/>
      </w:r>
      <w:r w:rsidR="00D8570D">
        <w:t>)</w:t>
      </w:r>
      <w:r w:rsidR="00FE4010">
        <w:t xml:space="preserve"> </w:t>
      </w:r>
      <w:r>
        <w:t>comprises a sequence of</w:t>
      </w:r>
      <w:r w:rsidR="00EF171F">
        <w:t xml:space="preserve"> medium to fine-grained sandstone quartz rich sandstones. </w:t>
      </w:r>
      <w:r>
        <w:t xml:space="preserve">The formation displays characteristic fracturing which contributes to permeability of the indurated sandstone </w:t>
      </w:r>
      <w:r w:rsidR="00A541ED">
        <w:fldChar w:fldCharType="begin"/>
      </w:r>
      <w:r w:rsidR="00F76E0D">
        <w:instrText xml:space="preserve"> ADDIN EN.CITE &lt;EndNote&gt;&lt;Cite&gt;&lt;Author&gt;Silverman&lt;/Author&gt;&lt;Year&gt;2007&lt;/Year&gt;&lt;RecNum&gt;674&lt;/RecNum&gt;&lt;DisplayText&gt;(Silverman et al., 2007)&lt;/DisplayText&gt;&lt;record&gt;&lt;rec-number&gt;674&lt;/rec-number&gt;&lt;foreign-keys&gt;&lt;key app="EN" db-id="wdf9tzzdhw2saee559kv0vezt0wfsta0zedv" timestamp="1545264432"&gt;674&lt;/key&gt;&lt;key app="ENWeb" db-id=""&gt;0&lt;/key&gt;&lt;/foreign-keys&gt;&lt;ref-type name="Conference Paper"&gt;47&lt;/ref-type&gt;&lt;contributors&gt;&lt;authors&gt;&lt;author&gt;Silverman, M. R.&lt;/author&gt;&lt;author&gt;Landon, S. M.&lt;/author&gt;&lt;author&gt;Leaver, J. S.&lt;/author&gt;&lt;author&gt;Mather, T. J.&lt;/author&gt;&lt;author&gt;Berg, E.&lt;/author&gt;&lt;/authors&gt;&lt;/contributors&gt;&lt;titles&gt;&lt;title&gt;No fuel like an old fuel: proterozoic oil and gas potential in the Beetaloo Basin, Northern Territory, Australia&lt;/title&gt;&lt;secondary-title&gt;Proceedings of the Central Australian Basins Symposium (CABS), Northern Territory Geological Survey (NTGS) Special Publication 2&lt;/secondary-title&gt;&lt;/titles&gt;&lt;pages&gt;205–215&lt;/pages&gt;&lt;volume&gt;2&lt;/volume&gt;&lt;keywords&gt;&lt;keyword&gt;Northern Territory&lt;/keyword&gt;&lt;keyword&gt;Beetaloo Basin&lt;/keyword&gt;&lt;keyword&gt;Velkerri Formation&lt;/keyword&gt;&lt;keyword&gt;Kyalla Formation&lt;/keyword&gt;&lt;keyword&gt;Jamison Sandstone&lt;/keyword&gt;&lt;keyword&gt;Moroak Sandstone&lt;/keyword&gt;&lt;keyword&gt;Proterozoic&lt;/keyword&gt;&lt;keyword&gt;Hydrocarbons&lt;/keyword&gt;&lt;keyword&gt;Petroleum potential&lt;/keyword&gt;&lt;keyword&gt;Petroleum exploration&lt;/keyword&gt;&lt;keyword&gt;Petroleum geology&lt;/keyword&gt;&lt;keyword&gt;Beetaloo Sub-basin&lt;/keyword&gt;&lt;/keywords&gt;&lt;dates&gt;&lt;year&gt;2007&lt;/year&gt;&lt;pub-dates&gt;&lt;date&gt;16-18 August 2005&lt;/date&gt;&lt;/pub-dates&gt;&lt;/dates&gt;&lt;pub-location&gt;Alice Springs, Northern Territory&lt;/pub-location&gt;&lt;urls&gt;&lt;/urls&gt;&lt;/record&gt;&lt;/Cite&gt;&lt;/EndNote&gt;</w:instrText>
      </w:r>
      <w:r w:rsidR="00A541ED">
        <w:fldChar w:fldCharType="separate"/>
      </w:r>
      <w:r w:rsidR="00A541ED">
        <w:rPr>
          <w:noProof/>
        </w:rPr>
        <w:t>(Silverman et al., 2007)</w:t>
      </w:r>
      <w:r w:rsidR="00A541ED">
        <w:fldChar w:fldCharType="end"/>
      </w:r>
      <w:r>
        <w:t xml:space="preserve">. </w:t>
      </w:r>
      <w:r w:rsidR="00EF171F">
        <w:t>Porosity and permeability are predominantly secondary, derived mainly from fracturing. A region of higher permeability is considered to exist ‘on structure’ over the Arnold High in the east of the eastern</w:t>
      </w:r>
      <w:r w:rsidR="00A27EBF">
        <w:t xml:space="preserve"> sub-basin where core porosity</w:t>
      </w:r>
      <w:r w:rsidR="00EF171F">
        <w:t xml:space="preserve"> generally</w:t>
      </w:r>
      <w:r w:rsidR="00A27EBF">
        <w:t xml:space="preserve"> range</w:t>
      </w:r>
      <w:r w:rsidR="001749F0">
        <w:t>s</w:t>
      </w:r>
      <w:r w:rsidR="00A27EBF">
        <w:t xml:space="preserve"> from 6</w:t>
      </w:r>
      <w:r w:rsidR="001749F0">
        <w:t xml:space="preserve">% to </w:t>
      </w:r>
      <w:r w:rsidR="00A27EBF">
        <w:t>15%,</w:t>
      </w:r>
      <w:r w:rsidR="00EF171F">
        <w:t xml:space="preserve"> occasionally reach</w:t>
      </w:r>
      <w:r w:rsidR="001749F0">
        <w:t>ing</w:t>
      </w:r>
      <w:r w:rsidR="00EF171F">
        <w:t xml:space="preserve"> 19% at depths near 700 m. In Elliott-1, the unit has 57.9 m of sandstone at &gt;10% (average 13.4%) porosity </w:t>
      </w:r>
      <w:r w:rsidR="00EF171F">
        <w:fldChar w:fldCharType="begin"/>
      </w:r>
      <w:r w:rsidR="00F76E0D">
        <w:instrText xml:space="preserve"> ADDIN EN.CITE &lt;EndNote&gt;&lt;Cite&gt;&lt;Author&gt;RobSearch&lt;/Author&gt;&lt;Year&gt;1997&lt;/Year&gt;&lt;RecNum&gt;699&lt;/RecNum&gt;&lt;DisplayText&gt;(RobSearch, 1997)&lt;/DisplayText&gt;&lt;record&gt;&lt;rec-number&gt;699&lt;/rec-number&gt;&lt;foreign-keys&gt;&lt;key app="EN" db-id="wdf9tzzdhw2saee559kv0vezt0wfsta0zedv" timestamp="1545264526"&gt;699&lt;/key&gt;&lt;/foreign-keys&gt;&lt;ref-type name="Report"&gt;27&lt;/ref-type&gt;&lt;contributors&gt;&lt;authors&gt;&lt;author&gt;RobSearch&lt;/author&gt;&lt;/authors&gt;&lt;/contributors&gt;&lt;titles&gt;&lt;title&gt;Technical review of EP 18 and EP(A) 70, Beetaloo Basin, Northern Territory, Australia, prepared for Mataranks Oil NL. Robsearch Project No. 3972.&lt;/title&gt;&lt;/titles&gt;&lt;dates&gt;&lt;year&gt;1997&lt;/year&gt;&lt;/dates&gt;&lt;isbn&gt;3972&lt;/isbn&gt;&lt;urls&gt;&lt;/urls&gt;&lt;/record&gt;&lt;/Cite&gt;&lt;/EndNote&gt;</w:instrText>
      </w:r>
      <w:r w:rsidR="00EF171F">
        <w:fldChar w:fldCharType="separate"/>
      </w:r>
      <w:r w:rsidR="00EF171F">
        <w:rPr>
          <w:noProof/>
        </w:rPr>
        <w:t>(RobSearch, 1997)</w:t>
      </w:r>
      <w:r w:rsidR="00EF171F">
        <w:fldChar w:fldCharType="end"/>
      </w:r>
      <w:r w:rsidR="00EF171F">
        <w:t>.</w:t>
      </w:r>
    </w:p>
    <w:p w14:paraId="1D3A6C75" w14:textId="3161EC33" w:rsidR="002F4975" w:rsidRDefault="5B3F5A9C" w:rsidP="002F4975">
      <w:r>
        <w:t xml:space="preserve">The extent and thickness of the Moroak Sandstone is documented in </w:t>
      </w:r>
      <w:r w:rsidR="00A541ED">
        <w:fldChar w:fldCharType="begin"/>
      </w:r>
      <w:r w:rsidR="00F76E0D">
        <w:instrText xml:space="preserve"> ADDIN EN.CITE &lt;EndNote&gt;&lt;Cite AuthorYear="1"&gt;&lt;Author&gt;Silverman&lt;/Author&gt;&lt;Year&gt;2011&lt;/Year&gt;&lt;RecNum&gt;670&lt;/RecNum&gt;&lt;DisplayText&gt;Silverman and Ahlbrandt (2011)&lt;/DisplayText&gt;&lt;record&gt;&lt;rec-number&gt;670&lt;/rec-number&gt;&lt;foreign-keys&gt;&lt;key app="EN" db-id="wdf9tzzdhw2saee559kv0vezt0wfsta0zedv" timestamp="1545264400"&gt;670&lt;/key&gt;&lt;key app="ENWeb" db-id=""&gt;0&lt;/key&gt;&lt;/foreign-keys&gt;&lt;ref-type name="Conference Paper"&gt;47&lt;/ref-type&gt;&lt;contributors&gt;&lt;authors&gt;&lt;author&gt;Silverman, Matthew R.&lt;/author&gt;&lt;author&gt;Ahlbrandt, Thomas&lt;/author&gt;&lt;/authors&gt;&lt;/contributors&gt;&lt;titles&gt;&lt;title&gt;Mesoproterozoic unconventional plays in the Beetaloo Basin, Australia: the world’s oldest petroleum systems&lt;/title&gt;&lt;secondary-title&gt;AAPG International Conference and Exhibition &lt;/secondary-title&gt;&lt;/titles&gt;&lt;dates&gt;&lt;year&gt;2011&lt;/year&gt;&lt;pub-dates&gt;&lt;date&gt;September 14, 2011&lt;/date&gt;&lt;/pub-dates&gt;&lt;/dates&gt;&lt;pub-location&gt;Calgary&lt;/pub-location&gt;&lt;urls&gt;&lt;related-urls&gt;&lt;url&gt;&lt;style face="underline" font="default" size="100%"&gt;www.searchanddiscovery.com/pdfz/documents/2011/10295silverman/ndx_silverman.pdf.html&lt;/style&gt;&lt;/url&gt;&lt;/related-urls&gt;&lt;/urls&gt;&lt;access-date&gt;12 November 2018&lt;/access-date&gt;&lt;/record&gt;&lt;/Cite&gt;&lt;/EndNote&gt;</w:instrText>
      </w:r>
      <w:r w:rsidR="00A541ED">
        <w:fldChar w:fldCharType="separate"/>
      </w:r>
      <w:r w:rsidR="00A14F55">
        <w:rPr>
          <w:noProof/>
        </w:rPr>
        <w:t>Silverman and Ahlbrandt (2011)</w:t>
      </w:r>
      <w:r w:rsidR="00A541ED">
        <w:fldChar w:fldCharType="end"/>
      </w:r>
      <w:r w:rsidR="00A11A92">
        <w:t xml:space="preserve"> and </w:t>
      </w:r>
      <w:r w:rsidR="00A11A92">
        <w:fldChar w:fldCharType="begin"/>
      </w:r>
      <w:r w:rsidR="00F76E0D">
        <w:instrText xml:space="preserve"> ADDIN EN.CITE &lt;EndNote&gt;&lt;Cite AuthorYear="1"&gt;&lt;Author&gt;Orr&lt;/Author&gt;&lt;Year&gt;2020&lt;/Year&gt;&lt;RecNum&gt;797&lt;/RecNum&gt;&lt;DisplayText&gt;Orr et al. (2020)&lt;/DisplayText&gt;&lt;record&gt;&lt;rec-number&gt;797&lt;/rec-number&gt;&lt;foreign-keys&gt;&lt;key app="EN" db-id="wdf9tzzdhw2saee559kv0vezt0wfsta0zedv" timestamp="1552607511"&gt;797&lt;/key&gt;&lt;/foreign-keys&gt;&lt;ref-type name="Report"&gt;27&lt;/ref-type&gt;&lt;contributors&gt;&lt;authors&gt;&lt;author&gt;Orr, M.L.,&lt;/author&gt;&lt;author&gt;Bernardel, G.,&lt;/author&gt;&lt;author&gt;Owens, R.,&lt;/author&gt;&lt;author&gt;Hall,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A11A92">
        <w:fldChar w:fldCharType="separate"/>
      </w:r>
      <w:r w:rsidR="006456ED">
        <w:rPr>
          <w:noProof/>
        </w:rPr>
        <w:t>Orr et al. (2020)</w:t>
      </w:r>
      <w:r w:rsidR="00A11A92">
        <w:fldChar w:fldCharType="end"/>
      </w:r>
      <w:r>
        <w:t xml:space="preserve">. </w:t>
      </w:r>
      <w:r w:rsidR="00A27EBF">
        <w:t>It outcrops to the north</w:t>
      </w:r>
      <w:r w:rsidR="001749F0">
        <w:t>-</w:t>
      </w:r>
      <w:r w:rsidR="00A27EBF">
        <w:t xml:space="preserve">east of the Beetaloo GBA region. </w:t>
      </w:r>
      <w:r>
        <w:t>Like the underlying Velkerri Formation, the Moroak Sandstone is eroded on the southern margin on the Helen Springs High</w:t>
      </w:r>
      <w:r w:rsidR="006D016E">
        <w:t>,</w:t>
      </w:r>
      <w:r>
        <w:t xml:space="preserve"> where it is unconformably overlain by the </w:t>
      </w:r>
      <w:r w:rsidR="00D631A3">
        <w:t>Jamison sandstone</w:t>
      </w:r>
      <w:r>
        <w:t>. Elsewhere, the Moroak Sandstone is conformably overlain by the Kyalla Formation.</w:t>
      </w:r>
    </w:p>
    <w:p w14:paraId="1EAC7A44" w14:textId="7CF0836D" w:rsidR="002F4975" w:rsidRDefault="002F4975" w:rsidP="002F4975">
      <w:r>
        <w:t xml:space="preserve">The Velkerri and Kyalla formations </w:t>
      </w:r>
      <w:r w:rsidR="00D832F7">
        <w:t xml:space="preserve">are </w:t>
      </w:r>
      <w:r>
        <w:t>regional aquitards (</w:t>
      </w:r>
      <w:r>
        <w:fldChar w:fldCharType="begin"/>
      </w:r>
      <w:r>
        <w:instrText xml:space="preserve"> REF _Ref535407260 \h </w:instrText>
      </w:r>
      <w:r>
        <w:fldChar w:fldCharType="separate"/>
      </w:r>
      <w:r w:rsidR="00B177F5">
        <w:t xml:space="preserve">Figure </w:t>
      </w:r>
      <w:r w:rsidR="00B177F5">
        <w:rPr>
          <w:noProof/>
        </w:rPr>
        <w:t>4</w:t>
      </w:r>
      <w:r>
        <w:fldChar w:fldCharType="end"/>
      </w:r>
      <w:r>
        <w:t>). The Velkerri Formation</w:t>
      </w:r>
      <w:r w:rsidR="0048341C">
        <w:t>, one of the primary targets for unconventional gas exploration,</w:t>
      </w:r>
      <w:r w:rsidR="00FE4010" w:rsidDel="0048341C">
        <w:t xml:space="preserve"> </w:t>
      </w:r>
      <w:r>
        <w:t>is a thick upward-coarsening shale succession</w:t>
      </w:r>
      <w:r w:rsidRPr="00261DFC">
        <w:t xml:space="preserve"> </w:t>
      </w:r>
      <w:r w:rsidR="0048341C">
        <w:t xml:space="preserve">(for distribution see Section 4.3.1.2 in </w:t>
      </w:r>
      <w:r w:rsidR="00A541ED">
        <w:fldChar w:fldCharType="begin"/>
      </w:r>
      <w:r w:rsidR="00F76E0D">
        <w:instrText xml:space="preserve"> ADDIN EN.CITE &lt;EndNote&gt;&lt;Cite AuthorYear="1"&gt;&lt;Author&gt;Orr&lt;/Author&gt;&lt;Year&gt;2020&lt;/Year&gt;&lt;RecNum&gt;797&lt;/RecNum&gt;&lt;DisplayText&gt;Orr et al. (2020)&lt;/DisplayText&gt;&lt;record&gt;&lt;rec-number&gt;797&lt;/rec-number&gt;&lt;foreign-keys&gt;&lt;key app="EN" db-id="wdf9tzzdhw2saee559kv0vezt0wfsta0zedv" timestamp="1552607511"&gt;797&lt;/key&gt;&lt;/foreign-keys&gt;&lt;ref-type name="Report"&gt;27&lt;/ref-type&gt;&lt;contributors&gt;&lt;authors&gt;&lt;author&gt;Orr, M.L.,&lt;/author&gt;&lt;author&gt;Bernardel, G.,&lt;/author&gt;&lt;author&gt;Owens, R.,&lt;/author&gt;&lt;author&gt;Hall,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A541ED">
        <w:fldChar w:fldCharType="separate"/>
      </w:r>
      <w:r w:rsidR="006456ED">
        <w:rPr>
          <w:noProof/>
        </w:rPr>
        <w:t>Orr et al. (2020)</w:t>
      </w:r>
      <w:r w:rsidR="00A541ED">
        <w:fldChar w:fldCharType="end"/>
      </w:r>
      <w:r w:rsidR="0048341C">
        <w:t>)</w:t>
      </w:r>
      <w:r>
        <w:t xml:space="preserve">. It is a very thick regional aquitard with a mean porosity of 6% </w:t>
      </w:r>
      <w:r w:rsidR="00A541ED">
        <w:fldChar w:fldCharType="begin"/>
      </w:r>
      <w:r w:rsidR="008F30E0">
        <w:instrText xml:space="preserve"> ADDIN EN.CITE &lt;EndNote&gt;&lt;Cite&gt;&lt;Author&gt;Fulton&lt;/Author&gt;&lt;Year&gt;2015&lt;/Year&gt;&lt;RecNum&gt;671&lt;/RecNum&gt;&lt;DisplayText&gt;(Fulton and Knapton, 2015b)&lt;/DisplayText&gt;&lt;record&gt;&lt;rec-number&gt;671&lt;/rec-number&gt;&lt;foreign-keys&gt;&lt;key app="EN" db-id="wdf9tzzdhw2saee559kv0vezt0wfsta0zedv" timestamp="1545264407"&gt;671&lt;/key&gt;&lt;key app="ENWeb" db-id=""&gt;0&lt;/key&gt;&lt;/foreign-keys&gt;&lt;ref-type name="Report"&gt;27&lt;/ref-type&gt;&lt;contributors&gt;&lt;authors&gt;&lt;author&gt;Fulton, S.&lt;/author&gt;&lt;author&gt;Knapton, A.&lt;/author&gt;&lt;/authors&gt;&lt;/contributors&gt;&lt;titles&gt;&lt;title&gt;Beetaloo Basin hydrogeological assessment. Cloud GMS&lt;/title&gt;&lt;/titles&gt;&lt;pages&gt;70&lt;/pages&gt;&lt;dates&gt;&lt;year&gt;2015&lt;/year&gt;&lt;pub-dates&gt;&lt;date&gt;February 2015&lt;/date&gt;&lt;/pub-dates&gt;&lt;/dates&gt;&lt;publisher&gt;Origin Energy Report 1 for Fracking Enquiry NT&lt;/publisher&gt;&lt;urls&gt;&lt;related-urls&gt;&lt;url&gt;https://frackinginquiry.nt.gov.au/?a=410609&lt;/url&gt;&lt;/related-urls&gt;&lt;/urls&gt;&lt;access-date&gt;28 November 2019&lt;/access-date&gt;&lt;/record&gt;&lt;/Cite&gt;&lt;/EndNote&gt;</w:instrText>
      </w:r>
      <w:r w:rsidR="00A541ED">
        <w:fldChar w:fldCharType="separate"/>
      </w:r>
      <w:r w:rsidR="008F30E0">
        <w:rPr>
          <w:noProof/>
        </w:rPr>
        <w:t>(Fulton and Knapton, 2015b)</w:t>
      </w:r>
      <w:r w:rsidR="00A541ED">
        <w:fldChar w:fldCharType="end"/>
      </w:r>
      <w:r>
        <w:t xml:space="preserve">. In the western </w:t>
      </w:r>
      <w:r w:rsidR="00D92EAE">
        <w:t xml:space="preserve">Beetaloo </w:t>
      </w:r>
      <w:r w:rsidR="00D835D9">
        <w:t>S</w:t>
      </w:r>
      <w:r>
        <w:t xml:space="preserve">ub-basin, </w:t>
      </w:r>
      <w:r w:rsidR="00F361BD">
        <w:t>t</w:t>
      </w:r>
      <w:r w:rsidR="00D92EAE">
        <w:t xml:space="preserve">he </w:t>
      </w:r>
      <w:r w:rsidR="00F361BD">
        <w:t xml:space="preserve">Velkerri Formation is </w:t>
      </w:r>
      <w:r w:rsidR="00D92EAE">
        <w:t>732</w:t>
      </w:r>
      <w:r w:rsidR="001749F0">
        <w:t xml:space="preserve"> </w:t>
      </w:r>
      <w:r w:rsidR="00D92EAE">
        <w:t>m thick in Birdum Creek-1</w:t>
      </w:r>
      <w:r>
        <w:t xml:space="preserve">. In the eastern </w:t>
      </w:r>
      <w:r w:rsidR="001749F0">
        <w:t>Beetaloo S</w:t>
      </w:r>
      <w:r>
        <w:t>ub-basin, the thickest complete intersecti</w:t>
      </w:r>
      <w:r w:rsidR="00D92EAE">
        <w:t xml:space="preserve">on was intersected in </w:t>
      </w:r>
      <w:r>
        <w:t xml:space="preserve">Tanumbirini-1 (1483 m). Seismic sections </w:t>
      </w:r>
      <w:r w:rsidR="003E6BB8">
        <w:t xml:space="preserve">(see </w:t>
      </w:r>
      <w:r w:rsidR="00A541ED">
        <w:fldChar w:fldCharType="begin"/>
      </w:r>
      <w:r w:rsidR="00F76E0D">
        <w:instrText xml:space="preserve"> ADDIN EN.CITE &lt;EndNote&gt;&lt;Cite AuthorYear="1"&gt;&lt;Author&gt;Orr&lt;/Author&gt;&lt;Year&gt;2020&lt;/Year&gt;&lt;RecNum&gt;797&lt;/RecNum&gt;&lt;DisplayText&gt;Orr et al. (2020)&lt;/DisplayText&gt;&lt;record&gt;&lt;rec-number&gt;797&lt;/rec-number&gt;&lt;foreign-keys&gt;&lt;key app="EN" db-id="wdf9tzzdhw2saee559kv0vezt0wfsta0zedv" timestamp="1552607511"&gt;797&lt;/key&gt;&lt;/foreign-keys&gt;&lt;ref-type name="Report"&gt;27&lt;/ref-type&gt;&lt;contributors&gt;&lt;authors&gt;&lt;author&gt;Orr, M.L.,&lt;/author&gt;&lt;author&gt;Bernardel, G.,&lt;/author&gt;&lt;author&gt;Owens, R.,&lt;/author&gt;&lt;author&gt;Hall,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A541ED">
        <w:fldChar w:fldCharType="separate"/>
      </w:r>
      <w:r w:rsidR="006456ED">
        <w:rPr>
          <w:noProof/>
        </w:rPr>
        <w:t>Orr et al. (2020)</w:t>
      </w:r>
      <w:r w:rsidR="00A541ED">
        <w:fldChar w:fldCharType="end"/>
      </w:r>
      <w:r w:rsidR="003E6BB8">
        <w:t xml:space="preserve">) </w:t>
      </w:r>
      <w:r>
        <w:t xml:space="preserve">indicate the Velkerri Formation extends to the southern margin where it is eroded and unconformably overlain by the </w:t>
      </w:r>
      <w:r w:rsidR="00D631A3">
        <w:t>Jamison sandstone</w:t>
      </w:r>
      <w:r>
        <w:t xml:space="preserve">. </w:t>
      </w:r>
      <w:r w:rsidR="00D92EAE">
        <w:t xml:space="preserve">Outside the Beetaloo GBA region </w:t>
      </w:r>
      <w:r>
        <w:t>the Velkerri Formation</w:t>
      </w:r>
      <w:r w:rsidR="00D92EAE">
        <w:t xml:space="preserve"> outcrops (</w:t>
      </w:r>
      <w:r>
        <w:t xml:space="preserve">previously mapped as the Cobanbirini Formation </w:t>
      </w:r>
      <w:r w:rsidR="00A541ED">
        <w:fldChar w:fldCharType="begin"/>
      </w:r>
      <w:r w:rsidR="00F76E0D">
        <w:instrText xml:space="preserve"> ADDIN EN.CITE &lt;EndNote&gt;&lt;Cite&gt;&lt;Author&gt;Paine&lt;/Author&gt;&lt;Year&gt;1963&lt;/Year&gt;&lt;RecNum&gt;987&lt;/RecNum&gt;&lt;DisplayText&gt;(Paine, 1963)&lt;/DisplayText&gt;&lt;record&gt;&lt;rec-number&gt;987&lt;/rec-number&gt;&lt;foreign-keys&gt;&lt;key app="EN" db-id="wdf9tzzdhw2saee559kv0vezt0wfsta0zedv" timestamp="1557991360"&gt;987&lt;/key&gt;&lt;/foreign-keys&gt;&lt;ref-type name="Journal Article"&gt;17&lt;/ref-type&gt;&lt;contributors&gt;&lt;authors&gt;&lt;author&gt;Paine, AGL&lt;/author&gt;&lt;/authors&gt;&lt;/contributors&gt;&lt;titles&gt;&lt;title&gt;Tanumbirini, Northern Territory (First Edition). 1:250 000 geological map series explanatory notes, SE 53-02.&lt;/title&gt;&lt;secondary-title&gt;Bureau of Mineral Resources, Australia, Canberra.&lt;/secondary-title&gt;&lt;/titles&gt;&lt;periodical&gt;&lt;full-title&gt;Bureau of Mineral Resources, Australia, Canberra.&lt;/full-title&gt;&lt;/periodical&gt;&lt;dates&gt;&lt;year&gt;1963&lt;/year&gt;&lt;/dates&gt;&lt;urls&gt;&lt;/urls&gt;&lt;/record&gt;&lt;/Cite&gt;&lt;/EndNote&gt;</w:instrText>
      </w:r>
      <w:r w:rsidR="00A541ED">
        <w:fldChar w:fldCharType="separate"/>
      </w:r>
      <w:r w:rsidR="00A541ED">
        <w:rPr>
          <w:noProof/>
        </w:rPr>
        <w:t>(Paine, 1963)</w:t>
      </w:r>
      <w:r w:rsidR="00A541ED">
        <w:fldChar w:fldCharType="end"/>
      </w:r>
      <w:r w:rsidR="00D92EAE">
        <w:t xml:space="preserve"> and overlies</w:t>
      </w:r>
      <w:r>
        <w:t xml:space="preserve"> the Bessie Creek Sandstone.</w:t>
      </w:r>
    </w:p>
    <w:p w14:paraId="59DB47B6" w14:textId="0ABE1D70" w:rsidR="00662C72" w:rsidRDefault="002F4975" w:rsidP="00662C72">
      <w:pPr>
        <w:pStyle w:val="BodyText"/>
      </w:pPr>
      <w:r>
        <w:t xml:space="preserve">The Kyalla Formation is extensive </w:t>
      </w:r>
      <w:r w:rsidR="00FE4010">
        <w:t xml:space="preserve">(for distribution see Section 4.3.1.4 in </w:t>
      </w:r>
      <w:r w:rsidR="00A541ED">
        <w:fldChar w:fldCharType="begin"/>
      </w:r>
      <w:r w:rsidR="00F76E0D">
        <w:instrText xml:space="preserve"> ADDIN EN.CITE &lt;EndNote&gt;&lt;Cite AuthorYear="1"&gt;&lt;Author&gt;Orr&lt;/Author&gt;&lt;Year&gt;2020&lt;/Year&gt;&lt;RecNum&gt;797&lt;/RecNum&gt;&lt;DisplayText&gt;Orr et al. (2020)&lt;/DisplayText&gt;&lt;record&gt;&lt;rec-number&gt;797&lt;/rec-number&gt;&lt;foreign-keys&gt;&lt;key app="EN" db-id="wdf9tzzdhw2saee559kv0vezt0wfsta0zedv" timestamp="1552607511"&gt;797&lt;/key&gt;&lt;/foreign-keys&gt;&lt;ref-type name="Report"&gt;27&lt;/ref-type&gt;&lt;contributors&gt;&lt;authors&gt;&lt;author&gt;Orr, M.L.,&lt;/author&gt;&lt;author&gt;Bernardel, G.,&lt;/author&gt;&lt;author&gt;Owens, R.,&lt;/author&gt;&lt;author&gt;Hall,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A541ED">
        <w:fldChar w:fldCharType="separate"/>
      </w:r>
      <w:r w:rsidR="006456ED">
        <w:rPr>
          <w:noProof/>
        </w:rPr>
        <w:t>Orr et al. (2020)</w:t>
      </w:r>
      <w:r w:rsidR="00A541ED">
        <w:fldChar w:fldCharType="end"/>
      </w:r>
      <w:r w:rsidR="00FE4010">
        <w:t xml:space="preserve">) </w:t>
      </w:r>
      <w:r>
        <w:t xml:space="preserve">and can be considered regionally to be an </w:t>
      </w:r>
      <w:r w:rsidR="00FE4010">
        <w:t>aquitard</w:t>
      </w:r>
      <w:r>
        <w:t>, although it has considerable intra</w:t>
      </w:r>
      <w:r w:rsidR="00FE4010">
        <w:t>-</w:t>
      </w:r>
      <w:r>
        <w:t>formational variation in hydrogeological character due to the occurrence of significant sandstone inter</w:t>
      </w:r>
      <w:r w:rsidR="00C30378">
        <w:t>beds</w:t>
      </w:r>
      <w:r>
        <w:t xml:space="preserve">. The Kyalla Formation is at its thickest in the eastern </w:t>
      </w:r>
      <w:r w:rsidR="00A27EBF">
        <w:t>part of the Beetaloo S</w:t>
      </w:r>
      <w:r>
        <w:t>ub-basin</w:t>
      </w:r>
      <w:r w:rsidR="00A27EBF">
        <w:t>,</w:t>
      </w:r>
      <w:r>
        <w:t xml:space="preserve"> reaching up to 843 m in Jamison-1. The Kyalla Formation appears to have been eroded in some parts of the basin including across the Arnold </w:t>
      </w:r>
      <w:r w:rsidR="00EE0AFD">
        <w:t>High</w:t>
      </w:r>
      <w:r>
        <w:t xml:space="preserve"> and is absent along the north-eastern </w:t>
      </w:r>
      <w:r w:rsidR="00D92EAE">
        <w:t>margin of</w:t>
      </w:r>
      <w:r>
        <w:t xml:space="preserve"> the Walton High</w:t>
      </w:r>
      <w:r w:rsidR="00D92EAE">
        <w:t xml:space="preserve"> (see </w:t>
      </w:r>
      <w:r w:rsidR="00D92EAE">
        <w:fldChar w:fldCharType="begin"/>
      </w:r>
      <w:r w:rsidR="00D92EAE">
        <w:instrText xml:space="preserve"> REF _Ref21090047 \h </w:instrText>
      </w:r>
      <w:r w:rsidR="00D92EAE">
        <w:fldChar w:fldCharType="separate"/>
      </w:r>
      <w:r w:rsidR="00B177F5">
        <w:t xml:space="preserve">Figure </w:t>
      </w:r>
      <w:r w:rsidR="00B177F5">
        <w:rPr>
          <w:noProof/>
        </w:rPr>
        <w:t>5</w:t>
      </w:r>
      <w:r w:rsidR="00D92EAE">
        <w:fldChar w:fldCharType="end"/>
      </w:r>
      <w:r w:rsidR="00D92EAE">
        <w:t xml:space="preserve"> for locations of structures)</w:t>
      </w:r>
      <w:r>
        <w:t xml:space="preserve">. </w:t>
      </w:r>
    </w:p>
    <w:p w14:paraId="3CF8A4A7" w14:textId="74D007AB" w:rsidR="00662C72" w:rsidRDefault="00662C72" w:rsidP="00662C72">
      <w:pPr>
        <w:pStyle w:val="BodyText"/>
      </w:pPr>
      <w:r>
        <w:t>The clay-mineral content of the Kyalla and Velkerri formations ha</w:t>
      </w:r>
      <w:r w:rsidR="00A27EBF">
        <w:t>s</w:t>
      </w:r>
      <w:r>
        <w:t xml:space="preserve"> a variable content of non-water absorbing clay minerals, with porosities in the range of 3</w:t>
      </w:r>
      <w:r w:rsidR="001749F0">
        <w:t xml:space="preserve">% to </w:t>
      </w:r>
      <w:r>
        <w:t>7%. But with compaction, fluid expulsion occurred from the lower and upper periphery of the shalier zones. As a result, fluids migrated up and down into the coarser</w:t>
      </w:r>
      <w:r w:rsidR="001749F0">
        <w:t xml:space="preserve"> </w:t>
      </w:r>
      <w:r>
        <w:t xml:space="preserve">grained adjoining rocks. These resultant compacted shaly margins created pressure barriers to the central zone, preventing further fluid escape. Consequently, with either compaction disequilibria or hydrocarbon generation, greater than hydrostatic fluid pressures were potentially generated within the medial portions of the thick Roper Group fine-grained clastic units </w:t>
      </w:r>
      <w:r>
        <w:fldChar w:fldCharType="begin"/>
      </w:r>
      <w:r w:rsidR="00F76E0D">
        <w:instrText xml:space="preserve"> ADDIN EN.CITE &lt;EndNote&gt;&lt;Cite&gt;&lt;Author&gt;Revie&lt;/Author&gt;&lt;Year&gt;2017&lt;/Year&gt;&lt;RecNum&gt;673&lt;/RecNum&gt;&lt;DisplayText&gt;(Revie, 2017)&lt;/DisplayText&gt;&lt;record&gt;&lt;rec-number&gt;673&lt;/rec-number&gt;&lt;foreign-keys&gt;&lt;key app="EN" db-id="wdf9tzzdhw2saee559kv0vezt0wfsta0zedv" timestamp="1545264417"&gt;673&lt;/key&gt;&lt;key app="ENWeb" db-id=""&gt;0&lt;/key&gt;&lt;/foreign-keys&gt;&lt;ref-type name="Report"&gt;27&lt;/ref-type&gt;&lt;contributors&gt;&lt;authors&gt;&lt;author&gt;Revie, D.&lt;/author&gt;&lt;/authors&gt;&lt;tertiary-authors&gt;&lt;author&gt;Northern Territory Geological Survey&lt;/author&gt;&lt;/tertiary-authors&gt;&lt;/contributors&gt;&lt;titles&gt;&lt;title&gt;Unconventional petroleum resources of the Roper Group, McArthur Basin. Record 2017-002&lt;/title&gt;&lt;/titles&gt;&lt;pages&gt;64&lt;/pages&gt;&lt;dates&gt;&lt;year&gt;2017&lt;/year&gt;&lt;/dates&gt;&lt;publisher&gt;Northern Territory Geological Survey&lt;/publisher&gt;&lt;isbn&gt;Record 2017-002&lt;/isbn&gt;&lt;urls&gt;&lt;/urls&gt;&lt;/record&gt;&lt;/Cite&gt;&lt;/EndNote&gt;</w:instrText>
      </w:r>
      <w:r>
        <w:fldChar w:fldCharType="separate"/>
      </w:r>
      <w:r>
        <w:rPr>
          <w:noProof/>
        </w:rPr>
        <w:t>(Revie, 2017)</w:t>
      </w:r>
      <w:r>
        <w:fldChar w:fldCharType="end"/>
      </w:r>
      <w:r>
        <w:t>.</w:t>
      </w:r>
    </w:p>
    <w:p w14:paraId="4C5AF61F" w14:textId="30D96315" w:rsidR="002F4975" w:rsidRDefault="00D92EAE" w:rsidP="002F4975">
      <w:r>
        <w:t>Where present t</w:t>
      </w:r>
      <w:r w:rsidR="002F4975">
        <w:t xml:space="preserve">he Derim Derim Dolerite, </w:t>
      </w:r>
      <w:r w:rsidR="00FE4010">
        <w:t xml:space="preserve">(for distribution see Figure 31 in </w:t>
      </w:r>
      <w:r w:rsidR="00A541ED">
        <w:fldChar w:fldCharType="begin"/>
      </w:r>
      <w:r w:rsidR="00F76E0D">
        <w:instrText xml:space="preserve"> ADDIN EN.CITE &lt;EndNote&gt;&lt;Cite AuthorYear="1"&gt;&lt;Author&gt;Orr&lt;/Author&gt;&lt;Year&gt;2020&lt;/Year&gt;&lt;RecNum&gt;797&lt;/RecNum&gt;&lt;DisplayText&gt;Orr et al. (2020)&lt;/DisplayText&gt;&lt;record&gt;&lt;rec-number&gt;797&lt;/rec-number&gt;&lt;foreign-keys&gt;&lt;key app="EN" db-id="wdf9tzzdhw2saee559kv0vezt0wfsta0zedv" timestamp="1552607511"&gt;797&lt;/key&gt;&lt;/foreign-keys&gt;&lt;ref-type name="Report"&gt;27&lt;/ref-type&gt;&lt;contributors&gt;&lt;authors&gt;&lt;author&gt;Orr, M.L.,&lt;/author&gt;&lt;author&gt;Bernardel, G.,&lt;/author&gt;&lt;author&gt;Owens, R.,&lt;/author&gt;&lt;author&gt;Hall,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A541ED">
        <w:fldChar w:fldCharType="separate"/>
      </w:r>
      <w:r w:rsidR="006456ED">
        <w:rPr>
          <w:noProof/>
        </w:rPr>
        <w:t>Orr et al. (2020)</w:t>
      </w:r>
      <w:r w:rsidR="00A541ED">
        <w:fldChar w:fldCharType="end"/>
      </w:r>
      <w:r w:rsidR="00163F0B">
        <w:t>)</w:t>
      </w:r>
      <w:r w:rsidR="002F4975" w:rsidDel="00163F0B">
        <w:t xml:space="preserve"> </w:t>
      </w:r>
      <w:r w:rsidR="002F4975">
        <w:t xml:space="preserve">is likely </w:t>
      </w:r>
      <w:r w:rsidR="00FE4010">
        <w:t>to act as an effective aquitard</w:t>
      </w:r>
      <w:r w:rsidR="002F4975">
        <w:t>. This is afforded by the impermeable dolerite, especially where sills are thick, as well as from contact metamorphism and induration of the adjoining intruded sedimentary rock.</w:t>
      </w:r>
    </w:p>
    <w:p w14:paraId="7A50BC24" w14:textId="050226FF" w:rsidR="00EB49C9" w:rsidRDefault="008E00CD" w:rsidP="00EB49C9">
      <w:pPr>
        <w:pStyle w:val="Figures"/>
      </w:pPr>
      <w:bookmarkStart w:id="272" w:name="_Hlk35266637"/>
      <w:r>
        <w:rPr>
          <w:noProof/>
        </w:rPr>
        <w:drawing>
          <wp:inline distT="0" distB="0" distL="0" distR="0" wp14:anchorId="4899A113" wp14:editId="11E4C8CC">
            <wp:extent cx="6115050" cy="6381748"/>
            <wp:effectExtent l="0" t="0" r="0" b="0"/>
            <wp:docPr id="1569984896" name="Picture 5" descr="T:\proj\ba2\Stage2\3_Beetaloo\MapsAndFigures\Figures\GBA-BEE-2-221_Geological_features_petroleum_wel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62">
                      <a:extLst>
                        <a:ext uri="{28A0092B-C50C-407E-A947-70E740481C1C}">
                          <a14:useLocalDpi xmlns:a14="http://schemas.microsoft.com/office/drawing/2010/main" val="0"/>
                        </a:ext>
                      </a:extLst>
                    </a:blip>
                    <a:stretch>
                      <a:fillRect/>
                    </a:stretch>
                  </pic:blipFill>
                  <pic:spPr>
                    <a:xfrm>
                      <a:off x="0" y="0"/>
                      <a:ext cx="6115050" cy="6381748"/>
                    </a:xfrm>
                    <a:prstGeom prst="rect">
                      <a:avLst/>
                    </a:prstGeom>
                  </pic:spPr>
                </pic:pic>
              </a:graphicData>
            </a:graphic>
          </wp:inline>
        </w:drawing>
      </w:r>
    </w:p>
    <w:p w14:paraId="0BB291F7" w14:textId="16176052" w:rsidR="3C583D25" w:rsidRDefault="00EB49C9" w:rsidP="3C583D25">
      <w:pPr>
        <w:pStyle w:val="Caption"/>
      </w:pPr>
      <w:bookmarkStart w:id="273" w:name="_Ref21090047"/>
      <w:bookmarkStart w:id="274" w:name="_Toc38990459"/>
      <w:r>
        <w:t xml:space="preserve">Figure </w:t>
      </w:r>
      <w:r>
        <w:rPr>
          <w:noProof/>
        </w:rPr>
        <w:fldChar w:fldCharType="begin"/>
      </w:r>
      <w:r>
        <w:rPr>
          <w:noProof/>
        </w:rPr>
        <w:instrText xml:space="preserve"> SEQ Figure \* ARABIC </w:instrText>
      </w:r>
      <w:r>
        <w:rPr>
          <w:noProof/>
        </w:rPr>
        <w:fldChar w:fldCharType="separate"/>
      </w:r>
      <w:r w:rsidR="00B177F5">
        <w:rPr>
          <w:noProof/>
        </w:rPr>
        <w:t>5</w:t>
      </w:r>
      <w:r>
        <w:rPr>
          <w:noProof/>
        </w:rPr>
        <w:fldChar w:fldCharType="end"/>
      </w:r>
      <w:bookmarkEnd w:id="273"/>
      <w:r>
        <w:t xml:space="preserve"> </w:t>
      </w:r>
      <w:r w:rsidR="3C583D25">
        <w:t>Structural elements map of the Beetaloo Sub-basin, overlain on the total sediment thickness from base of the Roper Group to the surface</w:t>
      </w:r>
      <w:bookmarkEnd w:id="274"/>
    </w:p>
    <w:bookmarkEnd w:id="272"/>
    <w:p w14:paraId="2D147B0B" w14:textId="5FCC5970" w:rsidR="3C583D25" w:rsidRDefault="3C583D25" w:rsidP="3C583D25">
      <w:pPr>
        <w:pStyle w:val="SourceornoteforTableorFigure"/>
      </w:pPr>
      <w:r w:rsidRPr="3C583D25">
        <w:t xml:space="preserve">Contour interval (C.I.) = 500 m </w:t>
      </w:r>
      <w:r w:rsidR="00746607">
        <w:br/>
      </w:r>
      <w:r w:rsidRPr="3C583D25">
        <w:t xml:space="preserve">Data: </w:t>
      </w:r>
      <w:r w:rsidR="001749F0">
        <w:t>m</w:t>
      </w:r>
      <w:r w:rsidRPr="3C583D25">
        <w:t>ajor faults and sediment thickness from</w:t>
      </w:r>
      <w:r w:rsidR="002B058F">
        <w:t xml:space="preserve"> </w:t>
      </w:r>
      <w:r w:rsidR="002B058F">
        <w:fldChar w:fldCharType="begin"/>
      </w:r>
      <w:r w:rsidR="00867932">
        <w:instrText xml:space="preserve"> ADDIN EN.CITE &lt;EndNote&gt;&lt;Cite AuthorYear="1"&gt;&lt;Author&gt;Frogtech Geoscience&lt;/Author&gt;&lt;Year&gt;2018&lt;/Year&gt;&lt;RecNum&gt;952&lt;/RecNum&gt;&lt;DisplayText&gt;Frogtech Geoscience (2018b)&lt;/DisplayText&gt;&lt;record&gt;&lt;rec-number&gt;952&lt;/rec-number&gt;&lt;foreign-keys&gt;&lt;key app="EN" db-id="wdf9tzzdhw2saee559kv0vezt0wfsta0zedv" timestamp="1557990658"&gt;952&lt;/key&gt;&lt;/foreign-keys&gt;&lt;ref-type name="Dataset"&gt;59&lt;/ref-type&gt;&lt;contributors&gt;&lt;authors&gt;&lt;author&gt;Frogtech Geoscience,&lt;/author&gt;&lt;/authors&gt;&lt;/contributors&gt;&lt;titles&gt;&lt;title&gt;SEEBASE® study and GIS for greater McArthur Basin: Supplementary Data. Northern Territory Geological Survey, Digital Information Package DIP 018&lt;/title&gt;&lt;/titles&gt;&lt;pages&gt;3&lt;/pages&gt;&lt;dates&gt;&lt;year&gt;2018&lt;/year&gt;&lt;/dates&gt;&lt;pub-location&gt;Darwin&lt;/pub-location&gt;&lt;publisher&gt;Northern Territory Geological Survey&lt;/publisher&gt;&lt;label&gt;EC6D7486-30C9-4D19-92C6-57879C00A363&lt;/label&gt;&lt;urls&gt;&lt;related-urls&gt;&lt;url&gt;https://geoscience.nt.gov.au/gemis/ntgsjspui/handle/1/87062&lt;/url&gt;&lt;/related-urls&gt;&lt;/urls&gt;&lt;access-date&gt;18 February 2019&lt;/access-date&gt;&lt;/record&gt;&lt;/Cite&gt;&lt;/EndNote&gt;</w:instrText>
      </w:r>
      <w:r w:rsidR="002B058F">
        <w:fldChar w:fldCharType="separate"/>
      </w:r>
      <w:r w:rsidR="00867932">
        <w:rPr>
          <w:noProof/>
        </w:rPr>
        <w:t>Frogtech Geoscience (2018b)</w:t>
      </w:r>
      <w:r w:rsidR="002B058F">
        <w:fldChar w:fldCharType="end"/>
      </w:r>
      <w:r w:rsidRPr="3C583D25">
        <w:t xml:space="preserve">; structural elements from </w:t>
      </w:r>
      <w:r w:rsidR="00705BE7">
        <w:fldChar w:fldCharType="begin"/>
      </w:r>
      <w:r w:rsidR="00F76E0D">
        <w:instrText xml:space="preserve"> ADDIN EN.CITE &lt;EndNote&gt;&lt;Cite AuthorYear="1"&gt;&lt;Author&gt;Plumb&lt;/Author&gt;&lt;Year&gt;1987&lt;/Year&gt;&lt;RecNum&gt;806&lt;/RecNum&gt;&lt;DisplayText&gt;Plumb and Wellman (1987)&lt;/DisplayText&gt;&lt;record&gt;&lt;rec-number&gt;806&lt;/rec-number&gt;&lt;foreign-keys&gt;&lt;key app="EN" db-id="wdf9tzzdhw2saee559kv0vezt0wfsta0zedv" timestamp="1552630692"&gt;806&lt;/key&gt;&lt;key app="ENWeb" db-id=""&gt;0&lt;/key&gt;&lt;/foreign-keys&gt;&lt;ref-type name="Journal Article"&gt;17&lt;/ref-type&gt;&lt;contributors&gt;&lt;authors&gt;&lt;author&gt;Plumb, K.A.&lt;/author&gt;&lt;author&gt;Wellman, P.&lt;/author&gt;&lt;/authors&gt;&lt;/contributors&gt;&lt;titles&gt;&lt;title&gt;McArthur Basin, Northern Territory: mapping of deep troughs using gravity and magnetic anomalies&lt;/title&gt;&lt;secondary-title&gt;BMR Journal of Australian Geology &amp;amp; Geophysics&lt;/secondary-title&gt;&lt;/titles&gt;&lt;periodical&gt;&lt;full-title&gt;BMR Journal of Australian Geology &amp;amp; Geophysics&lt;/full-title&gt;&lt;/periodical&gt;&lt;pages&gt;243–251&lt;/pages&gt;&lt;volume&gt;10&lt;/volume&gt;&lt;number&gt;3&lt;/number&gt;&lt;dates&gt;&lt;year&gt;1987&lt;/year&gt;&lt;/dates&gt;&lt;urls&gt;&lt;related-urls&gt;&lt;url&gt;&lt;style face="underline" font="default" size="100%"&gt;https://ecat.ga.gov.au/geonetwork/srv/eng/catalog.search?node=srv#/metadata/fae9173a-70a2-71e4-e044-00144fdd4fa6&lt;/style&gt;&lt;/url&gt;&lt;/related-urls&gt;&lt;/urls&gt;&lt;/record&gt;&lt;/Cite&gt;&lt;/EndNote&gt;</w:instrText>
      </w:r>
      <w:r w:rsidR="00705BE7">
        <w:fldChar w:fldCharType="separate"/>
      </w:r>
      <w:r w:rsidR="00292391">
        <w:rPr>
          <w:noProof/>
        </w:rPr>
        <w:t>Plumb and Wellman (1987)</w:t>
      </w:r>
      <w:r w:rsidR="00705BE7">
        <w:fldChar w:fldCharType="end"/>
      </w:r>
      <w:r w:rsidR="00705BE7">
        <w:t xml:space="preserve">, </w:t>
      </w:r>
      <w:r w:rsidR="00705BE7">
        <w:fldChar w:fldCharType="begin"/>
      </w:r>
      <w:r w:rsidR="00F76E0D">
        <w:instrText xml:space="preserve"> ADDIN EN.CITE &lt;EndNote&gt;&lt;Cite AuthorYear="1"&gt;&lt;Author&gt;Silverman&lt;/Author&gt;&lt;Year&gt;2007&lt;/Year&gt;&lt;RecNum&gt;674&lt;/RecNum&gt;&lt;DisplayText&gt;Silverman et al. (2007)&lt;/DisplayText&gt;&lt;record&gt;&lt;rec-number&gt;674&lt;/rec-number&gt;&lt;foreign-keys&gt;&lt;key app="EN" db-id="wdf9tzzdhw2saee559kv0vezt0wfsta0zedv" timestamp="1545264432"&gt;674&lt;/key&gt;&lt;key app="ENWeb" db-id=""&gt;0&lt;/key&gt;&lt;/foreign-keys&gt;&lt;ref-type name="Conference Paper"&gt;47&lt;/ref-type&gt;&lt;contributors&gt;&lt;authors&gt;&lt;author&gt;Silverman, M. R.&lt;/author&gt;&lt;author&gt;Landon, S. M.&lt;/author&gt;&lt;author&gt;Leaver, J. S.&lt;/author&gt;&lt;author&gt;Mather, T. J.&lt;/author&gt;&lt;author&gt;Berg, E.&lt;/author&gt;&lt;/authors&gt;&lt;/contributors&gt;&lt;titles&gt;&lt;title&gt;No fuel like an old fuel: proterozoic oil and gas potential in the Beetaloo Basin, Northern Territory, Australia&lt;/title&gt;&lt;secondary-title&gt;Proceedings of the Central Australian Basins Symposium (CABS), Northern Territory Geological Survey (NTGS) Special Publication 2&lt;/secondary-title&gt;&lt;/titles&gt;&lt;pages&gt;205–215&lt;/pages&gt;&lt;volume&gt;2&lt;/volume&gt;&lt;keywords&gt;&lt;keyword&gt;Northern Territory&lt;/keyword&gt;&lt;keyword&gt;Beetaloo Basin&lt;/keyword&gt;&lt;keyword&gt;Velkerri Formation&lt;/keyword&gt;&lt;keyword&gt;Kyalla Formation&lt;/keyword&gt;&lt;keyword&gt;Jamison Sandstone&lt;/keyword&gt;&lt;keyword&gt;Moroak Sandstone&lt;/keyword&gt;&lt;keyword&gt;Proterozoic&lt;/keyword&gt;&lt;keyword&gt;Hydrocarbons&lt;/keyword&gt;&lt;keyword&gt;Petroleum potential&lt;/keyword&gt;&lt;keyword&gt;Petroleum exploration&lt;/keyword&gt;&lt;keyword&gt;Petroleum geology&lt;/keyword&gt;&lt;keyword&gt;Beetaloo Sub-basin&lt;/keyword&gt;&lt;/keywords&gt;&lt;dates&gt;&lt;year&gt;2007&lt;/year&gt;&lt;pub-dates&gt;&lt;date&gt;16-18 August 2005&lt;/date&gt;&lt;/pub-dates&gt;&lt;/dates&gt;&lt;pub-location&gt;Alice Springs, Northern Territory&lt;/pub-location&gt;&lt;urls&gt;&lt;/urls&gt;&lt;/record&gt;&lt;/Cite&gt;&lt;/EndNote&gt;</w:instrText>
      </w:r>
      <w:r w:rsidR="00705BE7">
        <w:fldChar w:fldCharType="separate"/>
      </w:r>
      <w:r w:rsidR="00292391">
        <w:rPr>
          <w:noProof/>
        </w:rPr>
        <w:t>Silverman et al. (2007)</w:t>
      </w:r>
      <w:r w:rsidR="00705BE7">
        <w:fldChar w:fldCharType="end"/>
      </w:r>
      <w:r w:rsidRPr="3C583D25">
        <w:t xml:space="preserve"> and </w:t>
      </w:r>
      <w:r w:rsidR="009C28DD">
        <w:fldChar w:fldCharType="begin"/>
      </w:r>
      <w:r w:rsidR="00F76E0D">
        <w:instrText xml:space="preserve"> ADDIN EN.CITE &lt;EndNote&gt;&lt;Cite AuthorYear="1"&gt;&lt;Author&gt;Munson&lt;/Author&gt;&lt;Year&gt;2016&lt;/Year&gt;&lt;RecNum&gt;687&lt;/RecNum&gt;&lt;DisplayText&gt;Munson (2016)&lt;/DisplayText&gt;&lt;record&gt;&lt;rec-number&gt;687&lt;/rec-number&gt;&lt;foreign-keys&gt;&lt;key app="EN" db-id="wdf9tzzdhw2saee559kv0vezt0wfsta0zedv" timestamp="1545264489"&gt;687&lt;/key&gt;&lt;key app="ENWeb" db-id=""&gt;0&lt;/key&gt;&lt;/foreign-keys&gt;&lt;ref-type name="Report"&gt;27&lt;/ref-type&gt;&lt;contributors&gt;&lt;authors&gt;&lt;author&gt;Munson, T.J.&lt;/author&gt;&lt;/authors&gt;&lt;tertiary-authors&gt;&lt;author&gt;Northern Territory Geological Survey&lt;/author&gt;&lt;/tertiary-authors&gt;&lt;/contributors&gt;&lt;titles&gt;&lt;title&gt;Sedimentary characterisation of the Wilton package, greater McArthur Basin, Northern Territory. NTGS Record 2016-003&lt;/title&gt;&lt;/titles&gt;&lt;number&gt;NTGS Record 2016-003&lt;/number&gt;&lt;keywords&gt;&lt;keyword&gt;McArthur Basin&lt;/keyword&gt;&lt;keyword&gt;Geology&lt;/keyword&gt;&lt;keyword&gt;Geochronology&lt;/keyword&gt;&lt;keyword&gt;Roper Group&lt;/keyword&gt;&lt;keyword&gt;Collara Subgroup&lt;/keyword&gt;&lt;keyword&gt;Maiwok Subgroup&lt;/keyword&gt;&lt;keyword&gt;Renner Group&lt;/keyword&gt;&lt;keyword&gt;Tijunna Group&lt;/keyword&gt;&lt;keyword&gt;Beetaloo Sub-basin&lt;/keyword&gt;&lt;/keywords&gt;&lt;dates&gt;&lt;year&gt;2016&lt;/year&gt;&lt;/dates&gt;&lt;publisher&gt;Northern Territory Geological Survey&lt;/publisher&gt;&lt;isbn&gt;Record 2016-003&lt;/isbn&gt;&lt;urls&gt;&lt;related-urls&gt;&lt;url&gt;&lt;style face="underline" font="default" size="100%"&gt;https://geoscience.nt.gov.au/gemis/ntgsjspui/handle/1/83806&lt;/style&gt;&lt;/url&gt;&lt;/related-urls&gt;&lt;/urls&gt;&lt;access-date&gt;28 November 2019&lt;/access-date&gt;&lt;/record&gt;&lt;/Cite&gt;&lt;/EndNote&gt;</w:instrText>
      </w:r>
      <w:r w:rsidR="009C28DD">
        <w:fldChar w:fldCharType="separate"/>
      </w:r>
      <w:r w:rsidR="00292391">
        <w:rPr>
          <w:noProof/>
        </w:rPr>
        <w:t>Munson (2016)</w:t>
      </w:r>
      <w:r w:rsidR="009C28DD">
        <w:fldChar w:fldCharType="end"/>
      </w:r>
      <w:r w:rsidR="00746607">
        <w:br/>
      </w:r>
      <w:r w:rsidRPr="3C583D25">
        <w:t>Element: GBA-BEE-2</w:t>
      </w:r>
      <w:r w:rsidR="008E00CD">
        <w:t>-221</w:t>
      </w:r>
      <w:r w:rsidRPr="3C583D25">
        <w:t xml:space="preserve"> </w:t>
      </w:r>
    </w:p>
    <w:p w14:paraId="123DE3E0" w14:textId="55DC7FAC" w:rsidR="00E8175C" w:rsidRDefault="00D631A3" w:rsidP="00C761B1">
      <w:pPr>
        <w:pStyle w:val="Heading4"/>
        <w:numPr>
          <w:ilvl w:val="2"/>
          <w:numId w:val="13"/>
        </w:numPr>
      </w:pPr>
      <w:bookmarkStart w:id="275" w:name="_Ref5714612"/>
      <w:r>
        <w:t>Jamison sandstone</w:t>
      </w:r>
      <w:r w:rsidR="00E8175C">
        <w:t>, Hayfield mudstone and Kiana Group</w:t>
      </w:r>
      <w:bookmarkEnd w:id="275"/>
    </w:p>
    <w:p w14:paraId="2E6A1179" w14:textId="0A0DF38E" w:rsidR="003D78FC" w:rsidRDefault="00726D17" w:rsidP="00726D17">
      <w:pPr>
        <w:pStyle w:val="BodyText"/>
      </w:pPr>
      <w:r>
        <w:t xml:space="preserve">The </w:t>
      </w:r>
      <w:r w:rsidR="00D631A3">
        <w:t>Jamison</w:t>
      </w:r>
      <w:r>
        <w:t xml:space="preserve"> </w:t>
      </w:r>
      <w:r w:rsidR="3C583D25">
        <w:t>s</w:t>
      </w:r>
      <w:r>
        <w:t xml:space="preserve">andstone, Hayfield mudstone and Kiana Group </w:t>
      </w:r>
      <w:r w:rsidR="0031643D">
        <w:t>are</w:t>
      </w:r>
      <w:r w:rsidR="00A66DE9">
        <w:t xml:space="preserve"> part of the Centralian A Superbasin (</w:t>
      </w:r>
      <w:r w:rsidR="00292391">
        <w:t>s</w:t>
      </w:r>
      <w:r w:rsidR="00A66DE9">
        <w:t xml:space="preserve">ee </w:t>
      </w:r>
      <w:r w:rsidR="002E1294">
        <w:t>S</w:t>
      </w:r>
      <w:r w:rsidR="00A66DE9">
        <w:t xml:space="preserve">ection 3.4.6 in </w:t>
      </w:r>
      <w:r w:rsidR="00A541ED">
        <w:fldChar w:fldCharType="begin"/>
      </w:r>
      <w:r w:rsidR="00F76E0D">
        <w:instrText xml:space="preserve"> ADDIN EN.CITE &lt;EndNote&gt;&lt;Cite AuthorYear="1"&gt;&lt;Author&gt;Orr&lt;/Author&gt;&lt;Year&gt;2020&lt;/Year&gt;&lt;RecNum&gt;797&lt;/RecNum&gt;&lt;DisplayText&gt;Orr et al. (2020)&lt;/DisplayText&gt;&lt;record&gt;&lt;rec-number&gt;797&lt;/rec-number&gt;&lt;foreign-keys&gt;&lt;key app="EN" db-id="wdf9tzzdhw2saee559kv0vezt0wfsta0zedv" timestamp="1552607511"&gt;797&lt;/key&gt;&lt;/foreign-keys&gt;&lt;ref-type name="Report"&gt;27&lt;/ref-type&gt;&lt;contributors&gt;&lt;authors&gt;&lt;author&gt;Orr, M.L.,&lt;/author&gt;&lt;author&gt;Bernardel, G.,&lt;/author&gt;&lt;author&gt;Owens, R.,&lt;/author&gt;&lt;author&gt;Hall,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A541ED">
        <w:fldChar w:fldCharType="separate"/>
      </w:r>
      <w:r w:rsidR="006456ED">
        <w:rPr>
          <w:noProof/>
        </w:rPr>
        <w:t>Orr et al. (2020)</w:t>
      </w:r>
      <w:r w:rsidR="00A541ED">
        <w:fldChar w:fldCharType="end"/>
      </w:r>
      <w:r w:rsidR="00163F0B">
        <w:t>)</w:t>
      </w:r>
      <w:r w:rsidR="00A66DE9">
        <w:t xml:space="preserve">. These units </w:t>
      </w:r>
      <w:r>
        <w:t xml:space="preserve">are the focus of research, and their stratigraphic relationships may be updated as part of the </w:t>
      </w:r>
      <w:r w:rsidR="001749F0">
        <w:t xml:space="preserve">Northern Territory Geological Survey’s </w:t>
      </w:r>
      <w:r>
        <w:t xml:space="preserve"> current four-year (2018 to 2022) </w:t>
      </w:r>
      <w:r w:rsidR="001749F0">
        <w:t>‘</w:t>
      </w:r>
      <w:r>
        <w:t>Resourcing the Territory</w:t>
      </w:r>
      <w:r w:rsidR="001749F0">
        <w:t>’</w:t>
      </w:r>
      <w:r>
        <w:t xml:space="preserve"> program. This program</w:t>
      </w:r>
      <w:r w:rsidR="00F951DB">
        <w:t>,</w:t>
      </w:r>
      <w:r>
        <w:t xml:space="preserve"> and the previous (2014</w:t>
      </w:r>
      <w:r w:rsidR="001749F0">
        <w:t xml:space="preserve"> to </w:t>
      </w:r>
      <w:r>
        <w:t xml:space="preserve">2018) </w:t>
      </w:r>
      <w:r w:rsidR="001749F0">
        <w:t>‘</w:t>
      </w:r>
      <w:r>
        <w:t>Creating opportunities for resource exploration</w:t>
      </w:r>
      <w:r w:rsidR="001749F0">
        <w:t>’</w:t>
      </w:r>
      <w:r>
        <w:t xml:space="preserve"> program (CORE)</w:t>
      </w:r>
      <w:r w:rsidR="00F951DB">
        <w:t>,</w:t>
      </w:r>
      <w:r>
        <w:t xml:space="preserve"> have the goal of creating a robust stratigraphic framework across the greater McArthur Basin </w:t>
      </w:r>
      <w:r w:rsidR="00A541ED">
        <w:fldChar w:fldCharType="begin"/>
      </w:r>
      <w:r w:rsidR="00F76E0D">
        <w:instrText xml:space="preserve"> ADDIN EN.CITE &lt;EndNote&gt;&lt;Cite&gt;&lt;Author&gt;Munson&lt;/Author&gt;&lt;Year&gt;2019&lt;/Year&gt;&lt;RecNum&gt;981&lt;/RecNum&gt;&lt;DisplayText&gt;(Munson, 2019)&lt;/DisplayText&gt;&lt;record&gt;&lt;rec-number&gt;981&lt;/rec-number&gt;&lt;foreign-keys&gt;&lt;key app="EN" db-id="wdf9tzzdhw2saee559kv0vezt0wfsta0zedv" timestamp="1557991359"&gt;981&lt;/key&gt;&lt;/foreign-keys&gt;&lt;ref-type name="Book"&gt;6&lt;/ref-type&gt;&lt;contributors&gt;&lt;authors&gt;&lt;author&gt;Munson, T. J.&lt;/author&gt;&lt;/authors&gt;&lt;/contributors&gt;&lt;titles&gt;&lt;title&gt;Detrital zircon geochronology investigations of the Glyde and Favenc packages: Implications for the geological framework of the greater McArthur Basin, Northern Territory: in Annual Geoscience Exploration Seminar (AGES) Proceedings, Alice Springs, Northern Territory, 19–20 March 2019. Northern Territory Geological Survey, Darwin&lt;/title&gt;&lt;/titles&gt;&lt;dates&gt;&lt;year&gt;2019&lt;/year&gt;&lt;/dates&gt;&lt;urls&gt;&lt;/urls&gt;&lt;/record&gt;&lt;/Cite&gt;&lt;/EndNote&gt;</w:instrText>
      </w:r>
      <w:r w:rsidR="00A541ED">
        <w:fldChar w:fldCharType="separate"/>
      </w:r>
      <w:r w:rsidR="00A541ED">
        <w:rPr>
          <w:noProof/>
        </w:rPr>
        <w:t>(Munson, 2019)</w:t>
      </w:r>
      <w:r w:rsidR="00A541ED">
        <w:fldChar w:fldCharType="end"/>
      </w:r>
      <w:r>
        <w:t xml:space="preserve">. </w:t>
      </w:r>
      <w:r w:rsidR="003D78FC">
        <w:t xml:space="preserve">Changes to </w:t>
      </w:r>
      <w:r w:rsidR="0085577D">
        <w:t xml:space="preserve">the </w:t>
      </w:r>
      <w:r w:rsidR="003D78FC">
        <w:t xml:space="preserve">stratigraphy </w:t>
      </w:r>
      <w:r>
        <w:t>of these units may</w:t>
      </w:r>
      <w:r w:rsidR="003D78FC">
        <w:t xml:space="preserve"> have implications for</w:t>
      </w:r>
      <w:r>
        <w:t xml:space="preserve"> their extent, connectivity</w:t>
      </w:r>
      <w:r w:rsidR="003D78FC">
        <w:t xml:space="preserve"> and </w:t>
      </w:r>
      <w:r>
        <w:t>potential as a regional</w:t>
      </w:r>
      <w:r w:rsidR="003D78FC">
        <w:t xml:space="preserve"> aquifer. </w:t>
      </w:r>
      <w:r w:rsidR="00AC1904">
        <w:t xml:space="preserve">Further information on these units </w:t>
      </w:r>
      <w:r w:rsidR="001749F0">
        <w:t>is</w:t>
      </w:r>
      <w:r w:rsidR="00AC1904">
        <w:t xml:space="preserve"> available in </w:t>
      </w:r>
      <w:r w:rsidR="00A541ED">
        <w:fldChar w:fldCharType="begin"/>
      </w:r>
      <w:r w:rsidR="00F76E0D">
        <w:instrText xml:space="preserve"> ADDIN EN.CITE &lt;EndNote&gt;&lt;Cite AuthorYear="1"&gt;&lt;Author&gt;Orr&lt;/Author&gt;&lt;Year&gt;2020&lt;/Year&gt;&lt;RecNum&gt;797&lt;/RecNum&gt;&lt;DisplayText&gt;Orr et al. (2020)&lt;/DisplayText&gt;&lt;record&gt;&lt;rec-number&gt;797&lt;/rec-number&gt;&lt;foreign-keys&gt;&lt;key app="EN" db-id="wdf9tzzdhw2saee559kv0vezt0wfsta0zedv" timestamp="1552607511"&gt;797&lt;/key&gt;&lt;/foreign-keys&gt;&lt;ref-type name="Report"&gt;27&lt;/ref-type&gt;&lt;contributors&gt;&lt;authors&gt;&lt;author&gt;Orr, M.L.,&lt;/author&gt;&lt;author&gt;Bernardel, G.,&lt;/author&gt;&lt;author&gt;Owens, R.,&lt;/author&gt;&lt;author&gt;Hall,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A541ED">
        <w:fldChar w:fldCharType="separate"/>
      </w:r>
      <w:r w:rsidR="006456ED">
        <w:rPr>
          <w:noProof/>
        </w:rPr>
        <w:t>Orr et al. (2020)</w:t>
      </w:r>
      <w:r w:rsidR="00A541ED">
        <w:fldChar w:fldCharType="end"/>
      </w:r>
      <w:r w:rsidR="00AC1904">
        <w:t xml:space="preserve">. </w:t>
      </w:r>
    </w:p>
    <w:p w14:paraId="480487AF" w14:textId="32B0965E" w:rsidR="003D78FC" w:rsidRPr="002F50C6" w:rsidRDefault="003D78FC" w:rsidP="003D78FC">
      <w:pPr>
        <w:pStyle w:val="Heading6notnumbered"/>
      </w:pPr>
      <w:r>
        <w:t xml:space="preserve">Jamison </w:t>
      </w:r>
      <w:r w:rsidR="001E571B">
        <w:t>s</w:t>
      </w:r>
      <w:r>
        <w:t>andstone and Hayfield mudstone</w:t>
      </w:r>
    </w:p>
    <w:p w14:paraId="2D7489F3" w14:textId="553C0048" w:rsidR="002F4975" w:rsidRDefault="002F4975" w:rsidP="009C1690">
      <w:r>
        <w:t>Younger Proterozoic rocks</w:t>
      </w:r>
      <w:r w:rsidR="009B2797">
        <w:t xml:space="preserve"> above the Roper Group </w:t>
      </w:r>
      <w:r>
        <w:t xml:space="preserve">in the Beetaloo GBA region include the </w:t>
      </w:r>
      <w:r w:rsidR="00D631A3">
        <w:t>Jamison sandstone</w:t>
      </w:r>
      <w:r>
        <w:t xml:space="preserve"> and overlying Hayfield mudstone (</w:t>
      </w:r>
      <w:r>
        <w:fldChar w:fldCharType="begin"/>
      </w:r>
      <w:r>
        <w:instrText xml:space="preserve"> REF _Ref535407260 \h </w:instrText>
      </w:r>
      <w:r>
        <w:fldChar w:fldCharType="separate"/>
      </w:r>
      <w:r w:rsidR="00B177F5">
        <w:t xml:space="preserve">Figure </w:t>
      </w:r>
      <w:r w:rsidR="00B177F5">
        <w:rPr>
          <w:noProof/>
        </w:rPr>
        <w:t>4</w:t>
      </w:r>
      <w:r>
        <w:fldChar w:fldCharType="end"/>
      </w:r>
      <w:r>
        <w:t>).</w:t>
      </w:r>
    </w:p>
    <w:p w14:paraId="6ADCE898" w14:textId="635B66F1" w:rsidR="002F4975" w:rsidRDefault="5B3F5A9C" w:rsidP="002F4975">
      <w:r>
        <w:t xml:space="preserve">The Jamison </w:t>
      </w:r>
      <w:r w:rsidR="00EB49C9">
        <w:t>s</w:t>
      </w:r>
      <w:r>
        <w:t xml:space="preserve">andstone </w:t>
      </w:r>
      <w:r w:rsidR="00FE783D">
        <w:t xml:space="preserve">includes minor shale interbeds and </w:t>
      </w:r>
      <w:r w:rsidR="003D78FC">
        <w:t>is</w:t>
      </w:r>
      <w:r>
        <w:t xml:space="preserve"> a</w:t>
      </w:r>
      <w:r w:rsidR="00FE783D">
        <w:t>n aquifer</w:t>
      </w:r>
      <w:r w:rsidR="00393926">
        <w:t xml:space="preserve"> to partial aquifer</w:t>
      </w:r>
      <w:r>
        <w:t xml:space="preserve">. In the western Beetaloo Sub-basin, </w:t>
      </w:r>
      <w:r w:rsidR="00FE783D">
        <w:t>it</w:t>
      </w:r>
      <w:r>
        <w:t xml:space="preserve"> is thickest mid-basin around Tarlee-1 (110 m) and Birdum Creek-1 (97 m), thinning northward (57 m in Wyworrie-1)</w:t>
      </w:r>
      <w:r w:rsidR="00C046BE">
        <w:t xml:space="preserve"> </w:t>
      </w:r>
      <w:r>
        <w:t xml:space="preserve">and southward to be absent at Hidden Valley-S2. In the eastern Beetaloo Sub-basin, </w:t>
      </w:r>
      <w:r w:rsidR="007C1CF7">
        <w:t>nine</w:t>
      </w:r>
      <w:r>
        <w:t xml:space="preserve"> intercepts indicate the unit is thickest in the south-eastern two-thirds of the sub-basin (up to 163 m thick). The unit thins north-westwards from </w:t>
      </w:r>
      <w:r w:rsidR="00F017F1">
        <w:t xml:space="preserve">approximately </w:t>
      </w:r>
      <w:r>
        <w:t xml:space="preserve">100 m in Ronald-1 and Balmain-1 to </w:t>
      </w:r>
      <w:r w:rsidR="00F017F1">
        <w:t xml:space="preserve">approximately </w:t>
      </w:r>
      <w:r>
        <w:t>70 m (Chanin-1) and is absent over the Walton High.</w:t>
      </w:r>
    </w:p>
    <w:p w14:paraId="5D1E56E1" w14:textId="24DD4E54" w:rsidR="002F4975" w:rsidRDefault="00AD1A11" w:rsidP="002F4975">
      <w:r>
        <w:t xml:space="preserve">In </w:t>
      </w:r>
      <w:r w:rsidR="5B3F5A9C">
        <w:t xml:space="preserve">the western </w:t>
      </w:r>
      <w:r>
        <w:t xml:space="preserve">Beetaloo </w:t>
      </w:r>
      <w:r w:rsidR="00D835D9">
        <w:t>S</w:t>
      </w:r>
      <w:r w:rsidR="5B3F5A9C">
        <w:t>ub-basin</w:t>
      </w:r>
      <w:r w:rsidR="0085577D">
        <w:t>,</w:t>
      </w:r>
      <w:r>
        <w:t xml:space="preserve"> the Hayfield mudstone</w:t>
      </w:r>
      <w:r w:rsidR="5B3F5A9C">
        <w:t xml:space="preserve"> is only present in Tarlee-1&amp;2</w:t>
      </w:r>
      <w:r>
        <w:t>,</w:t>
      </w:r>
      <w:r w:rsidR="5B3F5A9C">
        <w:t xml:space="preserve"> where it has a maximum thickness of 160 m in the latter. In the eastern </w:t>
      </w:r>
      <w:r>
        <w:t xml:space="preserve">Beetaloo </w:t>
      </w:r>
      <w:r w:rsidR="00D835D9">
        <w:t>S</w:t>
      </w:r>
      <w:r w:rsidR="5B3F5A9C">
        <w:t xml:space="preserve">ub-basin, this mudstone sequence is absent through erosion along the Walton High and northern margin, as well as in the southernmost region. The thickest preserved section is in the central part of the sub-basin, extending from Balmain-1 and Shenandoah-1 (449 m) eastwards to Tanumbirini-1 (569 m). </w:t>
      </w:r>
    </w:p>
    <w:p w14:paraId="0D25FC18" w14:textId="7236E7D4" w:rsidR="002D3DFF" w:rsidRDefault="7451D1E6" w:rsidP="002F4975">
      <w:r>
        <w:t xml:space="preserve">The Hayfield mudstone and Jamison sandstone have not suffered as much deformation as the underlying Roper Group. Several deep-seated faults that offset the Roper Group do not penetrate these overlying units. The implication of less faulting and deformation is that potentially there are fewer secondary paths for connectivity. </w:t>
      </w:r>
    </w:p>
    <w:p w14:paraId="31FD5564" w14:textId="69D0D6AE" w:rsidR="0092759F" w:rsidRPr="002F50C6" w:rsidRDefault="00A14450" w:rsidP="0092759F">
      <w:pPr>
        <w:pStyle w:val="Heading6notnumbered"/>
      </w:pPr>
      <w:r>
        <w:t>Kiana Group</w:t>
      </w:r>
      <w:r w:rsidRPr="00872CDE">
        <w:t xml:space="preserve"> </w:t>
      </w:r>
      <w:r>
        <w:t>(</w:t>
      </w:r>
      <w:r w:rsidR="00872CDE" w:rsidRPr="00872CDE">
        <w:t xml:space="preserve">Bukalara </w:t>
      </w:r>
      <w:r>
        <w:t>S</w:t>
      </w:r>
      <w:r w:rsidR="00872CDE" w:rsidRPr="00872CDE">
        <w:t>andstone and Cox Formatio</w:t>
      </w:r>
      <w:r w:rsidR="00872CDE">
        <w:t>n</w:t>
      </w:r>
      <w:r>
        <w:t>)</w:t>
      </w:r>
      <w:r w:rsidR="00872CDE" w:rsidRPr="00872CDE">
        <w:t xml:space="preserve"> </w:t>
      </w:r>
    </w:p>
    <w:p w14:paraId="38C532B5" w14:textId="4739609F" w:rsidR="0092759F" w:rsidRDefault="0092759F" w:rsidP="0092759F">
      <w:pPr>
        <w:pStyle w:val="BodyText"/>
      </w:pPr>
      <w:r>
        <w:t>The Bukalara Sandstone is the basal member of the Neoproterozoic Kiana Group (</w:t>
      </w:r>
      <w:r>
        <w:fldChar w:fldCharType="begin"/>
      </w:r>
      <w:r>
        <w:instrText xml:space="preserve"> REF _Ref535407260 \h  \* MERGEFORMAT </w:instrText>
      </w:r>
      <w:r>
        <w:fldChar w:fldCharType="separate"/>
      </w:r>
      <w:r w:rsidR="00B177F5">
        <w:t xml:space="preserve">Figure </w:t>
      </w:r>
      <w:r w:rsidR="00B177F5">
        <w:rPr>
          <w:noProof/>
        </w:rPr>
        <w:t>4</w:t>
      </w:r>
      <w:r>
        <w:fldChar w:fldCharType="end"/>
      </w:r>
      <w:r w:rsidR="005702EA">
        <w:t>)</w:t>
      </w:r>
      <w:r>
        <w:t xml:space="preserve">, </w:t>
      </w:r>
      <w:r w:rsidR="005702EA">
        <w:t>and</w:t>
      </w:r>
      <w:r>
        <w:t xml:space="preserve"> </w:t>
      </w:r>
      <w:r w:rsidR="00AC1904">
        <w:t>its distribution in the Beetaloo GBA region is obscured by the overlying Antrim Plateau Volcanics (</w:t>
      </w:r>
      <w:r w:rsidR="00AC1904">
        <w:fldChar w:fldCharType="begin"/>
      </w:r>
      <w:r w:rsidR="00AC1904">
        <w:instrText xml:space="preserve"> REF _Ref795947 \h </w:instrText>
      </w:r>
      <w:r w:rsidR="00AC1904">
        <w:fldChar w:fldCharType="separate"/>
      </w:r>
      <w:r w:rsidR="00B177F5">
        <w:t xml:space="preserve">Figure </w:t>
      </w:r>
      <w:r w:rsidR="00B177F5">
        <w:rPr>
          <w:noProof/>
        </w:rPr>
        <w:t>6</w:t>
      </w:r>
      <w:r w:rsidR="00AC1904">
        <w:fldChar w:fldCharType="end"/>
      </w:r>
      <w:r w:rsidR="00AC1904">
        <w:t>)</w:t>
      </w:r>
      <w:r>
        <w:t>. The formation comprises thick</w:t>
      </w:r>
      <w:r w:rsidR="00F017F1">
        <w:t>-</w:t>
      </w:r>
      <w:r>
        <w:t xml:space="preserve">bedded quartz feldspathic and lithic sandstone with pebble conglomerates and minor interbedded shale. The Bukalara Sandstone is considered porous and permeable due to minimal occlusion by cements </w:t>
      </w:r>
      <w:r w:rsidR="00A541ED">
        <w:fldChar w:fldCharType="begin"/>
      </w:r>
      <w:r w:rsidR="00F76E0D">
        <w:instrText xml:space="preserve"> ADDIN EN.CITE &lt;EndNote&gt;&lt;Cite&gt;&lt;Author&gt;Lanigan&lt;/Author&gt;&lt;Year&gt;1994&lt;/Year&gt;&lt;RecNum&gt;676&lt;/RecNum&gt;&lt;DisplayText&gt;(Lanigan et al., 1994)&lt;/DisplayText&gt;&lt;record&gt;&lt;rec-number&gt;676&lt;/rec-number&gt;&lt;foreign-keys&gt;&lt;key app="EN" db-id="wdf9tzzdhw2saee559kv0vezt0wfsta0zedv" timestamp="1545264441"&gt;676&lt;/key&gt;&lt;key app="ENWeb" db-id=""&gt;0&lt;/key&gt;&lt;/foreign-keys&gt;&lt;ref-type name="Journal Article"&gt;17&lt;/ref-type&gt;&lt;contributors&gt;&lt;authors&gt;&lt;author&gt;Lanigan, Kevin&lt;/author&gt;&lt;author&gt;Hibbird, Shane&lt;/author&gt;&lt;author&gt;Menpes, Sandy&lt;/author&gt;&lt;author&gt;Torkington, John&lt;/author&gt;&lt;/authors&gt;&lt;/contributors&gt;&lt;titles&gt;&lt;title&gt;Petroleum exploration in the Proterozoic Beetaloo Sub-basin, Northern Territory&lt;/title&gt;&lt;secondary-title&gt;The APEA Journal&lt;/secondary-title&gt;&lt;/titles&gt;&lt;periodical&gt;&lt;full-title&gt;The APEA Journal&lt;/full-title&gt;&lt;/periodical&gt;&lt;pages&gt;674–691&lt;/pages&gt;&lt;volume&gt;34&lt;/volume&gt;&lt;keywords&gt;&lt;keyword&gt;Beetaloo Sub-basin&lt;/keyword&gt;&lt;/keywords&gt;&lt;dates&gt;&lt;year&gt;1994&lt;/year&gt;&lt;/dates&gt;&lt;urls&gt;&lt;/urls&gt;&lt;/record&gt;&lt;/Cite&gt;&lt;/EndNote&gt;</w:instrText>
      </w:r>
      <w:r w:rsidR="00A541ED">
        <w:fldChar w:fldCharType="separate"/>
      </w:r>
      <w:r w:rsidR="00A541ED">
        <w:rPr>
          <w:noProof/>
        </w:rPr>
        <w:t>(Lanigan et al., 1994)</w:t>
      </w:r>
      <w:r w:rsidR="00A541ED">
        <w:fldChar w:fldCharType="end"/>
      </w:r>
      <w:r w:rsidR="00AE036E">
        <w:t>, which suggests that a proportion of the primary porosity is preserved</w:t>
      </w:r>
      <w:r>
        <w:t xml:space="preserve">. </w:t>
      </w:r>
      <w:bookmarkStart w:id="276" w:name="_Hlk35265764"/>
      <w:r w:rsidR="003123B1">
        <w:t>T</w:t>
      </w:r>
      <w:r w:rsidR="00AE036E">
        <w:t xml:space="preserve">his unit </w:t>
      </w:r>
      <w:r>
        <w:t xml:space="preserve">is strongly jointed </w:t>
      </w:r>
      <w:r w:rsidR="003123B1">
        <w:t xml:space="preserve">where it outcrops </w:t>
      </w:r>
      <w:r w:rsidR="00A541ED">
        <w:fldChar w:fldCharType="begin"/>
      </w:r>
      <w:r w:rsidR="00F76E0D">
        <w:instrText xml:space="preserve"> ADDIN EN.CITE &lt;EndNote&gt;&lt;Cite&gt;&lt;Author&gt;Kruse&lt;/Author&gt;&lt;Year&gt;2013&lt;/Year&gt;&lt;RecNum&gt;686&lt;/RecNum&gt;&lt;DisplayText&gt;(Kruse et al., 2013)&lt;/DisplayText&gt;&lt;record&gt;&lt;rec-number&gt;686&lt;/rec-number&gt;&lt;foreign-keys&gt;&lt;key app="EN" db-id="wdf9tzzdhw2saee559kv0vezt0wfsta0zedv" timestamp="1545264480"&gt;686&lt;/key&gt;&lt;key app="ENWeb" db-id=""&gt;0&lt;/key&gt;&lt;/foreign-keys&gt;&lt;ref-type name="Book Section"&gt;5&lt;/ref-type&gt;&lt;contributors&gt;&lt;authors&gt;&lt;author&gt;Kruse, P.D.&lt;/author&gt;&lt;author&gt;Dunster, J.N.&lt;/author&gt;&lt;author&gt;Munson, T.J.&lt;/author&gt;&lt;/authors&gt;&lt;/contributors&gt;&lt;titles&gt;&lt;title&gt;Chapter 28: Georgina Basin. In: Ahmad M and Munson TJ (eds)&lt;/title&gt;&lt;secondary-title&gt;Geology and mineral resources of the Northern Territory. Northern Territory Geological Survey, Special Publication 5&lt;/secondary-title&gt;&lt;/titles&gt;&lt;volume&gt;Special Publication 5&lt;/volume&gt;&lt;section&gt;28&lt;/section&gt;&lt;dates&gt;&lt;year&gt;2013&lt;/year&gt;&lt;/dates&gt;&lt;urls&gt;&lt;related-urls&gt;&lt;url&gt;&lt;style face="underline" font="default" size="100%"&gt;https://geoscience.nt.gov.au/gemis/ntgsjspui/bitstream/1/81508/1/GNT_Ch28_Georgina.pdf&lt;/style&gt;&lt;/url&gt;&lt;/related-urls&gt;&lt;/urls&gt;&lt;access-date&gt;28 November 2019&lt;/access-date&gt;&lt;/record&gt;&lt;/Cite&gt;&lt;/EndNote&gt;</w:instrText>
      </w:r>
      <w:r w:rsidR="00A541ED">
        <w:fldChar w:fldCharType="separate"/>
      </w:r>
      <w:r w:rsidR="00A541ED">
        <w:rPr>
          <w:noProof/>
        </w:rPr>
        <w:t>(Kruse et al., 2013)</w:t>
      </w:r>
      <w:r w:rsidR="00A541ED">
        <w:fldChar w:fldCharType="end"/>
      </w:r>
      <w:r>
        <w:t>.</w:t>
      </w:r>
      <w:bookmarkEnd w:id="276"/>
      <w:r w:rsidR="00AE036E">
        <w:t xml:space="preserve"> These fine</w:t>
      </w:r>
      <w:r w:rsidR="00F017F1">
        <w:t>-</w:t>
      </w:r>
      <w:r w:rsidR="00AE036E">
        <w:t xml:space="preserve">scale structures represent secondary porosity and potentially provide </w:t>
      </w:r>
      <w:r w:rsidR="00F361BD">
        <w:t>permeable</w:t>
      </w:r>
      <w:r w:rsidR="00AE036E">
        <w:t xml:space="preserve"> pathways for groundwater flow.</w:t>
      </w:r>
    </w:p>
    <w:p w14:paraId="646546CA" w14:textId="04B64876" w:rsidR="001E6C18" w:rsidRDefault="37D398EC" w:rsidP="001E6C18">
      <w:pPr>
        <w:pStyle w:val="BodyText"/>
      </w:pPr>
      <w:r>
        <w:t>It has a discontinuous distribution (see Section 4.3.2.</w:t>
      </w:r>
      <w:r w:rsidR="005876EB">
        <w:t xml:space="preserve">1 </w:t>
      </w:r>
      <w:r>
        <w:t xml:space="preserve">in </w:t>
      </w:r>
      <w:r w:rsidR="001E6C18">
        <w:fldChar w:fldCharType="begin"/>
      </w:r>
      <w:r w:rsidR="00F76E0D">
        <w:instrText xml:space="preserve"> ADDIN EN.CITE &lt;EndNote&gt;&lt;Cite AuthorYear="1"&gt;&lt;Author&gt;Orr&lt;/Author&gt;&lt;Year&gt;2020&lt;/Year&gt;&lt;RecNum&gt;797&lt;/RecNum&gt;&lt;DisplayText&gt;Orr et al. (2020)&lt;/DisplayText&gt;&lt;record&gt;&lt;rec-number&gt;797&lt;/rec-number&gt;&lt;foreign-keys&gt;&lt;key app="EN" db-id="wdf9tzzdhw2saee559kv0vezt0wfsta0zedv" timestamp="1552607511"&gt;797&lt;/key&gt;&lt;/foreign-keys&gt;&lt;ref-type name="Report"&gt;27&lt;/ref-type&gt;&lt;contributors&gt;&lt;authors&gt;&lt;author&gt;Orr, M.L.,&lt;/author&gt;&lt;author&gt;Bernardel, G.,&lt;/author&gt;&lt;author&gt;Owens, R.,&lt;/author&gt;&lt;author&gt;Hall,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1E6C18">
        <w:fldChar w:fldCharType="separate"/>
      </w:r>
      <w:r w:rsidRPr="37D398EC">
        <w:rPr>
          <w:noProof/>
        </w:rPr>
        <w:t>Orr et al. (2020)</w:t>
      </w:r>
      <w:r w:rsidR="001E6C18">
        <w:fldChar w:fldCharType="end"/>
      </w:r>
      <w:r>
        <w:t>) within and adjacent to the Beetaloo GBA region. The Bukalara Sandstone is intersected in 11 petroleum wells in the Beetaloo GBA region (</w:t>
      </w:r>
      <w:r w:rsidR="001E6C18">
        <w:fldChar w:fldCharType="begin"/>
      </w:r>
      <w:r w:rsidR="001E6C18">
        <w:instrText xml:space="preserve"> REF _Ref795947 \h </w:instrText>
      </w:r>
      <w:r w:rsidR="001E6C18">
        <w:fldChar w:fldCharType="separate"/>
      </w:r>
      <w:r w:rsidR="00B177F5">
        <w:t xml:space="preserve">Figure </w:t>
      </w:r>
      <w:r w:rsidR="00B177F5">
        <w:rPr>
          <w:noProof/>
        </w:rPr>
        <w:t>6</w:t>
      </w:r>
      <w:r w:rsidR="001E6C18">
        <w:fldChar w:fldCharType="end"/>
      </w:r>
      <w:r>
        <w:t xml:space="preserve">) and is up to 390 m thick subsurface. </w:t>
      </w:r>
    </w:p>
    <w:p w14:paraId="6B978238" w14:textId="79920CE6" w:rsidR="007D2DC9" w:rsidRDefault="00F361BD" w:rsidP="001E6C18">
      <w:pPr>
        <w:pStyle w:val="BodyText"/>
      </w:pPr>
      <w:r>
        <w:t>The Bukalara Sandstone</w:t>
      </w:r>
      <w:r w:rsidR="001E6C18">
        <w:t xml:space="preserve"> </w:t>
      </w:r>
      <w:r>
        <w:t xml:space="preserve">appears to occur </w:t>
      </w:r>
      <w:r w:rsidR="001E6C18">
        <w:t>in the central parts of the western Beetaloo GBA region, reaching up to 135</w:t>
      </w:r>
      <w:r w:rsidR="00F017F1">
        <w:t> </w:t>
      </w:r>
      <w:r w:rsidR="001E6C18">
        <w:t>m in thickness in Wyworrie-1</w:t>
      </w:r>
      <w:r w:rsidR="007D2DC9">
        <w:t xml:space="preserve"> (</w:t>
      </w:r>
      <w:r w:rsidR="007D2DC9">
        <w:fldChar w:fldCharType="begin"/>
      </w:r>
      <w:r w:rsidR="007D2DC9">
        <w:instrText xml:space="preserve"> REF _Ref795947 \h </w:instrText>
      </w:r>
      <w:r w:rsidR="007D2DC9">
        <w:fldChar w:fldCharType="separate"/>
      </w:r>
      <w:r w:rsidR="00B177F5">
        <w:t xml:space="preserve">Figure </w:t>
      </w:r>
      <w:r w:rsidR="00B177F5">
        <w:rPr>
          <w:noProof/>
        </w:rPr>
        <w:t>6</w:t>
      </w:r>
      <w:r w:rsidR="007D2DC9">
        <w:fldChar w:fldCharType="end"/>
      </w:r>
      <w:r w:rsidR="007D2DC9">
        <w:t>)</w:t>
      </w:r>
      <w:r w:rsidR="001E6C18">
        <w:t xml:space="preserve">. In the eastern Beetaloo GBA </w:t>
      </w:r>
      <w:r w:rsidR="00D835D9">
        <w:t>r</w:t>
      </w:r>
      <w:r w:rsidR="001E6C18">
        <w:t xml:space="preserve">egion, </w:t>
      </w:r>
      <w:r>
        <w:t xml:space="preserve">it </w:t>
      </w:r>
      <w:r w:rsidR="001E6C18">
        <w:t>thickens eastwards</w:t>
      </w:r>
      <w:r>
        <w:t>,</w:t>
      </w:r>
      <w:r w:rsidR="001E6C18">
        <w:t xml:space="preserve"> from Shenandoah-1 and Balmain-1 (58 m) through Amungee NW-1 (105 m) to Tanumbirini-1 (390 m). </w:t>
      </w:r>
      <w:r w:rsidR="002E6955">
        <w:t>The</w:t>
      </w:r>
      <w:r w:rsidR="007D2DC9">
        <w:t xml:space="preserve"> Bukalara Sandst</w:t>
      </w:r>
      <w:r w:rsidR="00842F55">
        <w:t>one is up</w:t>
      </w:r>
      <w:r w:rsidR="001E6C18">
        <w:t xml:space="preserve"> </w:t>
      </w:r>
      <w:r w:rsidR="006615B5">
        <w:t xml:space="preserve">to </w:t>
      </w:r>
      <w:r w:rsidR="001E6C18">
        <w:t xml:space="preserve">72 m </w:t>
      </w:r>
      <w:r w:rsidR="006615B5">
        <w:t xml:space="preserve">in </w:t>
      </w:r>
      <w:r w:rsidR="001E6C18">
        <w:t>thicknes</w:t>
      </w:r>
      <w:r w:rsidR="00842F55">
        <w:t xml:space="preserve">s </w:t>
      </w:r>
      <w:r w:rsidR="007D2DC9">
        <w:t xml:space="preserve">further north on parts of the Walton High (along the margin) </w:t>
      </w:r>
      <w:r w:rsidR="00842F55">
        <w:t xml:space="preserve">and </w:t>
      </w:r>
      <w:r w:rsidR="001E6C18">
        <w:t xml:space="preserve">presumably continuous </w:t>
      </w:r>
      <w:r w:rsidR="007D2DC9">
        <w:t>northwards towards outcropping areas outside the reg</w:t>
      </w:r>
      <w:r w:rsidR="00842F55">
        <w:t>i</w:t>
      </w:r>
      <w:r w:rsidR="007D2DC9">
        <w:t>o</w:t>
      </w:r>
      <w:r w:rsidR="00842F55">
        <w:t>n</w:t>
      </w:r>
      <w:r w:rsidR="001E6C18">
        <w:t xml:space="preserve">. </w:t>
      </w:r>
      <w:r w:rsidR="007D2DC9">
        <w:t>Where it outcrops to the north of the Beetaloo GBA region on Nutwood Downs Station, it has an estimated thickness</w:t>
      </w:r>
      <w:r>
        <w:t xml:space="preserve"> </w:t>
      </w:r>
      <w:r w:rsidR="007D2DC9">
        <w:t>of 60 m.</w:t>
      </w:r>
    </w:p>
    <w:p w14:paraId="232292CB" w14:textId="369FF62A" w:rsidR="002D3DFF" w:rsidRDefault="001E6C18" w:rsidP="007D2DC9">
      <w:pPr>
        <w:pStyle w:val="BodyText"/>
      </w:pPr>
      <w:r>
        <w:t>The sandstone unit i</w:t>
      </w:r>
      <w:r w:rsidR="007D2DC9">
        <w:t>s thin (less than 25 m in J</w:t>
      </w:r>
      <w:r>
        <w:t xml:space="preserve">amison-1, Shortland-1) to absent </w:t>
      </w:r>
      <w:r w:rsidR="007D2DC9">
        <w:t>in southern parts of</w:t>
      </w:r>
      <w:r>
        <w:t xml:space="preserve"> </w:t>
      </w:r>
      <w:r w:rsidR="007D2DC9">
        <w:t>the</w:t>
      </w:r>
      <w:r>
        <w:t xml:space="preserve"> </w:t>
      </w:r>
      <w:r w:rsidR="007D2DC9">
        <w:t>eastern Beetaloo GBA region.</w:t>
      </w:r>
      <w:r w:rsidR="002D3DFF">
        <w:t xml:space="preserve"> </w:t>
      </w:r>
    </w:p>
    <w:p w14:paraId="4D744BB7" w14:textId="34EAFFA2" w:rsidR="0092759F" w:rsidRDefault="0092759F" w:rsidP="0092759F">
      <w:r>
        <w:t>The Cox Formation is only recognised in two petroleum wells in the Beetaloo GBA region (McManus</w:t>
      </w:r>
      <w:r w:rsidR="0031643D">
        <w:t>-</w:t>
      </w:r>
      <w:r>
        <w:t>1 and Tarlee</w:t>
      </w:r>
      <w:r w:rsidR="0031643D">
        <w:t>-</w:t>
      </w:r>
      <w:r w:rsidR="00887BCA">
        <w:t>S</w:t>
      </w:r>
      <w:r>
        <w:t>3</w:t>
      </w:r>
      <w:r w:rsidR="00AC1904">
        <w:t xml:space="preserve">, see </w:t>
      </w:r>
      <w:r w:rsidR="00AC1904">
        <w:fldChar w:fldCharType="begin"/>
      </w:r>
      <w:r w:rsidR="00AC1904">
        <w:instrText xml:space="preserve"> REF _Ref795947 \h </w:instrText>
      </w:r>
      <w:r w:rsidR="00AC1904">
        <w:fldChar w:fldCharType="separate"/>
      </w:r>
      <w:r w:rsidR="00B177F5">
        <w:t xml:space="preserve">Figure </w:t>
      </w:r>
      <w:r w:rsidR="00B177F5">
        <w:rPr>
          <w:noProof/>
        </w:rPr>
        <w:t>6</w:t>
      </w:r>
      <w:r w:rsidR="00AC1904">
        <w:fldChar w:fldCharType="end"/>
      </w:r>
      <w:r w:rsidR="00AC1904">
        <w:t xml:space="preserve"> for locations of wells</w:t>
      </w:r>
      <w:r>
        <w:t xml:space="preserve">). </w:t>
      </w:r>
      <w:r w:rsidR="00A541ED">
        <w:fldChar w:fldCharType="begin"/>
      </w:r>
      <w:r w:rsidR="00F76E0D">
        <w:instrText xml:space="preserve"> ADDIN EN.CITE &lt;EndNote&gt;&lt;Cite AuthorYear="1"&gt;&lt;Author&gt;EcOz Environmental Consultants&lt;/Author&gt;&lt;Year&gt;2015&lt;/Year&gt;&lt;RecNum&gt;702&lt;/RecNum&gt;&lt;DisplayText&gt;EcOz Environmental Consultants (2015)&lt;/DisplayText&gt;&lt;record&gt;&lt;rec-number&gt;702&lt;/rec-number&gt;&lt;foreign-keys&gt;&lt;key app="EN" db-id="wdf9tzzdhw2saee559kv0vezt0wfsta0zedv" timestamp="1545264527"&gt;702&lt;/key&gt;&lt;/foreign-keys&gt;&lt;ref-type name="Report"&gt;27&lt;/ref-type&gt;&lt;contributors&gt;&lt;authors&gt;&lt;author&gt;EcOz Environmental Consultants,&lt;/author&gt;&lt;/authors&gt;&lt;secondary-authors&gt;&lt;author&gt;EcOz Environmental Consultants&lt;/author&gt;&lt;/secondary-authors&gt;&lt;/contributors&gt;&lt;titles&gt;&lt;title&gt;Surface and groundwater characterisation report – Sturt Plateau Region NT. Report prepared for Pangaea Resources for submission to the NT fracking inquiry&lt;/title&gt;&lt;/titles&gt;&lt;pages&gt;53&lt;/pages&gt;&lt;dates&gt;&lt;year&gt;2015&lt;/year&gt;&lt;pub-dates&gt;&lt;date&gt;2/10/2015&lt;/date&gt;&lt;/pub-dates&gt;&lt;/dates&gt;&lt;pub-location&gt;Darwin&lt;/pub-location&gt;&lt;urls&gt;&lt;related-urls&gt;&lt;url&gt;https://frackinginquiry.nt.gov.au/?a=424269&lt;/url&gt;&lt;/related-urls&gt;&lt;/urls&gt;&lt;access-date&gt;28 November 2019&lt;/access-date&gt;&lt;/record&gt;&lt;/Cite&gt;&lt;/EndNote&gt;</w:instrText>
      </w:r>
      <w:r w:rsidR="00A541ED">
        <w:fldChar w:fldCharType="separate"/>
      </w:r>
      <w:r w:rsidR="00A541ED">
        <w:rPr>
          <w:noProof/>
        </w:rPr>
        <w:t>EcOz Environmental Consultants (2015)</w:t>
      </w:r>
      <w:r w:rsidR="00A541ED">
        <w:fldChar w:fldCharType="end"/>
      </w:r>
      <w:r w:rsidR="00743155">
        <w:t xml:space="preserve"> </w:t>
      </w:r>
      <w:r>
        <w:t xml:space="preserve">reports that thin discontinuous intersections of Cox Formation occur in </w:t>
      </w:r>
      <w:r w:rsidR="0085577D">
        <w:t xml:space="preserve">the </w:t>
      </w:r>
      <w:r>
        <w:t xml:space="preserve">southern part of the western Beetaloo </w:t>
      </w:r>
      <w:r w:rsidR="007D2DC9">
        <w:t>GBA region</w:t>
      </w:r>
      <w:r>
        <w:t>. It may be that this unit is not widespread, or alternatively</w:t>
      </w:r>
      <w:r w:rsidR="0085577D">
        <w:t>,</w:t>
      </w:r>
      <w:r>
        <w:t xml:space="preserve"> it has not been recognised </w:t>
      </w:r>
      <w:r w:rsidR="00AD1A11">
        <w:t>as of February 2019</w:t>
      </w:r>
      <w:r>
        <w:t xml:space="preserve"> in the stratigraphic logs. The Kiana Group is unconformably overlain by the Antrim Plateau Volcanics.</w:t>
      </w:r>
    </w:p>
    <w:p w14:paraId="227F1506" w14:textId="02905875" w:rsidR="002D3DFF" w:rsidRDefault="002D3DFF" w:rsidP="002D3DFF">
      <w:pPr>
        <w:pStyle w:val="BodyText"/>
      </w:pPr>
      <w:r w:rsidRPr="003E1F1E">
        <w:t>The Bukalara Sandstone</w:t>
      </w:r>
      <w:r w:rsidRPr="007E00CC">
        <w:t xml:space="preserve"> is considered porous and permeable due to minimal occlusion by cements </w:t>
      </w:r>
      <w:r w:rsidRPr="003E1F1E">
        <w:t xml:space="preserve">and hence, where the unit is present, could act as a vertical or horizontal conduit. </w:t>
      </w:r>
      <w:r>
        <w:t>However, t</w:t>
      </w:r>
      <w:r w:rsidRPr="003E1F1E">
        <w:t xml:space="preserve">he Cox </w:t>
      </w:r>
      <w:r>
        <w:t>F</w:t>
      </w:r>
      <w:r w:rsidRPr="003E1F1E">
        <w:t>ormation, as a leaky aquitard, is expected to act as a barrier to connectivity where present.</w:t>
      </w:r>
    </w:p>
    <w:p w14:paraId="61C90C3E" w14:textId="0BF90DD8" w:rsidR="006C1517" w:rsidRDefault="006C1517" w:rsidP="006C1517">
      <w:pPr>
        <w:pStyle w:val="Heading4"/>
      </w:pPr>
      <w:r>
        <w:t>Kalkarindji Province</w:t>
      </w:r>
      <w:r w:rsidR="00544D08">
        <w:t xml:space="preserve"> and</w:t>
      </w:r>
      <w:r>
        <w:t xml:space="preserve"> Georgina, Daly and Wiso basins</w:t>
      </w:r>
    </w:p>
    <w:p w14:paraId="78E79DA8" w14:textId="67A3585C" w:rsidR="006C1517" w:rsidRDefault="006C1517" w:rsidP="006C1517">
      <w:pPr>
        <w:pStyle w:val="BodyText"/>
      </w:pPr>
      <w:r>
        <w:t xml:space="preserve">Units of the Kalkarindji Province, and those of the overlying Georgina, Daly and Wiso basins </w:t>
      </w:r>
      <w:r w:rsidR="0031643D">
        <w:t xml:space="preserve">are </w:t>
      </w:r>
      <w:r w:rsidR="00A66DE9">
        <w:t xml:space="preserve">part of the Centralian B Superbasin </w:t>
      </w:r>
      <w:r w:rsidR="00A541ED">
        <w:fldChar w:fldCharType="begin"/>
      </w:r>
      <w:r w:rsidR="00F76E0D">
        <w:instrText xml:space="preserve"> ADDIN EN.CITE &lt;EndNote&gt;&lt;Cite&gt;&lt;Author&gt;Orr&lt;/Author&gt;&lt;Year&gt;2020&lt;/Year&gt;&lt;RecNum&gt;797&lt;/RecNum&gt;&lt;DisplayText&gt;(Orr et al., 2020)&lt;/DisplayText&gt;&lt;record&gt;&lt;rec-number&gt;797&lt;/rec-number&gt;&lt;foreign-keys&gt;&lt;key app="EN" db-id="wdf9tzzdhw2saee559kv0vezt0wfsta0zedv" timestamp="1552607511"&gt;797&lt;/key&gt;&lt;/foreign-keys&gt;&lt;ref-type name="Report"&gt;27&lt;/ref-type&gt;&lt;contributors&gt;&lt;authors&gt;&lt;author&gt;Orr, M.L.,&lt;/author&gt;&lt;author&gt;Bernardel, G.,&lt;/author&gt;&lt;author&gt;Owens, R.,&lt;/author&gt;&lt;author&gt;Hall,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A541ED">
        <w:fldChar w:fldCharType="separate"/>
      </w:r>
      <w:r w:rsidR="006456ED">
        <w:rPr>
          <w:noProof/>
        </w:rPr>
        <w:t>(Orr et al., 2020)</w:t>
      </w:r>
      <w:r w:rsidR="00A541ED">
        <w:fldChar w:fldCharType="end"/>
      </w:r>
      <w:r w:rsidR="00A66DE9">
        <w:t xml:space="preserve"> and </w:t>
      </w:r>
      <w:r w:rsidR="0031643D">
        <w:t>make up much</w:t>
      </w:r>
      <w:r w:rsidR="00A66DE9">
        <w:t xml:space="preserve"> of </w:t>
      </w:r>
      <w:r>
        <w:t xml:space="preserve">the extensive cover over the </w:t>
      </w:r>
      <w:r w:rsidR="00DF428B">
        <w:t>Roper Group</w:t>
      </w:r>
      <w:r w:rsidR="00E105A5">
        <w:t xml:space="preserve"> in the Beetaloo Sub-basin</w:t>
      </w:r>
      <w:r>
        <w:t>. From petroleum well intercepts, these sequences cumulatively vary in thickness from 102 to 554</w:t>
      </w:r>
      <w:r w:rsidR="00ED4C4A">
        <w:t> </w:t>
      </w:r>
      <w:r>
        <w:t>m, with an average thickness of 344</w:t>
      </w:r>
      <w:r w:rsidR="00ED4C4A">
        <w:t> </w:t>
      </w:r>
      <w:r>
        <w:t>m (for further detail see Section 4.3.3 in</w:t>
      </w:r>
      <w:r w:rsidDel="00B006AF">
        <w:t xml:space="preserve"> </w:t>
      </w:r>
      <w:r w:rsidR="00A541ED">
        <w:fldChar w:fldCharType="begin"/>
      </w:r>
      <w:r w:rsidR="00F76E0D">
        <w:instrText xml:space="preserve"> ADDIN EN.CITE &lt;EndNote&gt;&lt;Cite AuthorYear="1"&gt;&lt;Author&gt;Orr&lt;/Author&gt;&lt;Year&gt;2020&lt;/Year&gt;&lt;RecNum&gt;797&lt;/RecNum&gt;&lt;DisplayText&gt;Orr et al. (2020)&lt;/DisplayText&gt;&lt;record&gt;&lt;rec-number&gt;797&lt;/rec-number&gt;&lt;foreign-keys&gt;&lt;key app="EN" db-id="wdf9tzzdhw2saee559kv0vezt0wfsta0zedv" timestamp="1552607511"&gt;797&lt;/key&gt;&lt;/foreign-keys&gt;&lt;ref-type name="Report"&gt;27&lt;/ref-type&gt;&lt;contributors&gt;&lt;authors&gt;&lt;author&gt;Orr, M.L.,&lt;/author&gt;&lt;author&gt;Bernardel, G.,&lt;/author&gt;&lt;author&gt;Owens, R.,&lt;/author&gt;&lt;author&gt;Hall,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A541ED">
        <w:fldChar w:fldCharType="separate"/>
      </w:r>
      <w:r w:rsidR="006456ED">
        <w:rPr>
          <w:noProof/>
        </w:rPr>
        <w:t>Orr et al. (2020)</w:t>
      </w:r>
      <w:r w:rsidR="00A541ED">
        <w:fldChar w:fldCharType="end"/>
      </w:r>
      <w:r>
        <w:t>).</w:t>
      </w:r>
    </w:p>
    <w:p w14:paraId="68982EE3" w14:textId="77777777" w:rsidR="006C1517" w:rsidRPr="002459E6" w:rsidRDefault="006C1517" w:rsidP="006C1517">
      <w:pPr>
        <w:pStyle w:val="Heading5"/>
      </w:pPr>
      <w:bookmarkStart w:id="277" w:name="_Ref5783549"/>
      <w:r>
        <w:t>Kalkarindji Igneous Province</w:t>
      </w:r>
      <w:bookmarkEnd w:id="277"/>
    </w:p>
    <w:p w14:paraId="30FC31C7" w14:textId="69B5A53A" w:rsidR="007A7BAE" w:rsidRDefault="006C1517" w:rsidP="007A7BAE">
      <w:r>
        <w:t xml:space="preserve">The Antrim Plateau Volcanics </w:t>
      </w:r>
      <w:r w:rsidR="00A541ED">
        <w:fldChar w:fldCharType="begin"/>
      </w:r>
      <w:r w:rsidR="00F76E0D">
        <w:instrText xml:space="preserve"> ADDIN EN.CITE &lt;EndNote&gt;&lt;Cite&gt;&lt;Author&gt;Bultitude&lt;/Author&gt;&lt;Year&gt;1976&lt;/Year&gt;&lt;RecNum&gt;736&lt;/RecNum&gt;&lt;DisplayText&gt;(Bultitude, 1976)&lt;/DisplayText&gt;&lt;record&gt;&lt;rec-number&gt;736&lt;/rec-number&gt;&lt;foreign-keys&gt;&lt;key app="EN" db-id="wdf9tzzdhw2saee559kv0vezt0wfsta0zedv" timestamp="1550544786"&gt;736&lt;/key&gt;&lt;/foreign-keys&gt;&lt;ref-type name="Book Section"&gt;5&lt;/ref-type&gt;&lt;contributors&gt;&lt;authors&gt;&lt;author&gt;Bultitude, R. J.&lt;/author&gt;&lt;/authors&gt;&lt;secondary-authors&gt;&lt;author&gt;Johnson, R. W.&lt;/author&gt;&lt;/secondary-authors&gt;&lt;/contributors&gt;&lt;titles&gt;&lt;title&gt;Flood basalts of probable early Cambrian age in northern Australia&lt;/title&gt;&lt;secondary-title&gt;Volcanism in Australia&lt;/secondary-title&gt;&lt;/titles&gt;&lt;pages&gt;1–20&lt;/pages&gt;&lt;dates&gt;&lt;year&gt;1976&lt;/year&gt;&lt;/dates&gt;&lt;pub-location&gt;Amsterdam&lt;/pub-location&gt;&lt;publisher&gt;Elsevier&lt;/publisher&gt;&lt;urls&gt;&lt;/urls&gt;&lt;/record&gt;&lt;/Cite&gt;&lt;/EndNote&gt;</w:instrText>
      </w:r>
      <w:r w:rsidR="00A541ED">
        <w:fldChar w:fldCharType="separate"/>
      </w:r>
      <w:r w:rsidR="00A541ED">
        <w:rPr>
          <w:noProof/>
        </w:rPr>
        <w:t>(Bultitude, 1976)</w:t>
      </w:r>
      <w:r w:rsidR="00A541ED">
        <w:fldChar w:fldCharType="end"/>
      </w:r>
      <w:r>
        <w:t>, Nutwood Downs Volcanics and Helen Springs Volcanics are subsets of the extensive flood basalts of the late Early Cambrian Kalkarindji Igneous P</w:t>
      </w:r>
      <w:r w:rsidR="007F0842">
        <w:t xml:space="preserve">rovince </w:t>
      </w:r>
      <w:r w:rsidR="007F0842">
        <w:fldChar w:fldCharType="begin"/>
      </w:r>
      <w:r w:rsidR="00F76E0D">
        <w:instrText xml:space="preserve"> ADDIN EN.CITE &lt;EndNote&gt;&lt;Cite&gt;&lt;Author&gt;Ahmed&lt;/Author&gt;&lt;Year&gt;2013&lt;/Year&gt;&lt;RecNum&gt;746&lt;/RecNum&gt;&lt;DisplayText&gt;(Ahmed and Munson, 2013)&lt;/DisplayText&gt;&lt;record&gt;&lt;rec-number&gt;746&lt;/rec-number&gt;&lt;foreign-keys&gt;&lt;key app="EN" db-id="wdf9tzzdhw2saee559kv0vezt0wfsta0zedv" timestamp="1550544858"&gt;746&lt;/key&gt;&lt;/foreign-keys&gt;&lt;ref-type name="Book"&gt;6&lt;/ref-type&gt;&lt;contributors&gt;&lt;authors&gt;&lt;author&gt;Ahmed, M.&lt;/author&gt;&lt;author&gt;Munson, T. J.&lt;/author&gt;&lt;/authors&gt;&lt;/contributors&gt;&lt;titles&gt;&lt;title&gt;Geology and mineral resources of the Northern Territory&lt;/title&gt;&lt;/titles&gt;&lt;dates&gt;&lt;year&gt;2013&lt;/year&gt;&lt;/dates&gt;&lt;publisher&gt;Northern Territory Geological Survey&lt;/publisher&gt;&lt;urls&gt;&lt;/urls&gt;&lt;/record&gt;&lt;/Cite&gt;&lt;/EndNote&gt;</w:instrText>
      </w:r>
      <w:r w:rsidR="007F0842">
        <w:fldChar w:fldCharType="separate"/>
      </w:r>
      <w:r w:rsidR="007F0842">
        <w:rPr>
          <w:noProof/>
        </w:rPr>
        <w:t>(Ahmed and Munson, 2013)</w:t>
      </w:r>
      <w:r w:rsidR="007F0842">
        <w:fldChar w:fldCharType="end"/>
      </w:r>
      <w:r>
        <w:t>. This volcanic sequence contains a series of predominantly fine-grained massive basalt flows with a vesicular zone at the top of individual flows.</w:t>
      </w:r>
      <w:r w:rsidR="00F361BD">
        <w:t xml:space="preserve"> Sedimentary rocks found between basalt flows</w:t>
      </w:r>
      <w:r w:rsidR="00431427">
        <w:t xml:space="preserve"> include aeolian sandstone, chert and minor limestone </w:t>
      </w:r>
      <w:r w:rsidR="004D6411">
        <w:fldChar w:fldCharType="begin"/>
      </w:r>
      <w:r w:rsidR="00F76E0D">
        <w:instrText xml:space="preserve"> ADDIN EN.CITE &lt;EndNote&gt;&lt;Cite&gt;&lt;Author&gt;Brown&lt;/Author&gt;&lt;Year&gt;1986&lt;/Year&gt;&lt;RecNum&gt;1354&lt;/RecNum&gt;&lt;DisplayText&gt;(Brown, 1986)&lt;/DisplayText&gt;&lt;record&gt;&lt;rec-number&gt;1354&lt;/rec-number&gt;&lt;foreign-keys&gt;&lt;key app="EN" db-id="wdf9tzzdhw2saee559kv0vezt0wfsta0zedv" timestamp="1574145542"&gt;1354&lt;/key&gt;&lt;/foreign-keys&gt;&lt;ref-type name="Conference Paper"&gt;47&lt;/ref-type&gt;&lt;contributors&gt;&lt;authors&gt;&lt;author&gt;Brown, M.C&lt;/author&gt;&lt;/authors&gt;&lt;/contributors&gt;&lt;titles&gt;&lt;title&gt;Early Cambrian aeolian dune sandstones in the Northern Territory&lt;/title&gt;&lt;secondary-title&gt;Sediments Down-Under. 12th International Sedimentological Congress - Abstracts &lt;/secondary-title&gt;&lt;/titles&gt;&lt;pages&gt;46&lt;/pages&gt;&lt;dates&gt;&lt;year&gt;1986&lt;/year&gt;&lt;pub-dates&gt;&lt;date&gt;24 - 30 August 1986&lt;/date&gt;&lt;/pub-dates&gt;&lt;/dates&gt;&lt;pub-location&gt;Canberra&lt;/pub-location&gt;&lt;publisher&gt;International Sedimentological Congress&lt;/publisher&gt;&lt;urls&gt;&lt;/urls&gt;&lt;custom1&gt;Canberra&lt;/custom1&gt;&lt;/record&gt;&lt;/Cite&gt;&lt;/EndNote&gt;</w:instrText>
      </w:r>
      <w:r w:rsidR="004D6411">
        <w:fldChar w:fldCharType="separate"/>
      </w:r>
      <w:r w:rsidR="004D6411">
        <w:rPr>
          <w:noProof/>
        </w:rPr>
        <w:t>(Brown, 1986)</w:t>
      </w:r>
      <w:r w:rsidR="004D6411">
        <w:fldChar w:fldCharType="end"/>
      </w:r>
      <w:r w:rsidR="00431427">
        <w:t xml:space="preserve">. </w:t>
      </w:r>
      <w:r>
        <w:t xml:space="preserve">Thicker sections of the Antrim Plateau Volcanics </w:t>
      </w:r>
      <w:r w:rsidR="00056876">
        <w:t xml:space="preserve">may </w:t>
      </w:r>
      <w:r>
        <w:t xml:space="preserve">have negligible primary porosity as the vesicular </w:t>
      </w:r>
      <w:r w:rsidR="00ED4C4A">
        <w:t>spaces</w:t>
      </w:r>
      <w:r w:rsidR="00056876">
        <w:t xml:space="preserve"> are often</w:t>
      </w:r>
      <w:r w:rsidR="00431427">
        <w:t xml:space="preserve"> </w:t>
      </w:r>
      <w:r w:rsidR="00056876">
        <w:t>in</w:t>
      </w:r>
      <w:r w:rsidR="00ED4C4A">
        <w:t>filled</w:t>
      </w:r>
      <w:r w:rsidR="00056876">
        <w:t xml:space="preserve"> with</w:t>
      </w:r>
      <w:r>
        <w:t xml:space="preserve"> chalcedony, agate, prehnite, amethyst or zeolites. Locally</w:t>
      </w:r>
      <w:r w:rsidR="005702EA">
        <w:t>,</w:t>
      </w:r>
      <w:r>
        <w:t xml:space="preserve"> bands of bitumen are known to be stratiform within the flows </w:t>
      </w:r>
      <w:r w:rsidR="00A541ED">
        <w:fldChar w:fldCharType="begin"/>
      </w:r>
      <w:r w:rsidR="00F76E0D">
        <w:instrText xml:space="preserve"> ADDIN EN.CITE &lt;EndNote&gt;&lt;Cite&gt;&lt;Author&gt;Glass&lt;/Author&gt;&lt;Year&gt;2013&lt;/Year&gt;&lt;RecNum&gt;683&lt;/RecNum&gt;&lt;DisplayText&gt;(Glass et al., 2013)&lt;/DisplayText&gt;&lt;record&gt;&lt;rec-number&gt;683&lt;/rec-number&gt;&lt;foreign-keys&gt;&lt;key app="EN" db-id="wdf9tzzdhw2saee559kv0vezt0wfsta0zedv" timestamp="1545264453"&gt;683&lt;/key&gt;&lt;key app="ENWeb" db-id=""&gt;0&lt;/key&gt;&lt;/foreign-keys&gt;&lt;ref-type name="Book Section"&gt;5&lt;/ref-type&gt;&lt;contributors&gt;&lt;authors&gt;&lt;author&gt;Glass, LM&lt;/author&gt;&lt;author&gt;Ahmad, M&lt;/author&gt;&lt;author&gt;Dunster, JN&lt;/author&gt;&lt;/authors&gt;&lt;secondary-authors&gt;&lt;author&gt;Ahmad, M &lt;/author&gt;&lt;author&gt;Munson, TJ&lt;/author&gt;&lt;/secondary-authors&gt;&lt;/contributors&gt;&lt;titles&gt;&lt;title&gt;Chapter 30: Kalkarindji Province&lt;/title&gt;&lt;secondary-title&gt;Geology and mineral resources of the Northern Territory&lt;/secondary-title&gt;&lt;/titles&gt;&lt;volume&gt;Special Publication 5&lt;/volume&gt;&lt;section&gt;30&lt;/section&gt;&lt;dates&gt;&lt;year&gt;2013&lt;/year&gt;&lt;/dates&gt;&lt;pub-location&gt;Darwin, NT, Australia&lt;/pub-location&gt;&lt;publisher&gt;Northern Territory Geological Survey&lt;/publisher&gt;&lt;urls&gt;&lt;related-urls&gt;&lt;url&gt;&lt;style face="underline" font="default" size="100%"&gt;https://geoscience.nt.gov.au/gemis/ntgsjspui/bitstream/1/81510/1/GNT_Ch30_Kalk.pdf&lt;/style&gt;&lt;/url&gt;&lt;/related-urls&gt;&lt;/urls&gt;&lt;/record&gt;&lt;/Cite&gt;&lt;/EndNote&gt;</w:instrText>
      </w:r>
      <w:r w:rsidR="00A541ED">
        <w:fldChar w:fldCharType="separate"/>
      </w:r>
      <w:r w:rsidR="00A541ED">
        <w:rPr>
          <w:noProof/>
        </w:rPr>
        <w:t>(Glass et al., 2013)</w:t>
      </w:r>
      <w:r w:rsidR="00A541ED">
        <w:fldChar w:fldCharType="end"/>
      </w:r>
      <w:r w:rsidR="007B61AA">
        <w:t>.</w:t>
      </w:r>
      <w:r w:rsidR="00A47209">
        <w:t xml:space="preserve"> </w:t>
      </w:r>
      <w:r w:rsidR="007A7BAE">
        <w:t xml:space="preserve">Outcrop of the Antrim Plateau Volcanics is found </w:t>
      </w:r>
      <w:r w:rsidR="00C7771A">
        <w:t xml:space="preserve">outside the Beetaloo GBA region </w:t>
      </w:r>
      <w:r w:rsidR="00C7771A" w:rsidRPr="00470EDF">
        <w:rPr>
          <w:rStyle w:val="BodyTextChar"/>
        </w:rPr>
        <w:t>(</w:t>
      </w:r>
      <w:r w:rsidR="00C7771A" w:rsidRPr="00470EDF">
        <w:rPr>
          <w:rStyle w:val="BodyTextChar"/>
        </w:rPr>
        <w:fldChar w:fldCharType="begin"/>
      </w:r>
      <w:r w:rsidR="00C7771A" w:rsidRPr="00470EDF">
        <w:rPr>
          <w:rStyle w:val="BodyTextChar"/>
        </w:rPr>
        <w:instrText xml:space="preserve"> REF _Ref795947 \h </w:instrText>
      </w:r>
      <w:r w:rsidR="00C7771A">
        <w:rPr>
          <w:rStyle w:val="BodyTextChar"/>
        </w:rPr>
        <w:instrText xml:space="preserve"> \* MERGEFORMAT </w:instrText>
      </w:r>
      <w:r w:rsidR="00C7771A" w:rsidRPr="00470EDF">
        <w:rPr>
          <w:rStyle w:val="BodyTextChar"/>
        </w:rPr>
      </w:r>
      <w:r w:rsidR="00C7771A" w:rsidRPr="00470EDF">
        <w:rPr>
          <w:rStyle w:val="BodyTextChar"/>
        </w:rPr>
        <w:fldChar w:fldCharType="separate"/>
      </w:r>
      <w:r w:rsidR="00B177F5" w:rsidRPr="00B177F5">
        <w:rPr>
          <w:rStyle w:val="BodyTextChar"/>
        </w:rPr>
        <w:t>Figure 6</w:t>
      </w:r>
      <w:r w:rsidR="00C7771A" w:rsidRPr="00470EDF">
        <w:rPr>
          <w:rStyle w:val="BodyTextChar"/>
        </w:rPr>
        <w:fldChar w:fldCharType="end"/>
      </w:r>
      <w:r w:rsidR="00C7771A" w:rsidRPr="00470EDF">
        <w:rPr>
          <w:rStyle w:val="BodyTextChar"/>
        </w:rPr>
        <w:t>)</w:t>
      </w:r>
      <w:r w:rsidR="00C7771A">
        <w:t>. Within the regi</w:t>
      </w:r>
      <w:r w:rsidR="007A7BAE">
        <w:t xml:space="preserve">on </w:t>
      </w:r>
      <w:r w:rsidR="0084227A">
        <w:t xml:space="preserve">the Antrim Plateau </w:t>
      </w:r>
      <w:r w:rsidR="002E6955">
        <w:t>Volcanics is</w:t>
      </w:r>
      <w:r w:rsidR="007A7BAE">
        <w:t xml:space="preserve"> unconformably overlain and completely covered </w:t>
      </w:r>
      <w:r w:rsidR="00C7771A">
        <w:t xml:space="preserve">by the Cambrian Limestone Aquifer (CLA) </w:t>
      </w:r>
      <w:r w:rsidR="0084227A">
        <w:t xml:space="preserve">and </w:t>
      </w:r>
      <w:r w:rsidR="00C7771A">
        <w:t xml:space="preserve">the Carpentaria Basin. </w:t>
      </w:r>
    </w:p>
    <w:p w14:paraId="014FA46F" w14:textId="2807EBBD" w:rsidR="00C7771A" w:rsidRDefault="00C7771A" w:rsidP="00C7771A">
      <w:pPr>
        <w:pStyle w:val="BodyText"/>
      </w:pPr>
      <w:r>
        <w:t xml:space="preserve">The Antrim Plateau Volcanics are readily identified on magnetic imagery </w:t>
      </w:r>
      <w:r>
        <w:fldChar w:fldCharType="begin"/>
      </w:r>
      <w:r w:rsidR="00F76E0D">
        <w:instrText xml:space="preserve"> ADDIN EN.CITE &lt;EndNote&gt;&lt;Cite&gt;&lt;Author&gt;Clifton&lt;/Author&gt;&lt;Year&gt;2008&lt;/Year&gt;&lt;RecNum&gt;680&lt;/RecNum&gt;&lt;DisplayText&gt;(Clifton, 2008)&lt;/DisplayText&gt;&lt;record&gt;&lt;rec-number&gt;680&lt;/rec-number&gt;&lt;foreign-keys&gt;&lt;key app="EN" db-id="wdf9tzzdhw2saee559kv0vezt0wfsta0zedv" timestamp="1545264443"&gt;680&lt;/key&gt;&lt;key app="ENWeb" db-id=""&gt;0&lt;/key&gt;&lt;/foreign-keys&gt;&lt;ref-type name="Map"&gt;20&lt;/ref-type&gt;&lt;contributors&gt;&lt;authors&gt;&lt;author&gt;Clifton, R.&lt;/author&gt;&lt;/authors&gt;&lt;/contributors&gt;&lt;titles&gt;&lt;title&gt;Magnetic map of the Northern Territory&lt;/title&gt;&lt;/titles&gt;&lt;edition&gt;2018 edition&lt;/edition&gt;&lt;keywords&gt;&lt;keyword&gt;Northern Territory&lt;/keyword&gt;&lt;keyword&gt;aeromagnetics&lt;/keyword&gt;&lt;keyword&gt;Territory-wide Map&lt;/keyword&gt;&lt;keyword&gt;Airborne Magnetic and Radiometric Survey&lt;/keyword&gt;&lt;keyword&gt;Geophysical Image&lt;/keyword&gt;&lt;/keywords&gt;&lt;dates&gt;&lt;year&gt;2008&lt;/year&gt;&lt;/dates&gt;&lt;pub-location&gt;Darwin&lt;/pub-location&gt;&lt;publisher&gt;Northern Territory Geological Survey&lt;/publisher&gt;&lt;urls&gt;&lt;related-urls&gt;&lt;url&gt;&lt;style face="underline" font="default" size="100%"&gt;https://geoscience.nt.gov.au/gemis/ntgsjspui/handle/1/82589&lt;/style&gt;&lt;/url&gt;&lt;/related-urls&gt;&lt;/urls&gt;&lt;research-notes&gt;Bruce cited the 2008 edition, but Eamon can&amp;apos;t find it. Eamon can find older versions (2007, 2005, 2003) and the current 2016 edition&lt;/research-notes&gt;&lt;access-date&gt;24 October 2019&lt;/access-date&gt;&lt;/record&gt;&lt;/Cite&gt;&lt;/EndNote&gt;</w:instrText>
      </w:r>
      <w:r>
        <w:fldChar w:fldCharType="separate"/>
      </w:r>
      <w:r w:rsidR="00B05547">
        <w:rPr>
          <w:noProof/>
        </w:rPr>
        <w:t>(Clifton, 2008)</w:t>
      </w:r>
      <w:r>
        <w:fldChar w:fldCharType="end"/>
      </w:r>
      <w:r>
        <w:t xml:space="preserve"> and can be up to 440 m thick. In the eastern Beetaloo GBA region, </w:t>
      </w:r>
      <w:r w:rsidR="00D970EC">
        <w:t>they are</w:t>
      </w:r>
      <w:r>
        <w:t xml:space="preserve"> thickest in the central part of the northern margin and thinnest immediately south in the depocentre over Amungee NW-1, Balmain-1 and Shenandoah-1. </w:t>
      </w:r>
      <w:r w:rsidRPr="00470EDF">
        <w:t xml:space="preserve">In the western Beetaloo </w:t>
      </w:r>
      <w:r>
        <w:t>GBA region</w:t>
      </w:r>
      <w:r w:rsidRPr="00470EDF">
        <w:t>, the volcanics sequence exceeds 100 m thickness</w:t>
      </w:r>
      <w:r>
        <w:t xml:space="preserve"> and increases westwards to over 150 m in Tarlee-2, Tarlee-</w:t>
      </w:r>
      <w:r w:rsidR="00887BCA">
        <w:t>S</w:t>
      </w:r>
      <w:r>
        <w:t xml:space="preserve">3 and Hidden Valley-S2, but </w:t>
      </w:r>
      <w:r w:rsidR="00D970EC">
        <w:t xml:space="preserve">are </w:t>
      </w:r>
      <w:r>
        <w:t xml:space="preserve">absent in the north-eastern and </w:t>
      </w:r>
      <w:r>
        <w:rPr>
          <w:rStyle w:val="BodyTextChar"/>
        </w:rPr>
        <w:t xml:space="preserve">southernmost regions </w:t>
      </w:r>
      <w:r w:rsidRPr="00470EDF">
        <w:rPr>
          <w:rStyle w:val="BodyTextChar"/>
        </w:rPr>
        <w:t>(</w:t>
      </w:r>
      <w:r w:rsidRPr="00470EDF">
        <w:rPr>
          <w:rStyle w:val="BodyTextChar"/>
        </w:rPr>
        <w:fldChar w:fldCharType="begin"/>
      </w:r>
      <w:r w:rsidRPr="00470EDF">
        <w:rPr>
          <w:rStyle w:val="BodyTextChar"/>
        </w:rPr>
        <w:instrText xml:space="preserve"> REF _Ref795947 \h </w:instrText>
      </w:r>
      <w:r>
        <w:rPr>
          <w:rStyle w:val="BodyTextChar"/>
        </w:rPr>
        <w:instrText xml:space="preserve"> \* MERGEFORMAT </w:instrText>
      </w:r>
      <w:r w:rsidRPr="00470EDF">
        <w:rPr>
          <w:rStyle w:val="BodyTextChar"/>
        </w:rPr>
      </w:r>
      <w:r w:rsidRPr="00470EDF">
        <w:rPr>
          <w:rStyle w:val="BodyTextChar"/>
        </w:rPr>
        <w:fldChar w:fldCharType="separate"/>
      </w:r>
      <w:r w:rsidR="00B177F5" w:rsidRPr="00B177F5">
        <w:rPr>
          <w:rStyle w:val="BodyTextChar"/>
        </w:rPr>
        <w:t>Figure 6</w:t>
      </w:r>
      <w:r w:rsidRPr="00470EDF">
        <w:rPr>
          <w:rStyle w:val="BodyTextChar"/>
        </w:rPr>
        <w:fldChar w:fldCharType="end"/>
      </w:r>
      <w:r w:rsidRPr="00470EDF">
        <w:rPr>
          <w:rStyle w:val="BodyTextChar"/>
        </w:rPr>
        <w:t xml:space="preserve">). </w:t>
      </w:r>
      <w:r>
        <w:t xml:space="preserve">Two significant areas where the volcanics are absent lie in the southern and easternmost regions of the Beetaloo GBA region </w:t>
      </w:r>
      <w:r w:rsidRPr="00470EDF">
        <w:t>(</w:t>
      </w:r>
      <w:r w:rsidRPr="00470EDF">
        <w:fldChar w:fldCharType="begin"/>
      </w:r>
      <w:r w:rsidRPr="00470EDF">
        <w:instrText xml:space="preserve"> REF _Ref795947 \h </w:instrText>
      </w:r>
      <w:r>
        <w:instrText xml:space="preserve"> \* MERGEFORMAT </w:instrText>
      </w:r>
      <w:r w:rsidRPr="00470EDF">
        <w:fldChar w:fldCharType="separate"/>
      </w:r>
      <w:r w:rsidR="00B177F5">
        <w:t>Figure 6</w:t>
      </w:r>
      <w:r w:rsidRPr="00470EDF">
        <w:fldChar w:fldCharType="end"/>
      </w:r>
      <w:r w:rsidRPr="00470EDF">
        <w:t>)</w:t>
      </w:r>
      <w:r>
        <w:t xml:space="preserve">. These </w:t>
      </w:r>
      <w:r w:rsidR="003D3AD1">
        <w:t xml:space="preserve">are </w:t>
      </w:r>
      <w:r>
        <w:t xml:space="preserve">areas where the CLA is in direct contact with underlying units, which would increase the potential for connectivity. </w:t>
      </w:r>
    </w:p>
    <w:p w14:paraId="314BBA38" w14:textId="51C39BE0" w:rsidR="006C1517" w:rsidRDefault="00D970EC" w:rsidP="006C1517">
      <w:r>
        <w:t>The t</w:t>
      </w:r>
      <w:r w:rsidR="00C7771A">
        <w:t>hick</w:t>
      </w:r>
      <w:r w:rsidR="006C1517">
        <w:t xml:space="preserve"> basalt</w:t>
      </w:r>
      <w:r w:rsidR="00C7771A">
        <w:t>s</w:t>
      </w:r>
      <w:r w:rsidR="006C1517">
        <w:t xml:space="preserve"> form a regional aquitard. However, </w:t>
      </w:r>
      <w:r w:rsidR="007A7BAE">
        <w:t xml:space="preserve">in some areas </w:t>
      </w:r>
      <w:r w:rsidR="006C1517">
        <w:t>the volcanics</w:t>
      </w:r>
      <w:r w:rsidR="00204624">
        <w:t xml:space="preserve"> </w:t>
      </w:r>
      <w:r w:rsidR="007A7BAE">
        <w:t>are used as</w:t>
      </w:r>
      <w:r w:rsidR="00204624">
        <w:t xml:space="preserve"> </w:t>
      </w:r>
      <w:r w:rsidR="006C1517">
        <w:t>a</w:t>
      </w:r>
      <w:r>
        <w:t xml:space="preserve"> local aquifer to supply</w:t>
      </w:r>
      <w:r w:rsidR="006C1517">
        <w:t xml:space="preserve"> water </w:t>
      </w:r>
      <w:r w:rsidR="00ED4C4A">
        <w:t>for</w:t>
      </w:r>
      <w:r w:rsidR="0085577D">
        <w:t xml:space="preserve"> </w:t>
      </w:r>
      <w:r w:rsidR="006C1517">
        <w:t xml:space="preserve">local communities and </w:t>
      </w:r>
      <w:r w:rsidR="0085577D">
        <w:t xml:space="preserve">the </w:t>
      </w:r>
      <w:r w:rsidR="006C1517">
        <w:t xml:space="preserve">pastoral industry. </w:t>
      </w:r>
      <w:r>
        <w:t>Aquifer</w:t>
      </w:r>
      <w:r w:rsidR="006C1517">
        <w:t xml:space="preserve"> development </w:t>
      </w:r>
      <w:r>
        <w:t xml:space="preserve">generally relies </w:t>
      </w:r>
      <w:r w:rsidR="006C1517">
        <w:t>on secondary porosity</w:t>
      </w:r>
      <w:r>
        <w:t xml:space="preserve">, such as </w:t>
      </w:r>
      <w:r w:rsidR="006C1517">
        <w:t xml:space="preserve">fault-related fracturing </w:t>
      </w:r>
      <w:r w:rsidR="00A541ED">
        <w:fldChar w:fldCharType="begin">
          <w:fldData xml:space="preserve">PEVuZE5vdGU+PENpdGU+PEF1dGhvcj5SYW5kYWw8L0F1dGhvcj48WWVhcj4xOTczPC9ZZWFyPjxS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</w:fldData>
        </w:fldChar>
      </w:r>
      <w:r w:rsidR="00F76E0D">
        <w:instrText xml:space="preserve"> ADDIN EN.CITE </w:instrText>
      </w:r>
      <w:r w:rsidR="00F76E0D">
        <w:fldChar w:fldCharType="begin">
          <w:fldData xml:space="preserve">PEVuZE5vdGU+PENpdGU+PEF1dGhvcj5SYW5kYWw8L0F1dGhvcj48WWVhcj4xOTczPC9ZZWFyPjxS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</w:fldData>
        </w:fldChar>
      </w:r>
      <w:r w:rsidR="00F76E0D">
        <w:instrText xml:space="preserve"> ADDIN EN.CITE.DATA </w:instrText>
      </w:r>
      <w:r w:rsidR="00F76E0D">
        <w:fldChar w:fldCharType="end"/>
      </w:r>
      <w:r w:rsidR="00A541ED">
        <w:fldChar w:fldCharType="separate"/>
      </w:r>
      <w:r w:rsidR="00E02D87">
        <w:rPr>
          <w:noProof/>
        </w:rPr>
        <w:t>(Randal, 1973; Yin Foo, 2002)</w:t>
      </w:r>
      <w:r w:rsidR="00A541ED">
        <w:fldChar w:fldCharType="end"/>
      </w:r>
      <w:r w:rsidR="006C1517">
        <w:t xml:space="preserve">, open and interconnected vesicular bands, </w:t>
      </w:r>
      <w:r>
        <w:t xml:space="preserve">interbedded </w:t>
      </w:r>
      <w:r w:rsidR="006C1517">
        <w:t>sand</w:t>
      </w:r>
      <w:r w:rsidR="00431427">
        <w:t>stone</w:t>
      </w:r>
      <w:r w:rsidR="006C1517">
        <w:t xml:space="preserve"> </w:t>
      </w:r>
      <w:r w:rsidR="007A7BAE">
        <w:t xml:space="preserve">layers within the volcanic </w:t>
      </w:r>
      <w:r w:rsidR="00F361BD">
        <w:t>sequence</w:t>
      </w:r>
      <w:r w:rsidR="006C1517" w:rsidDel="0085577D">
        <w:t xml:space="preserve"> </w:t>
      </w:r>
      <w:r w:rsidR="007A7BAE">
        <w:t>or</w:t>
      </w:r>
      <w:r w:rsidR="006C1517">
        <w:t xml:space="preserve"> </w:t>
      </w:r>
      <w:r>
        <w:t xml:space="preserve">porosity in the </w:t>
      </w:r>
      <w:r w:rsidR="006C1517">
        <w:t xml:space="preserve">deep weathering </w:t>
      </w:r>
      <w:r w:rsidR="00E713E9">
        <w:t>profile</w:t>
      </w:r>
      <w:r w:rsidR="007A7BAE">
        <w:t xml:space="preserve"> </w:t>
      </w:r>
      <w:r w:rsidR="00A541ED">
        <w:fldChar w:fldCharType="begin"/>
      </w:r>
      <w:r w:rsidR="00F76E0D">
        <w:instrText xml:space="preserve"> ADDIN EN.CITE &lt;EndNote&gt;&lt;Cite&gt;&lt;Author&gt;Randal&lt;/Author&gt;&lt;Year&gt;1973&lt;/Year&gt;&lt;RecNum&gt;1271&lt;/RecNum&gt;&lt;DisplayText&gt;(Randal, 1973)&lt;/DisplayText&gt;&lt;record&gt;&lt;rec-number&gt;1271&lt;/rec-number&gt;&lt;foreign-keys&gt;&lt;key app="EN" db-id="wdf9tzzdhw2saee559kv0vezt0wfsta0zedv" timestamp="1569370340"&gt;1271&lt;/key&gt;&lt;/foreign-keys&gt;&lt;ref-type name="Report"&gt;27&lt;/ref-type&gt;&lt;contributors&gt;&lt;authors&gt;&lt;author&gt;Randal, M. A.&lt;/author&gt;&lt;/authors&gt;&lt;tertiary-authors&gt;&lt;author&gt;Bureau of Mineral Resources, Geology and Geophysics, &lt;/author&gt;&lt;/tertiary-authors&gt;&lt;subsidiary-authors&gt;&lt;author&gt;Bureau of Mineral Resources, Geology and Geophysics, &lt;/author&gt;&lt;/subsidiary-authors&gt;&lt;/contributors&gt;&lt;titles&gt;&lt;title&gt;Groundwater in the Northern Wiso Basin and environs, Northern Territory&lt;/title&gt;&lt;/titles&gt;&lt;dates&gt;&lt;year&gt;1973&lt;/year&gt;&lt;/dates&gt;&lt;pub-location&gt;Canberra&lt;/pub-location&gt;&lt;publisher&gt;Bureau of Mineral Resources&lt;/publisher&gt;&lt;urls&gt;&lt;related-urls&gt;&lt;url&gt;http://www.ga.gov.au/metadata-gateway/metadata/record/100/&lt;/url&gt;&lt;/related-urls&gt;&lt;/urls&gt;&lt;access-date&gt;25 October 2019&lt;/access-date&gt;&lt;/record&gt;&lt;/Cite&gt;&lt;/EndNote&gt;</w:instrText>
      </w:r>
      <w:r w:rsidR="00A541ED">
        <w:fldChar w:fldCharType="separate"/>
      </w:r>
      <w:r w:rsidR="00E02D87">
        <w:rPr>
          <w:noProof/>
        </w:rPr>
        <w:t>(Randal, 1973)</w:t>
      </w:r>
      <w:r w:rsidR="00A541ED">
        <w:fldChar w:fldCharType="end"/>
      </w:r>
      <w:r w:rsidR="006C1517">
        <w:t>.</w:t>
      </w:r>
      <w:r w:rsidR="007A7BAE">
        <w:t xml:space="preserve"> Where</w:t>
      </w:r>
      <w:r w:rsidR="00ED4C4A">
        <w:t xml:space="preserve"> present and saturated</w:t>
      </w:r>
      <w:r w:rsidR="007A7BAE">
        <w:t xml:space="preserve"> though</w:t>
      </w:r>
      <w:r w:rsidR="00ED4C4A">
        <w:t xml:space="preserve">, the </w:t>
      </w:r>
      <w:r w:rsidR="003D3AD1">
        <w:t>CLA</w:t>
      </w:r>
      <w:r w:rsidR="007A7BAE">
        <w:t xml:space="preserve"> is the</w:t>
      </w:r>
      <w:r w:rsidR="00ED4C4A">
        <w:t xml:space="preserve"> preferred water source. </w:t>
      </w:r>
    </w:p>
    <w:p w14:paraId="347FAF6B" w14:textId="1B04B24A" w:rsidR="00C6685E" w:rsidRDefault="002E6955" w:rsidP="00C7771A">
      <w:pPr>
        <w:pStyle w:val="BodyText"/>
      </w:pPr>
      <w:r>
        <w:t>Using</w:t>
      </w:r>
      <w:r w:rsidR="00CB4D40">
        <w:t xml:space="preserve"> geophysical techniques,</w:t>
      </w:r>
      <w:r w:rsidR="006C1517">
        <w:t xml:space="preserve"> </w:t>
      </w:r>
      <w:r w:rsidR="006B710B">
        <w:fldChar w:fldCharType="begin"/>
      </w:r>
      <w:r w:rsidR="00F76E0D">
        <w:instrText xml:space="preserve"> ADDIN EN.CITE &lt;EndNote&gt;&lt;Cite AuthorYear="1"&gt;&lt;Author&gt;Knapton&lt;/Author&gt;&lt;Year&gt;2000&lt;/Year&gt;&lt;RecNum&gt;996&lt;/RecNum&gt;&lt;DisplayText&gt;Knapton (2000)&lt;/DisplayText&gt;&lt;record&gt;&lt;rec-number&gt;996&lt;/rec-number&gt;&lt;foreign-keys&gt;&lt;key app="EN" db-id="wdf9tzzdhw2saee559kv0vezt0wfsta0zedv" timestamp="1557991361"&gt;996&lt;/key&gt;&lt;/foreign-keys&gt;&lt;ref-type name="Report"&gt;27&lt;/ref-type&gt;&lt;contributors&gt;&lt;authors&gt;&lt;author&gt;Knapton, A.&lt;/author&gt;&lt;/authors&gt;&lt;tertiary-authors&gt;&lt;author&gt;Natural Resources Division Resource Assessment Branch - Water Assessment Group&lt;/author&gt;&lt;/tertiary-authors&gt;&lt;/contributors&gt;&lt;titles&gt;&lt;title&gt;Water Resource Assessment of the Sturt Plateau - Geophysical Investigations&lt;/title&gt;&lt;secondary-title&gt;Technical Report No. 32/2000D.&lt;/secondary-title&gt;&lt;/titles&gt;&lt;pages&gt;71&lt;/pages&gt;&lt;volume&gt;Technical Report No. 32/2000D&lt;/volume&gt;&lt;number&gt;Technical Report No. 32/2000D&lt;/number&gt;&lt;num-vols&gt;Technical Report No. 32/2000D&lt;/num-vols&gt;&lt;dates&gt;&lt;year&gt;2000&lt;/year&gt;&lt;pub-dates&gt;&lt;date&gt;December 2000&lt;/date&gt;&lt;/pub-dates&gt;&lt;/dates&gt;&lt;pub-location&gt;Department of Infrastructure, Planning and Environment&lt;/pub-location&gt;&lt;publisher&gt;Department of Infrastructure, Planning and Environment&lt;/publisher&gt;&lt;urls&gt;&lt;related-urls&gt;&lt;url&gt;https://frackinginquiry.nt.gov.au/submission-library?a=433159&lt;/url&gt;&lt;/related-urls&gt;&lt;/urls&gt;&lt;access-date&gt;28 November 2019&lt;/access-date&gt;&lt;/record&gt;&lt;/Cite&gt;&lt;/EndNote&gt;</w:instrText>
      </w:r>
      <w:r w:rsidR="006B710B">
        <w:fldChar w:fldCharType="separate"/>
      </w:r>
      <w:r w:rsidR="00BE680B">
        <w:rPr>
          <w:noProof/>
        </w:rPr>
        <w:t>Knapton (2000)</w:t>
      </w:r>
      <w:r w:rsidR="006B710B">
        <w:fldChar w:fldCharType="end"/>
      </w:r>
      <w:r w:rsidR="00DB42C7">
        <w:t xml:space="preserve"> </w:t>
      </w:r>
      <w:r>
        <w:t>delineated</w:t>
      </w:r>
      <w:r w:rsidR="00CB4D40">
        <w:t xml:space="preserve"> regional</w:t>
      </w:r>
      <w:r w:rsidR="003D3AD1">
        <w:t>-</w:t>
      </w:r>
      <w:r w:rsidR="00CB4D40">
        <w:t xml:space="preserve">scale </w:t>
      </w:r>
      <w:r w:rsidR="00487CE4">
        <w:t>faulting and fracturing</w:t>
      </w:r>
      <w:r w:rsidR="001F7364" w:rsidRPr="001F7364">
        <w:t xml:space="preserve"> in </w:t>
      </w:r>
      <w:r w:rsidR="003D3AD1">
        <w:t xml:space="preserve">the </w:t>
      </w:r>
      <w:r w:rsidR="001F7364" w:rsidRPr="001F7364">
        <w:t>western Beetaloo GBA region (Sturt Plateau)</w:t>
      </w:r>
      <w:r w:rsidR="001F7364">
        <w:t xml:space="preserve">, </w:t>
      </w:r>
      <w:r w:rsidR="00A83863">
        <w:t>including the Birdum Creek Fault (</w:t>
      </w:r>
      <w:r w:rsidR="00487CE4">
        <w:t xml:space="preserve">outlined on </w:t>
      </w:r>
      <w:r w:rsidR="00487CE4">
        <w:fldChar w:fldCharType="begin"/>
      </w:r>
      <w:r w:rsidR="00487CE4">
        <w:instrText xml:space="preserve"> REF _Ref5187256 \h </w:instrText>
      </w:r>
      <w:r w:rsidR="00487CE4">
        <w:fldChar w:fldCharType="separate"/>
      </w:r>
      <w:r w:rsidR="00B177F5">
        <w:t xml:space="preserve">Figure </w:t>
      </w:r>
      <w:r w:rsidR="00B177F5">
        <w:rPr>
          <w:noProof/>
        </w:rPr>
        <w:t>7</w:t>
      </w:r>
      <w:r w:rsidR="00487CE4">
        <w:fldChar w:fldCharType="end"/>
      </w:r>
      <w:r w:rsidR="00487CE4">
        <w:t>, and in</w:t>
      </w:r>
      <w:r w:rsidR="0030132E">
        <w:t xml:space="preserve"> </w:t>
      </w:r>
      <w:r w:rsidR="00A83863">
        <w:t>Section</w:t>
      </w:r>
      <w:r w:rsidR="0030132E">
        <w:t xml:space="preserve"> </w:t>
      </w:r>
      <w:r w:rsidR="0030132E">
        <w:fldChar w:fldCharType="begin"/>
      </w:r>
      <w:r w:rsidR="0030132E">
        <w:instrText xml:space="preserve"> REF _Ref5187386 \r \h </w:instrText>
      </w:r>
      <w:r w:rsidR="0030132E">
        <w:fldChar w:fldCharType="separate"/>
      </w:r>
      <w:r w:rsidR="00B177F5">
        <w:t>3.2.3.2</w:t>
      </w:r>
      <w:r w:rsidR="0030132E">
        <w:fldChar w:fldCharType="end"/>
      </w:r>
      <w:r w:rsidR="0030132E">
        <w:t>)</w:t>
      </w:r>
      <w:r w:rsidR="00756EDD">
        <w:t xml:space="preserve">. </w:t>
      </w:r>
      <w:r w:rsidR="00CB4D40">
        <w:t>Regional geophysics information such as aer</w:t>
      </w:r>
      <w:r w:rsidR="00056876">
        <w:t>omagnetics</w:t>
      </w:r>
      <w:r w:rsidR="00CB4D40">
        <w:t xml:space="preserve"> images </w:t>
      </w:r>
      <w:r w:rsidR="004F5AD0">
        <w:t>(</w:t>
      </w:r>
      <w:r w:rsidR="004F5AD0">
        <w:fldChar w:fldCharType="begin"/>
      </w:r>
      <w:r w:rsidR="004F5AD0">
        <w:instrText xml:space="preserve"> REF _Ref5187256 \h </w:instrText>
      </w:r>
      <w:r w:rsidR="004F5AD0">
        <w:fldChar w:fldCharType="separate"/>
      </w:r>
      <w:r w:rsidR="00B177F5">
        <w:t xml:space="preserve">Figure </w:t>
      </w:r>
      <w:r w:rsidR="00B177F5">
        <w:rPr>
          <w:noProof/>
        </w:rPr>
        <w:t>7</w:t>
      </w:r>
      <w:r w:rsidR="004F5AD0">
        <w:fldChar w:fldCharType="end"/>
      </w:r>
      <w:r w:rsidR="004F5AD0">
        <w:t>) suggests there are</w:t>
      </w:r>
      <w:r w:rsidR="00CB4D40">
        <w:t xml:space="preserve"> also more </w:t>
      </w:r>
      <w:r w:rsidR="001F7364">
        <w:t>local</w:t>
      </w:r>
      <w:r w:rsidR="003D3AD1">
        <w:t>-</w:t>
      </w:r>
      <w:r w:rsidR="00226C49">
        <w:t xml:space="preserve">scale </w:t>
      </w:r>
      <w:r w:rsidR="004F5AD0">
        <w:t xml:space="preserve">features, </w:t>
      </w:r>
      <w:r w:rsidR="00226C49">
        <w:t>includ</w:t>
      </w:r>
      <w:r w:rsidR="00CB4D40">
        <w:t>ing</w:t>
      </w:r>
      <w:r w:rsidR="00226C49">
        <w:t xml:space="preserve"> lineaments (</w:t>
      </w:r>
      <w:r w:rsidR="00CB4D40">
        <w:t xml:space="preserve">possible </w:t>
      </w:r>
      <w:r w:rsidR="00226C49">
        <w:t xml:space="preserve">faults, fractures) and as well as possible collapse </w:t>
      </w:r>
      <w:r w:rsidR="001F7364">
        <w:t>structures relating to volcanism</w:t>
      </w:r>
      <w:r w:rsidR="00226C49">
        <w:t xml:space="preserve"> (see </w:t>
      </w:r>
      <w:r w:rsidR="004D6411">
        <w:fldChar w:fldCharType="begin"/>
      </w:r>
      <w:r w:rsidR="00F76E0D">
        <w:instrText xml:space="preserve"> ADDIN EN.CITE &lt;EndNote&gt;&lt;Cite AuthorYear="1"&gt;&lt;Author&gt;Foss&lt;/Author&gt;&lt;Year&gt;2016&lt;/Year&gt;&lt;RecNum&gt;1355&lt;/RecNum&gt;&lt;DisplayText&gt;Foss and Dhu (2016)&lt;/DisplayText&gt;&lt;record&gt;&lt;rec-number&gt;1355&lt;/rec-number&gt;&lt;foreign-keys&gt;&lt;key app="EN" db-id="wdf9tzzdhw2saee559kv0vezt0wfsta0zedv" timestamp="1574451107"&gt;1355&lt;/key&gt;&lt;/foreign-keys&gt;&lt;ref-type name="Conference Paper"&gt;47&lt;/ref-type&gt;&lt;contributors&gt;&lt;authors&gt;&lt;author&gt;Foss, C&lt;/author&gt;&lt;author&gt;Dhu, T.&lt;/author&gt;&lt;/authors&gt;&lt;/contributors&gt;&lt;titles&gt;&lt;title&gt;The bark without a dog; magnetic anomalies over holes in a volcanic sheet in the greater McArthur Basin, NT&lt;/title&gt;&lt;secondary-title&gt;ASEG-PESA-AIG 2016; 25th geophysical conference and exhibition; interpreting the past, discovering the future.&lt;/secondary-title&gt;&lt;/titles&gt;&lt;volume&gt;ASEG Extended Abstracts, 2016&lt;/volume&gt;&lt;number&gt;1&lt;/number&gt;&lt;dates&gt;&lt;year&gt;2016&lt;/year&gt;&lt;pub-dates&gt;&lt;date&gt;Aug. 21-24, 2016&lt;/date&gt;&lt;/pub-dates&gt;&lt;/dates&gt;&lt;pub-location&gt;Adelaide, South Aust., Australia,&lt;/pub-location&gt;&lt;publisher&gt;CSIRO Publishing for the Australian Society of Exploration Geophysicists: Collingwood, Victoria, Australia&lt;/publisher&gt;&lt;urls&gt;&lt;/urls&gt;&lt;custom1&gt;Collingwood, Victoria&lt;/custom1&gt;&lt;electronic-resource-num&gt;10.1071/ASEG2016ab276&lt;/electronic-resource-num&gt;&lt;/record&gt;&lt;/Cite&gt;&lt;/EndNote&gt;</w:instrText>
      </w:r>
      <w:r w:rsidR="004D6411">
        <w:fldChar w:fldCharType="separate"/>
      </w:r>
      <w:r w:rsidR="003D3AD1">
        <w:rPr>
          <w:noProof/>
        </w:rPr>
        <w:t>Foss and Dhu (2016)</w:t>
      </w:r>
      <w:r w:rsidR="004D6411">
        <w:fldChar w:fldCharType="end"/>
      </w:r>
      <w:r w:rsidR="00B05547">
        <w:t>)</w:t>
      </w:r>
      <w:r w:rsidR="00C26C70" w:rsidRPr="004D6411">
        <w:t xml:space="preserve">. </w:t>
      </w:r>
      <w:r w:rsidR="00CB4D40">
        <w:t>A</w:t>
      </w:r>
      <w:r w:rsidR="00C97C0F">
        <w:t xml:space="preserve"> series of regular</w:t>
      </w:r>
      <w:r w:rsidR="00755BE2">
        <w:t xml:space="preserve"> </w:t>
      </w:r>
      <w:r w:rsidR="00826F86">
        <w:t>north</w:t>
      </w:r>
      <w:r w:rsidR="00737C45">
        <w:t>-</w:t>
      </w:r>
      <w:r w:rsidR="00826F86">
        <w:t xml:space="preserve">west trending </w:t>
      </w:r>
      <w:r w:rsidR="00C97C0F">
        <w:t>lineaments</w:t>
      </w:r>
      <w:r w:rsidR="00CB4D40">
        <w:t xml:space="preserve"> </w:t>
      </w:r>
      <w:r w:rsidR="00C97C0F">
        <w:t xml:space="preserve">were postulated to be related to </w:t>
      </w:r>
      <w:r w:rsidR="004F634A">
        <w:t xml:space="preserve">variations in </w:t>
      </w:r>
      <w:r w:rsidR="00C97C0F">
        <w:t>palaeo-topography</w:t>
      </w:r>
      <w:r w:rsidR="00C6685E">
        <w:t xml:space="preserve"> </w:t>
      </w:r>
      <w:r w:rsidR="00056876">
        <w:t>of</w:t>
      </w:r>
      <w:r w:rsidR="00C6685E">
        <w:t xml:space="preserve"> the Antrim Plateau Volcanics</w:t>
      </w:r>
      <w:r w:rsidR="00756EDD">
        <w:t xml:space="preserve"> </w:t>
      </w:r>
      <w:r w:rsidR="00A541ED">
        <w:fldChar w:fldCharType="begin"/>
      </w:r>
      <w:r w:rsidR="00F76E0D">
        <w:instrText xml:space="preserve"> ADDIN EN.CITE &lt;EndNote&gt;&lt;Cite&gt;&lt;Author&gt;Yin Foo&lt;/Author&gt;&lt;Year&gt;2001&lt;/Year&gt;&lt;RecNum&gt;748&lt;/RecNum&gt;&lt;DisplayText&gt;(Yin Foo and Matthews, 2001)&lt;/DisplayText&gt;&lt;record&gt;&lt;rec-number&gt;748&lt;/rec-number&gt;&lt;foreign-keys&gt;&lt;key app="EN" db-id="wdf9tzzdhw2saee559kv0vezt0wfsta0zedv" timestamp="1550544858"&gt;748&lt;/key&gt;&lt;key app="ENWeb" db-id=""&gt;0&lt;/key&gt;&lt;/foreign-keys&gt;&lt;ref-type name="Report"&gt;27&lt;/ref-type&gt;&lt;contributors&gt;&lt;authors&gt;&lt;author&gt;Yin Foo, Des&lt;/author&gt;&lt;author&gt;Matthews, Ian&lt;/author&gt;&lt;/authors&gt;&lt;tertiary-authors&gt;&lt;author&gt;Department of Infrastructure, Planning and Environment (NT)&lt;/author&gt;&lt;/tertiary-authors&gt;&lt;/contributors&gt;&lt;titles&gt;&lt;title&gt;Hydrogeology of the Sturt plateau 1:250 000 scale map explanatory notes.&lt;/title&gt;&lt;/titles&gt;&lt;number&gt;19/2000&lt;/number&gt;&lt;dates&gt;&lt;year&gt;2001&lt;/year&gt;&lt;pub-dates&gt;&lt;date&gt;01 March 2001&lt;/date&gt;&lt;/pub-dates&gt;&lt;/dates&gt;&lt;pub-location&gt;Darwin&lt;/pub-location&gt;&lt;publisher&gt;Department of Infrastructure, Planning and Environment (NT)&lt;/publisher&gt;&lt;isbn&gt;19/2000&lt;/isbn&gt;&lt;urls&gt;&lt;related-urls&gt;&lt;url&gt;&lt;style face="underline" font="default" size="100%"&gt;http://www.territorystories.nt.gov.au/jspui/handle/10070/228887&lt;/style&gt;&lt;/url&gt;&lt;/related-urls&gt;&lt;/urls&gt;&lt;access-date&gt;28 November 2019&lt;/access-date&gt;&lt;/record&gt;&lt;/Cite&gt;&lt;/EndNote&gt;</w:instrText>
      </w:r>
      <w:r w:rsidR="00A541ED">
        <w:fldChar w:fldCharType="separate"/>
      </w:r>
      <w:r w:rsidR="00A541ED">
        <w:rPr>
          <w:noProof/>
        </w:rPr>
        <w:t>(Yin Foo and Matthews, 2001)</w:t>
      </w:r>
      <w:r w:rsidR="00A541ED">
        <w:fldChar w:fldCharType="end"/>
      </w:r>
      <w:r w:rsidR="00587061">
        <w:t>.</w:t>
      </w:r>
      <w:r w:rsidR="004F634A">
        <w:t xml:space="preserve"> These variations could be caused by </w:t>
      </w:r>
      <w:r w:rsidR="001F7364">
        <w:t xml:space="preserve">presence of </w:t>
      </w:r>
      <w:r w:rsidR="004F634A">
        <w:t>aeolian sandstones interbedded with the volcanics (Cambrian aged sand</w:t>
      </w:r>
      <w:r w:rsidR="001F7364">
        <w:t xml:space="preserve"> </w:t>
      </w:r>
      <w:r w:rsidR="004F634A">
        <w:t xml:space="preserve">dunes). </w:t>
      </w:r>
      <w:r w:rsidR="00056876">
        <w:t xml:space="preserve">It is uncertain whether these lineaments also </w:t>
      </w:r>
      <w:r w:rsidR="004F634A">
        <w:t>have some structural control,</w:t>
      </w:r>
      <w:r w:rsidR="00056876">
        <w:t xml:space="preserve"> </w:t>
      </w:r>
      <w:r w:rsidR="004F634A">
        <w:t>and it is not known whether they</w:t>
      </w:r>
      <w:r w:rsidR="00C26C70">
        <w:t xml:space="preserve"> influence </w:t>
      </w:r>
      <w:r w:rsidR="004F634A">
        <w:t>aquifer inter</w:t>
      </w:r>
      <w:r w:rsidR="00E872E9">
        <w:t>connectivity</w:t>
      </w:r>
      <w:r w:rsidR="001F7364">
        <w:t xml:space="preserve"> or hydraulic characteristics of the Antrim Plateau </w:t>
      </w:r>
      <w:r w:rsidR="00E713E9">
        <w:t>Volcanics</w:t>
      </w:r>
      <w:r w:rsidR="00C26C70">
        <w:t>.</w:t>
      </w:r>
    </w:p>
    <w:p w14:paraId="7E0460F6" w14:textId="5E2A265C" w:rsidR="008D3C22" w:rsidRDefault="008D3C22" w:rsidP="007D3004">
      <w:pPr>
        <w:pStyle w:val="BodyText"/>
      </w:pPr>
      <w:bookmarkStart w:id="278" w:name="_Hlk37768723"/>
      <w:r w:rsidRPr="00FE028C">
        <w:t xml:space="preserve">In parts of the Beetaloo GBA region where the Antrim Plateau </w:t>
      </w:r>
      <w:r w:rsidRPr="00533E2A">
        <w:t>Volcanics</w:t>
      </w:r>
      <w:r w:rsidRPr="00FE028C">
        <w:t xml:space="preserve"> do not underlie</w:t>
      </w:r>
      <w:r w:rsidR="00226C49" w:rsidRPr="00FE028C">
        <w:t xml:space="preserve"> </w:t>
      </w:r>
      <w:r w:rsidRPr="00FE028C">
        <w:t>the CLA (</w:t>
      </w:r>
      <w:r w:rsidR="00204624">
        <w:rPr>
          <w:rStyle w:val="normaltextrun"/>
          <w:rFonts w:cs="Calibri"/>
          <w:shd w:val="clear" w:color="auto" w:fill="FFFFFF"/>
        </w:rPr>
        <w:fldChar w:fldCharType="begin"/>
      </w:r>
      <w:r w:rsidR="00204624">
        <w:rPr>
          <w:rStyle w:val="normaltextrun"/>
          <w:rFonts w:cs="Calibri"/>
          <w:shd w:val="clear" w:color="auto" w:fill="FFFFFF"/>
        </w:rPr>
        <w:instrText xml:space="preserve"> REF _Ref795947 \h </w:instrText>
      </w:r>
      <w:r w:rsidR="00204624">
        <w:rPr>
          <w:rStyle w:val="normaltextrun"/>
          <w:rFonts w:cs="Calibri"/>
          <w:shd w:val="clear" w:color="auto" w:fill="FFFFFF"/>
        </w:rPr>
      </w:r>
      <w:r w:rsidR="00204624">
        <w:rPr>
          <w:rStyle w:val="normaltextrun"/>
          <w:rFonts w:cs="Calibri"/>
          <w:shd w:val="clear" w:color="auto" w:fill="FFFFFF"/>
        </w:rPr>
        <w:fldChar w:fldCharType="separate"/>
      </w:r>
      <w:r w:rsidR="00B177F5">
        <w:t xml:space="preserve">Figure </w:t>
      </w:r>
      <w:r w:rsidR="00B177F5">
        <w:rPr>
          <w:noProof/>
        </w:rPr>
        <w:t>6</w:t>
      </w:r>
      <w:r w:rsidR="00204624">
        <w:rPr>
          <w:rStyle w:val="normaltextrun"/>
          <w:rFonts w:cs="Calibri"/>
          <w:shd w:val="clear" w:color="auto" w:fill="FFFFFF"/>
        </w:rPr>
        <w:fldChar w:fldCharType="end"/>
      </w:r>
      <w:r w:rsidRPr="00FE028C">
        <w:t xml:space="preserve">) there is potential for leakage between the CLA </w:t>
      </w:r>
      <w:r w:rsidRPr="00533E2A">
        <w:t xml:space="preserve">and </w:t>
      </w:r>
      <w:r w:rsidR="00E832BC">
        <w:t xml:space="preserve">the </w:t>
      </w:r>
      <w:r w:rsidRPr="00FE028C">
        <w:t xml:space="preserve">underlying </w:t>
      </w:r>
      <w:r w:rsidRPr="00533E2A">
        <w:t>Bukalara</w:t>
      </w:r>
      <w:r w:rsidRPr="00FE028C">
        <w:t xml:space="preserve"> Sandstone aquifer</w:t>
      </w:r>
      <w:r w:rsidR="00A76A99">
        <w:t xml:space="preserve">. </w:t>
      </w:r>
      <w:bookmarkStart w:id="279" w:name="_Hlk37937631"/>
      <w:r w:rsidR="00A76A99">
        <w:t xml:space="preserve">Similarly, </w:t>
      </w:r>
      <w:r w:rsidR="00A76A99" w:rsidRPr="00A76A99">
        <w:t xml:space="preserve">there is potential for leakage between the CLA and </w:t>
      </w:r>
      <w:r w:rsidR="00A76A99">
        <w:t xml:space="preserve">the </w:t>
      </w:r>
      <w:r w:rsidRPr="00FE028C">
        <w:t>Roper Group</w:t>
      </w:r>
      <w:r w:rsidR="00A76A99" w:rsidRPr="00A76A99">
        <w:t xml:space="preserve"> in discrete areas near the margins of the Beetaloo GBA region</w:t>
      </w:r>
      <w:r w:rsidR="00792981">
        <w:t xml:space="preserve">, where the Hayfield mudstone and Jamison sandstone </w:t>
      </w:r>
      <w:r w:rsidR="00A76A99">
        <w:t xml:space="preserve">are absent or </w:t>
      </w:r>
      <w:r w:rsidR="00792981">
        <w:t>thin towards the sub-basin’s margin</w:t>
      </w:r>
      <w:r w:rsidR="00A76A99">
        <w:t xml:space="preserve"> </w:t>
      </w:r>
      <w:r w:rsidR="00A76A99" w:rsidRPr="00A76A99">
        <w:t>(see Figure 44, Figure 45 and Figure 46 for examples)</w:t>
      </w:r>
      <w:r w:rsidRPr="00FE028C">
        <w:t xml:space="preserve">. </w:t>
      </w:r>
      <w:bookmarkEnd w:id="279"/>
    </w:p>
    <w:bookmarkEnd w:id="278"/>
    <w:p w14:paraId="16900083" w14:textId="39CDA2BE" w:rsidR="00204624" w:rsidRDefault="008D3C22" w:rsidP="006C1517">
      <w:r>
        <w:t>I</w:t>
      </w:r>
      <w:r w:rsidR="00E56A25">
        <w:t>n summary, whil</w:t>
      </w:r>
      <w:r w:rsidR="00A00A2A">
        <w:t>e</w:t>
      </w:r>
      <w:r w:rsidR="00E56A25">
        <w:t xml:space="preserve"> the volcanics </w:t>
      </w:r>
      <w:r w:rsidR="00CB4D40">
        <w:t>are</w:t>
      </w:r>
      <w:r w:rsidR="006C1517">
        <w:t xml:space="preserve"> </w:t>
      </w:r>
      <w:r w:rsidR="001F7364">
        <w:t xml:space="preserve">generally considered to be </w:t>
      </w:r>
      <w:r w:rsidR="006C1517">
        <w:t>a region</w:t>
      </w:r>
      <w:r w:rsidR="00E56A25">
        <w:t xml:space="preserve">al aquitard, </w:t>
      </w:r>
      <w:r w:rsidR="00CB4D40">
        <w:t>they are</w:t>
      </w:r>
      <w:r w:rsidR="006C1517">
        <w:t xml:space="preserve"> </w:t>
      </w:r>
      <w:r w:rsidR="00756EDD">
        <w:t xml:space="preserve">utilised as </w:t>
      </w:r>
      <w:r w:rsidR="006C1517">
        <w:t>a local fractured</w:t>
      </w:r>
      <w:r w:rsidR="00C756C2">
        <w:t xml:space="preserve"> </w:t>
      </w:r>
      <w:r w:rsidR="006C1517">
        <w:t xml:space="preserve">rock aquifer </w:t>
      </w:r>
      <w:r w:rsidR="00A541ED">
        <w:fldChar w:fldCharType="begin"/>
      </w:r>
      <w:r w:rsidR="008F30E0">
        <w:instrText xml:space="preserve"> ADDIN EN.CITE &lt;EndNote&gt;&lt;Cite&gt;&lt;Author&gt;Fulton&lt;/Author&gt;&lt;Year&gt;2015&lt;/Year&gt;&lt;RecNum&gt;671&lt;/RecNum&gt;&lt;DisplayText&gt;(Fulton and Knapton, 2015b)&lt;/DisplayText&gt;&lt;record&gt;&lt;rec-number&gt;671&lt;/rec-number&gt;&lt;foreign-keys&gt;&lt;key app="EN" db-id="wdf9tzzdhw2saee559kv0vezt0wfsta0zedv" timestamp="1545264407"&gt;671&lt;/key&gt;&lt;key app="ENWeb" db-id=""&gt;0&lt;/key&gt;&lt;/foreign-keys&gt;&lt;ref-type name="Report"&gt;27&lt;/ref-type&gt;&lt;contributors&gt;&lt;authors&gt;&lt;author&gt;Fulton, S.&lt;/author&gt;&lt;author&gt;Knapton, A.&lt;/author&gt;&lt;/authors&gt;&lt;/contributors&gt;&lt;titles&gt;&lt;title&gt;Beetaloo Basin hydrogeological assessment. Cloud GMS&lt;/title&gt;&lt;/titles&gt;&lt;pages&gt;70&lt;/pages&gt;&lt;dates&gt;&lt;year&gt;2015&lt;/year&gt;&lt;pub-dates&gt;&lt;date&gt;February 2015&lt;/date&gt;&lt;/pub-dates&gt;&lt;/dates&gt;&lt;publisher&gt;Origin Energy Report 1 for Fracking Enquiry NT&lt;/publisher&gt;&lt;urls&gt;&lt;related-urls&gt;&lt;url&gt;https://frackinginquiry.nt.gov.au/?a=410609&lt;/url&gt;&lt;/related-urls&gt;&lt;/urls&gt;&lt;access-date&gt;28 November 2019&lt;/access-date&gt;&lt;/record&gt;&lt;/Cite&gt;&lt;/EndNote&gt;</w:instrText>
      </w:r>
      <w:r w:rsidR="00A541ED">
        <w:fldChar w:fldCharType="separate"/>
      </w:r>
      <w:r w:rsidR="008F30E0">
        <w:rPr>
          <w:noProof/>
        </w:rPr>
        <w:t>(Fulton and Knapton, 2015b)</w:t>
      </w:r>
      <w:r w:rsidR="00A541ED">
        <w:fldChar w:fldCharType="end"/>
      </w:r>
      <w:r w:rsidR="00CA64EB">
        <w:t>,</w:t>
      </w:r>
      <w:r w:rsidR="00CA64EB" w:rsidRPr="00CA64EB">
        <w:t xml:space="preserve"> primarily in the north-western part of the Beetaloo GBA region</w:t>
      </w:r>
      <w:r w:rsidR="00756EDD">
        <w:t xml:space="preserve">. </w:t>
      </w:r>
      <w:r w:rsidR="00204624">
        <w:t>T</w:t>
      </w:r>
      <w:r w:rsidR="00431427">
        <w:t xml:space="preserve">here is </w:t>
      </w:r>
      <w:r w:rsidR="00204624">
        <w:t xml:space="preserve">also </w:t>
      </w:r>
      <w:r w:rsidR="00431427">
        <w:t xml:space="preserve">potential that where </w:t>
      </w:r>
      <w:r w:rsidR="00CB4D40">
        <w:t>present</w:t>
      </w:r>
      <w:r w:rsidR="00431427">
        <w:t>, the intra</w:t>
      </w:r>
      <w:r w:rsidR="00E713E9">
        <w:t>-</w:t>
      </w:r>
      <w:r w:rsidR="00431427">
        <w:t xml:space="preserve">volcanic sandstones </w:t>
      </w:r>
      <w:r w:rsidR="00EC36A2">
        <w:t>w</w:t>
      </w:r>
      <w:r w:rsidR="00431427">
        <w:t>ould also contribute groundwater</w:t>
      </w:r>
      <w:r w:rsidR="00EC36A2">
        <w:t xml:space="preserve"> to bores</w:t>
      </w:r>
      <w:r w:rsidR="00431427">
        <w:t>.</w:t>
      </w:r>
    </w:p>
    <w:p w14:paraId="3667879E" w14:textId="6325F0C7" w:rsidR="006C1517" w:rsidRDefault="005255FA" w:rsidP="006C1517">
      <w:pPr>
        <w:pStyle w:val="Figures"/>
      </w:pPr>
      <w:bookmarkStart w:id="280" w:name="_Hlk35266616"/>
      <w:r>
        <w:rPr>
          <w:noProof/>
        </w:rPr>
        <w:drawing>
          <wp:inline distT="0" distB="0" distL="0" distR="0" wp14:anchorId="4192F250" wp14:editId="1EC76115">
            <wp:extent cx="6120130" cy="65246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BA-BEE-2-088_AntrimVolc_Buckalara.png"/>
                    <pic:cNvPicPr/>
                  </pic:nvPicPr>
                  <pic:blipFill>
                    <a:blip r:embed="rId63" cstate="screen">
                      <a:extLst>
                        <a:ext uri="{28A0092B-C50C-407E-A947-70E740481C1C}">
                          <a14:useLocalDpi xmlns:a14="http://schemas.microsoft.com/office/drawing/2010/main" val="0"/>
                        </a:ext>
                      </a:extLst>
                    </a:blip>
                    <a:stretch>
                      <a:fillRect/>
                    </a:stretch>
                  </pic:blipFill>
                  <pic:spPr>
                    <a:xfrm>
                      <a:off x="0" y="0"/>
                      <a:ext cx="6120130" cy="6524625"/>
                    </a:xfrm>
                    <a:prstGeom prst="rect">
                      <a:avLst/>
                    </a:prstGeom>
                  </pic:spPr>
                </pic:pic>
              </a:graphicData>
            </a:graphic>
          </wp:inline>
        </w:drawing>
      </w:r>
    </w:p>
    <w:p w14:paraId="700D612F" w14:textId="7713A8DB" w:rsidR="00AD1744" w:rsidRDefault="006C1517" w:rsidP="00AD1744">
      <w:pPr>
        <w:pStyle w:val="Caption"/>
        <w:contextualSpacing/>
      </w:pPr>
      <w:bookmarkStart w:id="281" w:name="_Ref795947"/>
      <w:bookmarkStart w:id="282" w:name="_Toc3968827"/>
      <w:bookmarkStart w:id="283" w:name="_Toc4072433"/>
      <w:bookmarkStart w:id="284" w:name="_Toc4670945"/>
      <w:bookmarkStart w:id="285" w:name="_Toc4754365"/>
      <w:bookmarkStart w:id="286" w:name="_Toc5020750"/>
      <w:bookmarkStart w:id="287" w:name="_Toc5021557"/>
      <w:bookmarkStart w:id="288" w:name="_Toc5097083"/>
      <w:bookmarkStart w:id="289" w:name="_Toc5108475"/>
      <w:bookmarkStart w:id="290" w:name="_Toc5284139"/>
      <w:bookmarkStart w:id="291" w:name="_Toc5635353"/>
      <w:bookmarkStart w:id="292" w:name="_Toc5808312"/>
      <w:bookmarkStart w:id="293" w:name="_Toc5894915"/>
      <w:bookmarkStart w:id="294" w:name="_Toc5895004"/>
      <w:bookmarkStart w:id="295" w:name="_Toc6308893"/>
      <w:bookmarkStart w:id="296" w:name="_Toc6327558"/>
      <w:bookmarkStart w:id="297" w:name="_Toc38990460"/>
      <w:r>
        <w:t xml:space="preserve">Figure </w:t>
      </w:r>
      <w:r>
        <w:rPr>
          <w:noProof/>
        </w:rPr>
        <w:fldChar w:fldCharType="begin"/>
      </w:r>
      <w:r>
        <w:rPr>
          <w:noProof/>
        </w:rPr>
        <w:instrText xml:space="preserve"> SEQ Figure \* ARABIC </w:instrText>
      </w:r>
      <w:r>
        <w:rPr>
          <w:noProof/>
        </w:rPr>
        <w:fldChar w:fldCharType="separate"/>
      </w:r>
      <w:r w:rsidR="00B177F5">
        <w:rPr>
          <w:noProof/>
        </w:rPr>
        <w:t>6</w:t>
      </w:r>
      <w:r>
        <w:rPr>
          <w:noProof/>
        </w:rPr>
        <w:fldChar w:fldCharType="end"/>
      </w:r>
      <w:bookmarkEnd w:id="281"/>
      <w:r>
        <w:t xml:space="preserve"> </w:t>
      </w:r>
      <w:r w:rsidR="00755BE2">
        <w:t xml:space="preserve">Distribution of the </w:t>
      </w:r>
      <w:r>
        <w:t>Antrim Plateau Volcanics</w:t>
      </w:r>
      <w:r w:rsidR="00612EAB">
        <w:t xml:space="preserve"> (Kalkarindji igneous province)</w:t>
      </w:r>
      <w:r>
        <w:t xml:space="preserve"> and Bukalara Sandstone</w:t>
      </w:r>
      <w:r w:rsidR="00C23F52" w:rsidRPr="00C23F52">
        <w:t xml:space="preserve"> </w:t>
      </w:r>
      <w:r w:rsidR="00C23F52">
        <w:t>drillhole intercepts</w:t>
      </w:r>
      <w:bookmarkEnd w:id="282"/>
      <w:bookmarkEnd w:id="283"/>
      <w:bookmarkEnd w:id="284"/>
      <w:bookmarkEnd w:id="285"/>
      <w:bookmarkEnd w:id="286"/>
      <w:bookmarkEnd w:id="287"/>
      <w:r w:rsidR="00C23F52">
        <w:t xml:space="preserve"> </w:t>
      </w:r>
      <w:r>
        <w:t>in the Beetaloo GBA region</w:t>
      </w:r>
      <w:bookmarkEnd w:id="288"/>
      <w:bookmarkEnd w:id="289"/>
      <w:bookmarkEnd w:id="290"/>
      <w:bookmarkEnd w:id="291"/>
      <w:bookmarkEnd w:id="292"/>
      <w:bookmarkEnd w:id="293"/>
      <w:bookmarkEnd w:id="294"/>
      <w:bookmarkEnd w:id="295"/>
      <w:bookmarkEnd w:id="296"/>
      <w:bookmarkEnd w:id="297"/>
      <w:r w:rsidR="00AD1744">
        <w:t xml:space="preserve"> </w:t>
      </w:r>
    </w:p>
    <w:bookmarkEnd w:id="280"/>
    <w:p w14:paraId="4CF7E8F4" w14:textId="0B1C236F" w:rsidR="00204624" w:rsidRDefault="00F14FD2" w:rsidP="00204624">
      <w:pPr>
        <w:pStyle w:val="SourceornoteforTableorFigure"/>
      </w:pPr>
      <w:r w:rsidRPr="000B7B82">
        <w:t xml:space="preserve">Where the Antrim Plateau Volcanics are not present in the Beetaloo GBA region, </w:t>
      </w:r>
      <w:r w:rsidR="003D3AD1">
        <w:t>i</w:t>
      </w:r>
      <w:r w:rsidR="00204624" w:rsidRPr="000B7B82">
        <w:t xml:space="preserve">.e. areas where striping is not present) </w:t>
      </w:r>
      <w:r w:rsidR="005260D0">
        <w:t>are areas</w:t>
      </w:r>
      <w:r w:rsidRPr="000B7B82">
        <w:t xml:space="preserve"> where </w:t>
      </w:r>
      <w:r w:rsidR="008D24EC" w:rsidRPr="008D24EC">
        <w:t>there is potential for direct vertical connectivity between the Neoproterozoic Kiana Group and the overlying Cambrian Limestone Aquifer.</w:t>
      </w:r>
      <w:r w:rsidRPr="000B7B82">
        <w:t>.</w:t>
      </w:r>
      <w:r w:rsidRPr="000B7B82">
        <w:br/>
      </w:r>
      <w:r w:rsidR="00AD1744" w:rsidRPr="000B7B82">
        <w:t xml:space="preserve">Data: </w:t>
      </w:r>
      <w:r w:rsidR="003D3AD1">
        <w:t>s</w:t>
      </w:r>
      <w:r w:rsidR="00E713E9">
        <w:t>urface g</w:t>
      </w:r>
      <w:r w:rsidR="00612EAB" w:rsidRPr="000B7B82">
        <w:t>e</w:t>
      </w:r>
      <w:r w:rsidR="00E713E9">
        <w:t>o</w:t>
      </w:r>
      <w:r w:rsidR="00612EAB" w:rsidRPr="000B7B82">
        <w:t xml:space="preserve">logy </w:t>
      </w:r>
      <w:r w:rsidR="009D49D6">
        <w:fldChar w:fldCharType="begin"/>
      </w:r>
      <w:r w:rsidR="00F76E0D">
        <w:instrText xml:space="preserve"> ADDIN EN.CITE &lt;EndNote&gt;&lt;Cite&gt;&lt;Author&gt;Geoscience Australia&lt;/Author&gt;&lt;Year&gt;2012&lt;/Year&gt;&lt;RecNum&gt;763&lt;/RecNum&gt;&lt;DisplayText&gt;(Geoscience Australia, 2012)&lt;/DisplayText&gt;&lt;record&gt;&lt;rec-number&gt;763&lt;/rec-number&gt;&lt;foreign-keys&gt;&lt;key app="EN" db-id="wdf9tzzdhw2saee559kv0vezt0wfsta0zedv" timestamp="1551312235"&gt;763&lt;/key&gt;&lt;/foreign-keys&gt;&lt;ref-type name="Dataset"&gt;59&lt;/ref-type&gt;&lt;contributors&gt;&lt;authors&gt;&lt;author&gt;Geoscience Australia,&lt;/author&gt;&lt;/authors&gt;&lt;secondary-authors&gt;&lt;author&gt;Geoscience Australia&lt;/author&gt;&lt;/secondary-authors&gt;&lt;/contributors&gt;&lt;titles&gt;&lt;title&gt;Surface geology of Australia 1:1 million&lt;/title&gt;&lt;/titles&gt;&lt;keywords&gt;&lt;keyword&gt;GEOLOGY Mapping&lt;/keyword&gt;&lt;/keywords&gt;&lt;dates&gt;&lt;year&gt;2012&lt;/year&gt;&lt;/dates&gt;&lt;pub-location&gt;Canberra&lt;/pub-location&gt;&lt;label&gt;A74CCABD-CB40-4741-A301-DAC9F53CEAE1&lt;/label&gt;&lt;urls&gt;&lt;related-urls&gt;&lt;url&gt;http://pid.geoscience.gov.au/dataset/ga/74619&lt;/url&gt;&lt;/related-urls&gt;&lt;/urls&gt;&lt;custom2&gt;unit of observation&lt;/custom2&gt;&lt;custom3&gt;spatial&lt;/custom3&gt;&lt;custom4&gt;dataset&lt;/custom4&gt;&lt;access-date&gt;27 March 2018&lt;/access-date&gt;&lt;/record&gt;&lt;/Cite&gt;&lt;/EndNote&gt;</w:instrText>
      </w:r>
      <w:r w:rsidR="009D49D6">
        <w:fldChar w:fldCharType="separate"/>
      </w:r>
      <w:r w:rsidR="009D49D6">
        <w:rPr>
          <w:noProof/>
        </w:rPr>
        <w:t>(Geoscience Australia, 2012)</w:t>
      </w:r>
      <w:r w:rsidR="009D49D6">
        <w:fldChar w:fldCharType="end"/>
      </w:r>
      <w:r w:rsidR="00612EAB" w:rsidRPr="000B7B82">
        <w:t xml:space="preserve">; </w:t>
      </w:r>
      <w:r w:rsidR="000B7B82" w:rsidRPr="000B7B82">
        <w:t xml:space="preserve">well intercepts </w:t>
      </w:r>
      <w:r w:rsidR="000B7B82" w:rsidRPr="000B7B82">
        <w:fldChar w:fldCharType="begin"/>
      </w:r>
      <w:r w:rsidR="008F30E0">
        <w:instrText xml:space="preserve"> ADDIN EN.CITE &lt;EndNote&gt;&lt;Cite&gt;&lt;Author&gt;Geological and Bioregional Assessment Program&lt;/Author&gt;&lt;Year&gt;2019&lt;/Year&gt;&lt;RecNum&gt;1003&lt;/RecNum&gt;&lt;DisplayText&gt;(Geological and Bioregional Assessment Program, 2019f)&lt;/DisplayText&gt;&lt;record&gt;&lt;rec-number&gt;1003&lt;/rec-number&gt;&lt;foreign-keys&gt;&lt;key app="EN" db-id="wdf9tzzdhw2saee559kv0vezt0wfsta0zedv" timestamp="1559184265"&gt;1003&lt;/key&gt;&lt;/foreign-keys&gt;&lt;ref-type name="Dataset"&gt;59&lt;/ref-type&gt;&lt;contributors&gt;&lt;authors&gt;&lt;author&gt;Geological and Bioregional Assessment Program,&lt;/author&gt;&lt;/authors&gt;&lt;/contributors&gt;&lt;titles&gt;&lt;title&gt;Beetaloo formation pressure and temperature data compiled from petroleum well completion reports&lt;/title&gt;&lt;/titles&gt;&lt;dates&gt;&lt;year&gt;2019&lt;/year&gt;&lt;/dates&gt;&lt;label&gt;65CF9145-483A-45E5-9349-CC66647731F1&lt;/label&gt;&lt;urls&gt;&lt;related-urls&gt;&lt;url&gt;&lt;style face="underline" font="default" size="100%"&gt;https://repo.bioregionalassessments.gov.au/metadata/65CF9145-483A-45E5-9349-CC66647731F1&lt;/style&gt;&lt;/url&gt;&lt;/related-urls&gt;&lt;/urls&gt;&lt;access-date&gt;08 March 2019&lt;/access-date&gt;&lt;/record&gt;&lt;/Cite&gt;&lt;/EndNote&gt;</w:instrText>
      </w:r>
      <w:r w:rsidR="000B7B82" w:rsidRPr="000B7B82">
        <w:fldChar w:fldCharType="separate"/>
      </w:r>
      <w:r w:rsidR="008F30E0">
        <w:rPr>
          <w:noProof/>
        </w:rPr>
        <w:t>(Geological and Bioregional Assessment Program, 2019f)</w:t>
      </w:r>
      <w:r w:rsidR="000B7B82" w:rsidRPr="000B7B82">
        <w:fldChar w:fldCharType="end"/>
      </w:r>
      <w:r w:rsidR="00E75968" w:rsidRPr="000B7B82">
        <w:t xml:space="preserve"> </w:t>
      </w:r>
      <w:r w:rsidR="000B7B82">
        <w:t xml:space="preserve">and </w:t>
      </w:r>
      <w:r w:rsidR="00E75968" w:rsidRPr="000B7B82">
        <w:fldChar w:fldCharType="begin"/>
      </w:r>
      <w:r w:rsidR="00F76E0D">
        <w:instrText xml:space="preserve"> ADDIN EN.CITE &lt;EndNote&gt;&lt;Cite AuthorYear="1"&gt;&lt;Author&gt;Northern Territory Government&lt;/Author&gt;&lt;Year&gt;2018&lt;/Year&gt;&lt;RecNum&gt;951&lt;/RecNum&gt;&lt;DisplayText&gt;Northern Territory Government (2018)&lt;/DisplayText&gt;&lt;record&gt;&lt;rec-number&gt;951&lt;/rec-number&gt;&lt;foreign-keys&gt;&lt;key app="EN" db-id="wdf9tzzdhw2saee559kv0vezt0wfsta0zedv" timestamp="1557990658"&gt;951&lt;/key&gt;&lt;/foreign-keys&gt;&lt;ref-type name="Web Page"&gt;12&lt;/ref-type&gt;&lt;contributors&gt;&lt;authors&gt;&lt;author&gt;Northern Territory Government,&lt;/author&gt;&lt;/authors&gt;&lt;/contributors&gt;&lt;titles&gt;&lt;title&gt;Geoscience Exploration and Mining Information System (GEMIS) – Petroleum Wells (PEX Wells)&lt;/title&gt;&lt;/titles&gt;&lt;number&gt;16 November 2018&lt;/number&gt;&lt;dates&gt;&lt;year&gt;2018&lt;/year&gt;&lt;/dates&gt;&lt;urls&gt;&lt;related-urls&gt;&lt;url&gt;&lt;style face="underline" font="default" size="100%"&gt;https://geoscience.nt.gov.au/gemis/ntgsjspui/handle/1/79187&lt;/style&gt;&lt;/url&gt;&lt;/related-urls&gt;&lt;/urls&gt;&lt;/record&gt;&lt;/Cite&gt;&lt;/EndNote&gt;</w:instrText>
      </w:r>
      <w:r w:rsidR="00E75968" w:rsidRPr="000B7B82">
        <w:fldChar w:fldCharType="separate"/>
      </w:r>
      <w:r w:rsidR="00467813" w:rsidRPr="000B7B82">
        <w:rPr>
          <w:noProof/>
        </w:rPr>
        <w:t>Northern Territory Government (2018)</w:t>
      </w:r>
      <w:r w:rsidR="00E75968" w:rsidRPr="000B7B82">
        <w:fldChar w:fldCharType="end"/>
      </w:r>
      <w:r w:rsidR="00E75968" w:rsidRPr="000B7B82">
        <w:t xml:space="preserve">; interpreted Kalkarindji Suite Volcanics extent from </w:t>
      </w:r>
      <w:r w:rsidR="002B058F">
        <w:fldChar w:fldCharType="begin"/>
      </w:r>
      <w:r w:rsidR="00867932">
        <w:instrText xml:space="preserve"> ADDIN EN.CITE &lt;EndNote&gt;&lt;Cite AuthorYear="1"&gt;&lt;Author&gt;Frogtech Geoscience&lt;/Author&gt;&lt;Year&gt;2018&lt;/Year&gt;&lt;RecNum&gt;952&lt;/RecNum&gt;&lt;DisplayText&gt;Frogtech Geoscience (2018b)&lt;/DisplayText&gt;&lt;record&gt;&lt;rec-number&gt;952&lt;/rec-number&gt;&lt;foreign-keys&gt;&lt;key app="EN" db-id="wdf9tzzdhw2saee559kv0vezt0wfsta0zedv" timestamp="1557990658"&gt;952&lt;/key&gt;&lt;/foreign-keys&gt;&lt;ref-type name="Dataset"&gt;59&lt;/ref-type&gt;&lt;contributors&gt;&lt;authors&gt;&lt;author&gt;Frogtech Geoscience,&lt;/author&gt;&lt;/authors&gt;&lt;/contributors&gt;&lt;titles&gt;&lt;title&gt;SEEBASE® study and GIS for greater McArthur Basin: Supplementary Data. Northern Territory Geological Survey, Digital Information Package DIP 018&lt;/title&gt;&lt;/titles&gt;&lt;pages&gt;3&lt;/pages&gt;&lt;dates&gt;&lt;year&gt;2018&lt;/year&gt;&lt;/dates&gt;&lt;pub-location&gt;Darwin&lt;/pub-location&gt;&lt;publisher&gt;Northern Territory Geological Survey&lt;/publisher&gt;&lt;label&gt;EC6D7486-30C9-4D19-92C6-57879C00A363&lt;/label&gt;&lt;urls&gt;&lt;related-urls&gt;&lt;url&gt;https://geoscience.nt.gov.au/gemis/ntgsjspui/handle/1/87062&lt;/url&gt;&lt;/related-urls&gt;&lt;/urls&gt;&lt;access-date&gt;18 February 2019&lt;/access-date&gt;&lt;/record&gt;&lt;/Cite&gt;&lt;/EndNote&gt;</w:instrText>
      </w:r>
      <w:r w:rsidR="002B058F">
        <w:fldChar w:fldCharType="separate"/>
      </w:r>
      <w:r w:rsidR="00867932">
        <w:rPr>
          <w:noProof/>
        </w:rPr>
        <w:t>Frogtech Geoscience (2018b)</w:t>
      </w:r>
      <w:r w:rsidR="002B058F">
        <w:fldChar w:fldCharType="end"/>
      </w:r>
      <w:r w:rsidR="00032BE9">
        <w:t xml:space="preserve"> </w:t>
      </w:r>
      <w:r w:rsidR="00ED4C4A" w:rsidRPr="000B7B82">
        <w:br/>
      </w:r>
      <w:r w:rsidR="00AD1744" w:rsidRPr="000B7B82">
        <w:t>Element: GBA-BEE-2-088</w:t>
      </w:r>
      <w:r w:rsidR="006C1517">
        <w:t xml:space="preserve"> </w:t>
      </w:r>
    </w:p>
    <w:p w14:paraId="4F639439" w14:textId="0F1D06F9" w:rsidR="00CD39F8" w:rsidRPr="00CD39F8" w:rsidRDefault="00F901B6" w:rsidP="005C28FB">
      <w:pPr>
        <w:pStyle w:val="Figures"/>
      </w:pPr>
      <w:r w:rsidRPr="005C28FB">
        <w:rPr>
          <w:noProof/>
        </w:rPr>
        <w:drawing>
          <wp:inline distT="0" distB="0" distL="0" distR="0" wp14:anchorId="42F879B5" wp14:editId="3C767E16">
            <wp:extent cx="6386400" cy="6670800"/>
            <wp:effectExtent l="0" t="0" r="0" b="0"/>
            <wp:docPr id="2" name="Picture 2" descr="T:\proj\ba2\Stage2\3_Beetaloo\MapsAndFigures\Figures\GBA-BEE-2-187_Antrim_CLA_connectiv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proj\ba2\Stage2\3_Beetaloo\MapsAndFigures\Figures\GBA-BEE-2-187_Antrim_CLA_connectivity.png"/>
                    <pic:cNvPicPr>
                      <a:picLocks noChangeAspect="1" noChangeArrowheads="1"/>
                    </pic:cNvPicPr>
                  </pic:nvPicPr>
                  <pic:blipFill rotWithShape="1">
                    <a:blip r:embed="rId64" cstate="screen">
                      <a:extLst>
                        <a:ext uri="{28A0092B-C50C-407E-A947-70E740481C1C}">
                          <a14:useLocalDpi xmlns:a14="http://schemas.microsoft.com/office/drawing/2010/main" val="0"/>
                        </a:ext>
                      </a:extLst>
                    </a:blip>
                    <a:srcRect l="26324"/>
                    <a:stretch/>
                  </pic:blipFill>
                  <pic:spPr bwMode="auto">
                    <a:xfrm>
                      <a:off x="0" y="0"/>
                      <a:ext cx="6386400" cy="6670800"/>
                    </a:xfrm>
                    <a:prstGeom prst="rect">
                      <a:avLst/>
                    </a:prstGeom>
                    <a:noFill/>
                    <a:ln>
                      <a:noFill/>
                    </a:ln>
                    <a:extLst>
                      <a:ext uri="{53640926-AAD7-44D8-BBD7-CCE9431645EC}">
                        <a14:shadowObscured xmlns:a14="http://schemas.microsoft.com/office/drawing/2010/main"/>
                      </a:ext>
                    </a:extLst>
                  </pic:spPr>
                </pic:pic>
              </a:graphicData>
            </a:graphic>
          </wp:inline>
        </w:drawing>
      </w:r>
    </w:p>
    <w:p w14:paraId="0576DDD6" w14:textId="52329BEB" w:rsidR="00CD39F8" w:rsidRDefault="00CD39F8" w:rsidP="00CD39F8">
      <w:pPr>
        <w:pStyle w:val="Caption"/>
      </w:pPr>
      <w:bookmarkStart w:id="298" w:name="_Ref5187256"/>
      <w:bookmarkStart w:id="299" w:name="_Toc6327591"/>
      <w:bookmarkStart w:id="300" w:name="_Toc9954688"/>
      <w:bookmarkStart w:id="301" w:name="_Toc38990461"/>
      <w:bookmarkStart w:id="302" w:name="_Toc5284172"/>
      <w:bookmarkStart w:id="303" w:name="_Toc5635387"/>
      <w:bookmarkStart w:id="304" w:name="_Toc5808346"/>
      <w:bookmarkStart w:id="305" w:name="_Toc5895038"/>
      <w:bookmarkStart w:id="306" w:name="_Toc6308927"/>
      <w:r>
        <w:t xml:space="preserve">Figure </w:t>
      </w:r>
      <w:r>
        <w:rPr>
          <w:noProof/>
        </w:rPr>
        <w:fldChar w:fldCharType="begin"/>
      </w:r>
      <w:r>
        <w:rPr>
          <w:noProof/>
        </w:rPr>
        <w:instrText xml:space="preserve"> SEQ Figure \* ARABIC </w:instrText>
      </w:r>
      <w:r>
        <w:rPr>
          <w:noProof/>
        </w:rPr>
        <w:fldChar w:fldCharType="separate"/>
      </w:r>
      <w:r w:rsidR="00B177F5">
        <w:rPr>
          <w:noProof/>
        </w:rPr>
        <w:t>7</w:t>
      </w:r>
      <w:r>
        <w:rPr>
          <w:noProof/>
        </w:rPr>
        <w:fldChar w:fldCharType="end"/>
      </w:r>
      <w:bookmarkEnd w:id="298"/>
      <w:r w:rsidRPr="00B21D0A">
        <w:t xml:space="preserve"> </w:t>
      </w:r>
      <w:r w:rsidR="00604FED">
        <w:t>R</w:t>
      </w:r>
      <w:r w:rsidR="005C28FB">
        <w:t xml:space="preserve">elationship </w:t>
      </w:r>
      <w:r w:rsidR="00604FED">
        <w:t>between the</w:t>
      </w:r>
      <w:r w:rsidRPr="5B3F5A9C">
        <w:t xml:space="preserve"> </w:t>
      </w:r>
      <w:r w:rsidR="005C28FB">
        <w:t xml:space="preserve">Antrim Plateau </w:t>
      </w:r>
      <w:r>
        <w:t>Volcanics</w:t>
      </w:r>
      <w:bookmarkEnd w:id="299"/>
      <w:bookmarkEnd w:id="300"/>
      <w:r w:rsidR="00604FED">
        <w:t xml:space="preserve"> and the overlying Cambrian Limestone Aquifer</w:t>
      </w:r>
      <w:bookmarkEnd w:id="301"/>
    </w:p>
    <w:bookmarkEnd w:id="302"/>
    <w:bookmarkEnd w:id="303"/>
    <w:bookmarkEnd w:id="304"/>
    <w:bookmarkEnd w:id="305"/>
    <w:bookmarkEnd w:id="306"/>
    <w:p w14:paraId="14234C4C" w14:textId="1F7F4937" w:rsidR="000B7B82" w:rsidRPr="000B7B82" w:rsidRDefault="005C28FB" w:rsidP="00604FED">
      <w:pPr>
        <w:pStyle w:val="SourceornoteforTableorFigure"/>
      </w:pPr>
      <w:r>
        <w:t xml:space="preserve">Where the </w:t>
      </w:r>
      <w:r w:rsidR="00821855">
        <w:t xml:space="preserve">Antrim Plateau </w:t>
      </w:r>
      <w:r w:rsidR="00D835D9">
        <w:t>V</w:t>
      </w:r>
      <w:r>
        <w:t>olcanics aquitard are absent in the Beetaloo GBA region</w:t>
      </w:r>
      <w:r w:rsidR="00821855">
        <w:t xml:space="preserve"> (i.e. areas with no striping)</w:t>
      </w:r>
      <w:r>
        <w:t xml:space="preserve">, </w:t>
      </w:r>
      <w:bookmarkStart w:id="307" w:name="_Hlk37766399"/>
      <w:r>
        <w:t xml:space="preserve">there is </w:t>
      </w:r>
      <w:r w:rsidR="00CD39F8" w:rsidRPr="00820231">
        <w:t xml:space="preserve">potential for </w:t>
      </w:r>
      <w:r w:rsidR="00954817">
        <w:t xml:space="preserve">direct vertical </w:t>
      </w:r>
      <w:r w:rsidR="00CD39F8" w:rsidRPr="00820231">
        <w:t xml:space="preserve">connectivity between the Neoproterozoic </w:t>
      </w:r>
      <w:r w:rsidR="00CD39F8" w:rsidRPr="0042052A">
        <w:t>Kiana Group and the overlying Cambrian Limestone Aquifer.</w:t>
      </w:r>
      <w:bookmarkEnd w:id="307"/>
      <w:r w:rsidR="00CD39F8" w:rsidRPr="0042052A">
        <w:t xml:space="preserve"> </w:t>
      </w:r>
      <w:r>
        <w:t>Within the volcanics</w:t>
      </w:r>
      <w:r w:rsidR="00487CE4">
        <w:t xml:space="preserve">, </w:t>
      </w:r>
      <w:r w:rsidR="005C6FBD">
        <w:t>ae</w:t>
      </w:r>
      <w:r w:rsidR="00954817">
        <w:t>romagnetics</w:t>
      </w:r>
      <w:r w:rsidR="00B0164A">
        <w:t xml:space="preserve"> images</w:t>
      </w:r>
      <w:r w:rsidR="00954817">
        <w:t xml:space="preserve"> suggest</w:t>
      </w:r>
      <w:r w:rsidR="00487CE4">
        <w:t xml:space="preserve"> there are</w:t>
      </w:r>
      <w:r w:rsidR="00CD39F8">
        <w:t xml:space="preserve"> </w:t>
      </w:r>
      <w:r>
        <w:t xml:space="preserve">geological </w:t>
      </w:r>
      <w:r w:rsidR="00056876">
        <w:t xml:space="preserve">features </w:t>
      </w:r>
      <w:r w:rsidR="00954817">
        <w:t>such as</w:t>
      </w:r>
      <w:r w:rsidR="005C6FBD">
        <w:t xml:space="preserve"> </w:t>
      </w:r>
      <w:r w:rsidR="00056876">
        <w:t>lineaments (faults, fractures</w:t>
      </w:r>
      <w:r w:rsidR="00487CE4">
        <w:t>, palaeo-topographic features</w:t>
      </w:r>
      <w:r w:rsidR="00056876">
        <w:t>)</w:t>
      </w:r>
      <w:r w:rsidR="00487CE4">
        <w:t xml:space="preserve"> and</w:t>
      </w:r>
      <w:r w:rsidR="00056876">
        <w:t xml:space="preserve"> localised collapse features.</w:t>
      </w:r>
      <w:r w:rsidR="00CD39F8" w:rsidRPr="003E1F1E">
        <w:t xml:space="preserve"> </w:t>
      </w:r>
      <w:r w:rsidR="000B7B82">
        <w:br/>
      </w:r>
      <w:r w:rsidR="000B7B82" w:rsidRPr="000B7B82">
        <w:t xml:space="preserve">Data: Kalkarindji Suite Volcanics extent from </w:t>
      </w:r>
      <w:r w:rsidR="000B7B82" w:rsidRPr="000B7B82">
        <w:fldChar w:fldCharType="begin"/>
      </w:r>
      <w:r w:rsidR="00867932">
        <w:instrText xml:space="preserve"> ADDIN EN.CITE &lt;EndNote&gt;&lt;Cite&gt;&lt;Author&gt;Frogtech Geoscience&lt;/Author&gt;&lt;Year&gt;2018&lt;/Year&gt;&lt;RecNum&gt;952&lt;/RecNum&gt;&lt;DisplayText&gt;(Frogtech Geoscience, 2018b)&lt;/DisplayText&gt;&lt;record&gt;&lt;rec-number&gt;952&lt;/rec-number&gt;&lt;foreign-keys&gt;&lt;key app="EN" db-id="wdf9tzzdhw2saee559kv0vezt0wfsta0zedv" timestamp="1557990658"&gt;952&lt;/key&gt;&lt;/foreign-keys&gt;&lt;ref-type name="Dataset"&gt;59&lt;/ref-type&gt;&lt;contributors&gt;&lt;authors&gt;&lt;author&gt;Frogtech Geoscience,&lt;/author&gt;&lt;/authors&gt;&lt;/contributors&gt;&lt;titles&gt;&lt;title&gt;SEEBASE® study and GIS for greater McArthur Basin: Supplementary Data. Northern Territory Geological Survey, Digital Information Package DIP 018&lt;/title&gt;&lt;/titles&gt;&lt;pages&gt;3&lt;/pages&gt;&lt;dates&gt;&lt;year&gt;2018&lt;/year&gt;&lt;/dates&gt;&lt;pub-location&gt;Darwin&lt;/pub-location&gt;&lt;publisher&gt;Northern Territory Geological Survey&lt;/publisher&gt;&lt;label&gt;EC6D7486-30C9-4D19-92C6-57879C00A363&lt;/label&gt;&lt;urls&gt;&lt;related-urls&gt;&lt;url&gt;https://geoscience.nt.gov.au/gemis/ntgsjspui/handle/1/87062&lt;/url&gt;&lt;/related-urls&gt;&lt;/urls&gt;&lt;access-date&gt;18 February 2019&lt;/access-date&gt;&lt;/record&gt;&lt;/Cite&gt;&lt;/EndNote&gt;</w:instrText>
      </w:r>
      <w:r w:rsidR="000B7B82" w:rsidRPr="000B7B82">
        <w:fldChar w:fldCharType="separate"/>
      </w:r>
      <w:r w:rsidR="00867932">
        <w:rPr>
          <w:noProof/>
        </w:rPr>
        <w:t>(Frogtech Geoscience, 2018b)</w:t>
      </w:r>
      <w:r w:rsidR="000B7B82" w:rsidRPr="000B7B82">
        <w:fldChar w:fldCharType="end"/>
      </w:r>
      <w:r w:rsidR="00032BE9">
        <w:t xml:space="preserve">; aeromagnetics image </w:t>
      </w:r>
      <w:r w:rsidR="00032BE9">
        <w:fldChar w:fldCharType="begin"/>
      </w:r>
      <w:r w:rsidR="008F30E0">
        <w:instrText xml:space="preserve"> ADDIN EN.CITE &lt;EndNote&gt;&lt;Cite&gt;&lt;Author&gt;Geological and Bioregional Assessment Program&lt;/Author&gt;&lt;Year&gt;2019&lt;/Year&gt;&lt;RecNum&gt;1369&lt;/RecNum&gt;&lt;DisplayText&gt;(Geological and Bioregional Assessment Program, 2019e)&lt;/DisplayText&gt;&lt;record&gt;&lt;rec-number&gt;1369&lt;/rec-number&gt;&lt;foreign-keys&gt;&lt;key app="EN" db-id="wdf9tzzdhw2saee559kv0vezt0wfsta0zedv" timestamp="1574895996"&gt;1369&lt;/key&gt;&lt;/foreign-keys&gt;&lt;ref-type name="Dataset"&gt;59&lt;/ref-type&gt;&lt;contributors&gt;&lt;authors&gt;&lt;author&gt;Geological and Bioregional Assessment Program,&lt;/author&gt;&lt;/authors&gt;&lt;/contributors&gt;&lt;titles&gt;&lt;title&gt;Beetaloo GBA region - Total Magnetic Intensity (TMI)  georeferenced image&lt;/title&gt;&lt;/titles&gt;&lt;dates&gt;&lt;year&gt;2019&lt;/year&gt;&lt;/dates&gt;&lt;label&gt;47E424DC-7489-42AA-ADB2-E3BAEC3E36EB&lt;/label&gt;&lt;urls&gt;&lt;related-urls&gt;&lt;url&gt;http://www.ga.gov.au/news-events/news/latest-news/latest-editions-of-magnetic-anomaly-grid-and-radiometric-map-released&lt;/url&gt;&lt;/related-urls&gt;&lt;/urls&gt;&lt;access-date&gt;19 May 2019&lt;/access-date&gt;&lt;/record&gt;&lt;/Cite&gt;&lt;/EndNote&gt;</w:instrText>
      </w:r>
      <w:r w:rsidR="00032BE9">
        <w:fldChar w:fldCharType="separate"/>
      </w:r>
      <w:r w:rsidR="008F30E0">
        <w:rPr>
          <w:noProof/>
        </w:rPr>
        <w:t>(Geological and Bioregional Assessment Program, 2019e)</w:t>
      </w:r>
      <w:r w:rsidR="00032BE9">
        <w:fldChar w:fldCharType="end"/>
      </w:r>
      <w:r w:rsidR="00032BE9">
        <w:t xml:space="preserve"> </w:t>
      </w:r>
      <w:r w:rsidR="000B7B82">
        <w:br/>
        <w:t xml:space="preserve">Element: GBA-BEE-2-187 </w:t>
      </w:r>
    </w:p>
    <w:p w14:paraId="407BD54D" w14:textId="77777777" w:rsidR="006C1517" w:rsidRDefault="006C1517" w:rsidP="006C1517">
      <w:pPr>
        <w:pStyle w:val="Heading5"/>
      </w:pPr>
      <w:bookmarkStart w:id="308" w:name="_Ref5187386"/>
      <w:r>
        <w:t>Cambrian Limestone Aquifer</w:t>
      </w:r>
      <w:bookmarkEnd w:id="308"/>
    </w:p>
    <w:p w14:paraId="69B2BDEB" w14:textId="7B57E633" w:rsidR="006C1517" w:rsidRDefault="006C1517" w:rsidP="006C1517">
      <w:r>
        <w:t xml:space="preserve">The CLA </w:t>
      </w:r>
      <w:r w:rsidR="00A541ED">
        <w:fldChar w:fldCharType="begin"/>
      </w:r>
      <w:r w:rsidR="00F76E0D">
        <w:instrText xml:space="preserve"> ADDIN EN.CITE &lt;EndNote&gt;&lt;Cite&gt;&lt;Author&gt;Fulton&lt;/Author&gt;&lt;Year&gt;2009&lt;/Year&gt;&lt;RecNum&gt;682&lt;/RecNum&gt;&lt;DisplayText&gt;(Fulton and Zaar, 2009)&lt;/DisplayText&gt;&lt;record&gt;&lt;rec-number&gt;682&lt;/rec-number&gt;&lt;foreign-keys&gt;&lt;key app="EN" db-id="wdf9tzzdhw2saee559kv0vezt0wfsta0zedv" timestamp="1545264443"&gt;682&lt;/key&gt;&lt;key app="ENWeb" db-id=""&gt;0&lt;/key&gt;&lt;/foreign-keys&gt;&lt;ref-type name="Report"&gt;27&lt;/ref-type&gt;&lt;contributors&gt;&lt;authors&gt;&lt;author&gt;Fulton, S.&lt;/author&gt;&lt;author&gt;Zaar, U.&lt;/author&gt;&lt;/authors&gt;&lt;tertiary-authors&gt;&lt;author&gt;Department of Natural Resources,, Environment,, the Arts and Sport (NT),&lt;/author&gt;&lt;/tertiary-authors&gt;&lt;/contributors&gt;&lt;titles&gt;&lt;title&gt;Gulf water study : Dunmarra and Hodgson River Region&lt;/title&gt;&lt;/titles&gt;&lt;pages&gt;73&lt;/pages&gt;&lt;keywords&gt;&lt;keyword&gt;Water Smart Australia Program&lt;/keyword&gt;&lt;keyword&gt;Dunmarra&lt;/keyword&gt;&lt;keyword&gt;Hodgson River&lt;/keyword&gt;&lt;keyword&gt;Greening the Territory. A Territory Government initiative&lt;/keyword&gt;&lt;/keywords&gt;&lt;dates&gt;&lt;year&gt;2009&lt;/year&gt;&lt;/dates&gt;&lt;pub-location&gt;Darwin&lt;/pub-location&gt;&lt;isbn&gt;Report 19/2009D&lt;/isbn&gt;&lt;urls&gt;&lt;related-urls&gt;&lt;url&gt;&lt;style face="underline" font="default" size="100%"&gt;http://www.territorystories.nt.gov.au/jspui/handle/10070/241906&lt;/style&gt;&lt;/url&gt;&lt;/related-urls&gt;&lt;/urls&gt;&lt;access-date&gt;28 November 2019&lt;/access-date&gt;&lt;/record&gt;&lt;/Cite&gt;&lt;/EndNote&gt;</w:instrText>
      </w:r>
      <w:r w:rsidR="00A541ED">
        <w:fldChar w:fldCharType="separate"/>
      </w:r>
      <w:r w:rsidR="005064C6">
        <w:rPr>
          <w:noProof/>
        </w:rPr>
        <w:t>(Fulton and Zaar, 2009)</w:t>
      </w:r>
      <w:r w:rsidR="00A541ED">
        <w:fldChar w:fldCharType="end"/>
      </w:r>
      <w:r>
        <w:t xml:space="preserve"> is a significant regional aquifer system </w:t>
      </w:r>
      <w:r w:rsidR="00B0164A">
        <w:t xml:space="preserve">of </w:t>
      </w:r>
      <w:r>
        <w:t xml:space="preserve">variably fractured and karstic rocks that extend across the Georgina, Wiso and Daly </w:t>
      </w:r>
      <w:r w:rsidR="00DD6F9C">
        <w:t>b</w:t>
      </w:r>
      <w:r>
        <w:t>asins (</w:t>
      </w:r>
      <w:r>
        <w:fldChar w:fldCharType="begin"/>
      </w:r>
      <w:r>
        <w:instrText xml:space="preserve"> REF _Ref1116992 \h </w:instrText>
      </w:r>
      <w:r>
        <w:fldChar w:fldCharType="separate"/>
      </w:r>
      <w:r w:rsidR="00B177F5">
        <w:t xml:space="preserve">Figure </w:t>
      </w:r>
      <w:r w:rsidR="00B177F5">
        <w:rPr>
          <w:noProof/>
        </w:rPr>
        <w:t>8</w:t>
      </w:r>
      <w:r>
        <w:fldChar w:fldCharType="end"/>
      </w:r>
      <w:r>
        <w:t xml:space="preserve">). The Montejinni Limestone, Hooker Creek Formation and </w:t>
      </w:r>
      <w:r w:rsidRPr="00EA0E81">
        <w:t>Point Wakefield beds</w:t>
      </w:r>
      <w:r>
        <w:t xml:space="preserve"> in the Wiso Basin; Tindall Limestone, Jinduckin Formation and Oolloo Dolostone in the Daly Basin; </w:t>
      </w:r>
      <w:r w:rsidR="005876DE">
        <w:t xml:space="preserve">and </w:t>
      </w:r>
      <w:r>
        <w:t>Gum Ridge and Anthony Lagoon formations of the Georgina Basin (</w:t>
      </w:r>
      <w:r>
        <w:fldChar w:fldCharType="begin"/>
      </w:r>
      <w:r>
        <w:instrText xml:space="preserve"> REF _Ref535407260 \h </w:instrText>
      </w:r>
      <w:r>
        <w:fldChar w:fldCharType="separate"/>
      </w:r>
      <w:r w:rsidR="00B177F5">
        <w:t xml:space="preserve">Figure </w:t>
      </w:r>
      <w:r w:rsidR="00B177F5">
        <w:rPr>
          <w:noProof/>
        </w:rPr>
        <w:t>4</w:t>
      </w:r>
      <w:r>
        <w:fldChar w:fldCharType="end"/>
      </w:r>
      <w:r>
        <w:t xml:space="preserve">) </w:t>
      </w:r>
      <w:r w:rsidR="00262FD9">
        <w:t>make up</w:t>
      </w:r>
      <w:r>
        <w:t xml:space="preserve"> the extensive CLA system that hosts the principal accessible </w:t>
      </w:r>
      <w:r w:rsidR="00262FD9">
        <w:t>ground</w:t>
      </w:r>
      <w:r>
        <w:t xml:space="preserve">water resource </w:t>
      </w:r>
      <w:r w:rsidR="00262FD9">
        <w:t>in</w:t>
      </w:r>
      <w:r>
        <w:t xml:space="preserve"> the Beetaloo GBA region. Broadly</w:t>
      </w:r>
      <w:r w:rsidR="007B5ADD">
        <w:t>,</w:t>
      </w:r>
      <w:r>
        <w:t xml:space="preserve"> the aquifer system </w:t>
      </w:r>
      <w:r w:rsidR="00262FD9">
        <w:t xml:space="preserve">is </w:t>
      </w:r>
      <w:r>
        <w:t xml:space="preserve">informally divided into an upper </w:t>
      </w:r>
      <w:r w:rsidR="005876DE">
        <w:t xml:space="preserve">CLA sequence </w:t>
      </w:r>
      <w:r>
        <w:t xml:space="preserve">and </w:t>
      </w:r>
      <w:r w:rsidR="005876DE">
        <w:t xml:space="preserve">a </w:t>
      </w:r>
      <w:r>
        <w:t>lower CLA sequence which</w:t>
      </w:r>
      <w:r w:rsidR="007C17ED">
        <w:t>,</w:t>
      </w:r>
      <w:r>
        <w:t xml:space="preserve"> on </w:t>
      </w:r>
      <w:r>
        <w:fldChar w:fldCharType="begin"/>
      </w:r>
      <w:r>
        <w:instrText xml:space="preserve"> REF _Ref535407260 \h </w:instrText>
      </w:r>
      <w:r>
        <w:fldChar w:fldCharType="separate"/>
      </w:r>
      <w:r w:rsidR="00B177F5">
        <w:t xml:space="preserve">Figure </w:t>
      </w:r>
      <w:r w:rsidR="00B177F5">
        <w:rPr>
          <w:noProof/>
        </w:rPr>
        <w:t>4</w:t>
      </w:r>
      <w:r>
        <w:fldChar w:fldCharType="end"/>
      </w:r>
      <w:r w:rsidR="007C17ED">
        <w:t>,</w:t>
      </w:r>
      <w:r>
        <w:t xml:space="preserve"> are referred to as the </w:t>
      </w:r>
      <w:r w:rsidR="005876DE">
        <w:t>‘</w:t>
      </w:r>
      <w:r w:rsidRPr="00EA0E81">
        <w:t>Gum Ridge Formation and equivalents</w:t>
      </w:r>
      <w:r w:rsidR="005876DE">
        <w:t>’</w:t>
      </w:r>
      <w:r w:rsidRPr="00EA0E81">
        <w:t xml:space="preserve"> (Gum Ridge Formation, Tindall Limestone, Montejinni Limestone) and the</w:t>
      </w:r>
      <w:r>
        <w:t xml:space="preserve"> </w:t>
      </w:r>
      <w:r w:rsidR="005876DE">
        <w:t>‘</w:t>
      </w:r>
      <w:r w:rsidRPr="00EA0E81">
        <w:t>Anthony Lagoon Formation and equivalents</w:t>
      </w:r>
      <w:r w:rsidR="005876DE">
        <w:t>’</w:t>
      </w:r>
      <w:r w:rsidRPr="00EA0E81">
        <w:t xml:space="preserve"> (Anthony Lagoon For</w:t>
      </w:r>
      <w:r w:rsidR="00C6685E">
        <w:t>mation, Jinduckin Formation, Hooker Creek Formation a</w:t>
      </w:r>
      <w:r w:rsidR="00C74611">
        <w:t xml:space="preserve">nd </w:t>
      </w:r>
      <w:r w:rsidRPr="00EA0E81">
        <w:t>Point Wakefield beds)</w:t>
      </w:r>
      <w:r>
        <w:t>.</w:t>
      </w:r>
      <w:r w:rsidR="00A617A2">
        <w:t xml:space="preserve"> </w:t>
      </w:r>
      <w:r>
        <w:t>Overlying the Jinduckin Formation is the Oolloo Dolostone</w:t>
      </w:r>
      <w:r w:rsidR="00A617A2">
        <w:t xml:space="preserve">, which is </w:t>
      </w:r>
      <w:r w:rsidR="00262FD9">
        <w:t>found well to the north</w:t>
      </w:r>
      <w:r w:rsidR="00A617A2">
        <w:t xml:space="preserve"> </w:t>
      </w:r>
      <w:r w:rsidR="00262FD9">
        <w:t xml:space="preserve">of </w:t>
      </w:r>
      <w:r w:rsidR="00A617A2">
        <w:t>the Beetaloo GBA region</w:t>
      </w:r>
      <w:r w:rsidR="00262FD9">
        <w:t xml:space="preserve"> in the Daly Basin</w:t>
      </w:r>
      <w:r w:rsidRPr="00EA0E81">
        <w:t>.</w:t>
      </w:r>
    </w:p>
    <w:p w14:paraId="2618E8F1" w14:textId="5EE2C3B3" w:rsidR="00C6685E" w:rsidRDefault="00E56A25" w:rsidP="006C1517">
      <w:r>
        <w:t xml:space="preserve">Some minor discrepancies </w:t>
      </w:r>
      <w:r w:rsidR="007C17ED">
        <w:t xml:space="preserve">in terminology </w:t>
      </w:r>
      <w:r w:rsidR="007124EF">
        <w:t>are</w:t>
      </w:r>
      <w:r>
        <w:t xml:space="preserve"> apparent </w:t>
      </w:r>
      <w:r w:rsidR="00B23282">
        <w:t xml:space="preserve">between </w:t>
      </w:r>
      <w:r w:rsidR="003A5F9C">
        <w:t xml:space="preserve">the </w:t>
      </w:r>
      <w:r w:rsidR="00B23282">
        <w:t>stratigraphic</w:t>
      </w:r>
      <w:r>
        <w:t xml:space="preserve"> and </w:t>
      </w:r>
      <w:r w:rsidR="00C74611">
        <w:t>hydrostratigraphic</w:t>
      </w:r>
      <w:r>
        <w:t xml:space="preserve"> units that overlie the Montejinni Limestone</w:t>
      </w:r>
      <w:r w:rsidR="007124EF" w:rsidRPr="007124EF">
        <w:t xml:space="preserve"> </w:t>
      </w:r>
      <w:r w:rsidR="007124EF">
        <w:t>in the Wiso Basin</w:t>
      </w:r>
      <w:r w:rsidR="00B23282">
        <w:t xml:space="preserve"> and their correlatives in the Daly Basin</w:t>
      </w:r>
      <w:r>
        <w:t>. The Montejinni Limestone is conformably overlain by the Hooker Creek Formatio</w:t>
      </w:r>
      <w:r w:rsidR="00B23282">
        <w:t>n and Lothari Hill Sandstone</w:t>
      </w:r>
      <w:r w:rsidR="007F0842">
        <w:t xml:space="preserve"> </w:t>
      </w:r>
      <w:r w:rsidR="007F0842">
        <w:fldChar w:fldCharType="begin"/>
      </w:r>
      <w:r w:rsidR="008F30E0">
        <w:instrText xml:space="preserve"> ADDIN EN.CITE &lt;EndNote&gt;&lt;Cite&gt;&lt;Author&gt;Kruse&lt;/Author&gt;&lt;Year&gt;2013&lt;/Year&gt;&lt;RecNum&gt;1155&lt;/RecNum&gt;&lt;DisplayText&gt;(Kruse and Munson, 2013a)&lt;/DisplayText&gt;&lt;record&gt;&lt;rec-number&gt;1155&lt;/rec-number&gt;&lt;foreign-keys&gt;&lt;key app="EN" db-id="wdf9tzzdhw2saee559kv0vezt0wfsta0zedv" timestamp="1562804878"&gt;1155&lt;/key&gt;&lt;key app="ENWeb" db-id=""&gt;0&lt;/key&gt;&lt;/foreign-keys&gt;&lt;ref-type name="Book Section"&gt;5&lt;/ref-type&gt;&lt;contributors&gt;&lt;authors&gt;&lt;author&gt;Kruse, P.D.&lt;/author&gt;&lt;author&gt;Munson, T.J.&lt;/author&gt;&lt;/authors&gt;&lt;/contributors&gt;&lt;titles&gt;&lt;title&gt;Chapter 32: Wiso Basin. In: Ahmad M and Munson TJ (eds)&lt;/title&gt;&lt;secondary-title&gt;Geology and mineral resources of the Northern Territory. Northern Territory Geological Survey, Special Publication 5&lt;/secondary-title&gt;&lt;/titles&gt;&lt;pages&gt;12&lt;/pages&gt;&lt;section&gt;32&lt;/section&gt;&lt;dates&gt;&lt;year&gt;2013&lt;/year&gt;&lt;/dates&gt;&lt;pub-location&gt;Darwin&lt;/pub-location&gt;&lt;isbn&gt;978-0-7245-7257-1&lt;/isbn&gt;&lt;urls&gt;&lt;related-urls&gt;&lt;url&gt;&lt;style face="underline" font="default" size="100%"&gt;https://geoscience.nt.gov.au/gemis/ntgsjspui/handle/1/81446&lt;/style&gt;&lt;/url&gt;&lt;/related-urls&gt;&lt;/urls&gt;&lt;access-date&gt;28 November 2019&lt;/access-date&gt;&lt;/record&gt;&lt;/Cite&gt;&lt;/EndNote&gt;</w:instrText>
      </w:r>
      <w:r w:rsidR="007F0842">
        <w:fldChar w:fldCharType="separate"/>
      </w:r>
      <w:r w:rsidR="008F30E0">
        <w:rPr>
          <w:noProof/>
        </w:rPr>
        <w:t>(Kruse and Munson, 2013a)</w:t>
      </w:r>
      <w:r w:rsidR="007F0842">
        <w:fldChar w:fldCharType="end"/>
      </w:r>
      <w:r w:rsidR="00B23282">
        <w:t xml:space="preserve">. </w:t>
      </w:r>
      <w:r w:rsidR="00A038D9">
        <w:t>In Wiso Basin, t</w:t>
      </w:r>
      <w:r w:rsidR="00B23282">
        <w:t>hese</w:t>
      </w:r>
      <w:r w:rsidR="00C74611">
        <w:t xml:space="preserve"> </w:t>
      </w:r>
      <w:r w:rsidR="007124EF">
        <w:t xml:space="preserve">three </w:t>
      </w:r>
      <w:r w:rsidR="00483F09">
        <w:t xml:space="preserve">units </w:t>
      </w:r>
      <w:r>
        <w:t xml:space="preserve">collectively </w:t>
      </w:r>
      <w:r w:rsidR="00483F09">
        <w:t xml:space="preserve">are </w:t>
      </w:r>
      <w:r w:rsidR="007124EF">
        <w:t>described</w:t>
      </w:r>
      <w:r>
        <w:t xml:space="preserve"> as </w:t>
      </w:r>
      <w:r w:rsidR="005876DE">
        <w:t>‘</w:t>
      </w:r>
      <w:r w:rsidR="00D22CE5">
        <w:t xml:space="preserve">middle Cambrian </w:t>
      </w:r>
      <w:r>
        <w:t>sequence 1</w:t>
      </w:r>
      <w:r w:rsidR="005876DE">
        <w:t>’</w:t>
      </w:r>
      <w:r w:rsidR="003A5F9C">
        <w:t xml:space="preserve">. </w:t>
      </w:r>
      <w:r w:rsidR="007C17ED">
        <w:t xml:space="preserve">This </w:t>
      </w:r>
      <w:r w:rsidR="00483F09">
        <w:t>is</w:t>
      </w:r>
      <w:r w:rsidR="005876DE">
        <w:t>,</w:t>
      </w:r>
      <w:r w:rsidR="00483F09">
        <w:t xml:space="preserve"> </w:t>
      </w:r>
      <w:r w:rsidR="003A5F9C">
        <w:t>in turn</w:t>
      </w:r>
      <w:r w:rsidR="005876DE">
        <w:t>,</w:t>
      </w:r>
      <w:r w:rsidR="003A5F9C">
        <w:t xml:space="preserve"> unconformably overlain</w:t>
      </w:r>
      <w:r>
        <w:t xml:space="preserve"> by the Point Wakefield beds (</w:t>
      </w:r>
      <w:r w:rsidR="00D22CE5">
        <w:t xml:space="preserve">middle Cambrian </w:t>
      </w:r>
      <w:r>
        <w:t>seque</w:t>
      </w:r>
      <w:r w:rsidR="00D22CE5">
        <w:t>nce 2). Sequence 1 in the Wiso Basin stratigraphically</w:t>
      </w:r>
      <w:r>
        <w:t xml:space="preserve"> correspond</w:t>
      </w:r>
      <w:r w:rsidR="00D22CE5">
        <w:t>s</w:t>
      </w:r>
      <w:r>
        <w:t xml:space="preserve"> with </w:t>
      </w:r>
      <w:r w:rsidR="00D22CE5">
        <w:t xml:space="preserve">the </w:t>
      </w:r>
      <w:r>
        <w:t>Tindall Limeston</w:t>
      </w:r>
      <w:r w:rsidR="00D22CE5">
        <w:t xml:space="preserve">e, which is </w:t>
      </w:r>
      <w:r w:rsidR="007124EF">
        <w:t xml:space="preserve">described as </w:t>
      </w:r>
      <w:r w:rsidR="005876DE">
        <w:t>‘</w:t>
      </w:r>
      <w:r w:rsidR="00D22CE5">
        <w:t>middle Cambrian sequence 1</w:t>
      </w:r>
      <w:r w:rsidR="005876DE">
        <w:t>’</w:t>
      </w:r>
      <w:r w:rsidR="00D22CE5">
        <w:t xml:space="preserve"> in the </w:t>
      </w:r>
      <w:r>
        <w:t>Daly Basin</w:t>
      </w:r>
      <w:r w:rsidR="00D22CE5" w:rsidDel="000764F2">
        <w:t xml:space="preserve"> </w:t>
      </w:r>
      <w:r w:rsidR="00A541ED">
        <w:fldChar w:fldCharType="begin"/>
      </w:r>
      <w:r w:rsidR="00F76E0D">
        <w:instrText xml:space="preserve"> ADDIN EN.CITE &lt;EndNote&gt;&lt;Cite&gt;&lt;Author&gt;Kruse&lt;/Author&gt;&lt;Year&gt;2013&lt;/Year&gt;&lt;RecNum&gt;686&lt;/RecNum&gt;&lt;DisplayText&gt;(Kruse et al., 2013)&lt;/DisplayText&gt;&lt;record&gt;&lt;rec-number&gt;686&lt;/rec-number&gt;&lt;foreign-keys&gt;&lt;key app="EN" db-id="wdf9tzzdhw2saee559kv0vezt0wfsta0zedv" timestamp="1545264480"&gt;686&lt;/key&gt;&lt;key app="ENWeb" db-id=""&gt;0&lt;/key&gt;&lt;/foreign-keys&gt;&lt;ref-type name="Book Section"&gt;5&lt;/ref-type&gt;&lt;contributors&gt;&lt;authors&gt;&lt;author&gt;Kruse, P.D.&lt;/author&gt;&lt;author&gt;Dunster, J.N.&lt;/author&gt;&lt;author&gt;Munson, T.J.&lt;/author&gt;&lt;/authors&gt;&lt;/contributors&gt;&lt;titles&gt;&lt;title&gt;Chapter 28: Georgina Basin. In: Ahmad M and Munson TJ (eds)&lt;/title&gt;&lt;secondary-title&gt;Geology and mineral resources of the Northern Territory. Northern Territory Geological Survey, Special Publication 5&lt;/secondary-title&gt;&lt;/titles&gt;&lt;volume&gt;Special Publication 5&lt;/volume&gt;&lt;section&gt;28&lt;/section&gt;&lt;dates&gt;&lt;year&gt;2013&lt;/year&gt;&lt;/dates&gt;&lt;urls&gt;&lt;related-urls&gt;&lt;url&gt;&lt;style face="underline" font="default" size="100%"&gt;https://geoscience.nt.gov.au/gemis/ntgsjspui/bitstream/1/81508/1/GNT_Ch28_Georgina.pdf&lt;/style&gt;&lt;/url&gt;&lt;/related-urls&gt;&lt;/urls&gt;&lt;access-date&gt;28 November 2019&lt;/access-date&gt;&lt;/record&gt;&lt;/Cite&gt;&lt;/EndNote&gt;</w:instrText>
      </w:r>
      <w:r w:rsidR="00A541ED">
        <w:fldChar w:fldCharType="separate"/>
      </w:r>
      <w:r w:rsidR="00A541ED">
        <w:rPr>
          <w:noProof/>
        </w:rPr>
        <w:t>(Kruse et al., 2013)</w:t>
      </w:r>
      <w:r w:rsidR="00A541ED">
        <w:fldChar w:fldCharType="end"/>
      </w:r>
      <w:r w:rsidR="00D22CE5">
        <w:t xml:space="preserve">. Sequence 2 in the Daly Basin </w:t>
      </w:r>
      <w:r w:rsidR="005876DE">
        <w:t>comprises</w:t>
      </w:r>
      <w:r w:rsidR="00D22CE5">
        <w:t xml:space="preserve"> Jinduckin Formation and Oolloo Dolostone. </w:t>
      </w:r>
      <w:r w:rsidR="00483F09">
        <w:t>However, f</w:t>
      </w:r>
      <w:r w:rsidR="007124EF">
        <w:t xml:space="preserve">rom a hydrostratigraphic perspective, </w:t>
      </w:r>
      <w:r w:rsidR="00D22CE5">
        <w:t xml:space="preserve">the Hooker Creek Formation </w:t>
      </w:r>
      <w:r w:rsidR="00483F09">
        <w:t>confines</w:t>
      </w:r>
      <w:r w:rsidR="00D22CE5">
        <w:t xml:space="preserve"> the </w:t>
      </w:r>
      <w:r w:rsidR="007124EF">
        <w:t xml:space="preserve">underlying </w:t>
      </w:r>
      <w:r w:rsidR="00D22CE5">
        <w:t xml:space="preserve">Montejinni Limestone and </w:t>
      </w:r>
      <w:r w:rsidR="007124EF">
        <w:t xml:space="preserve">is considered </w:t>
      </w:r>
      <w:r w:rsidR="007C17ED">
        <w:t xml:space="preserve">to be a hydrostratigraphic </w:t>
      </w:r>
      <w:r w:rsidR="00D22CE5">
        <w:t>eq</w:t>
      </w:r>
      <w:r w:rsidR="007124EF">
        <w:t xml:space="preserve">uivalent </w:t>
      </w:r>
      <w:r w:rsidR="007C17ED">
        <w:t>of</w:t>
      </w:r>
      <w:r w:rsidR="007124EF">
        <w:t xml:space="preserve"> </w:t>
      </w:r>
      <w:r w:rsidR="00D22CE5">
        <w:t>the Jinduckin Formation</w:t>
      </w:r>
      <w:r w:rsidR="00A3470D">
        <w:t>,</w:t>
      </w:r>
      <w:r w:rsidR="00A11A92">
        <w:t xml:space="preserve"> </w:t>
      </w:r>
      <w:r w:rsidR="00A3470D">
        <w:t xml:space="preserve">which confines the Tindall Limestone in the Daly Basin </w:t>
      </w:r>
      <w:r w:rsidR="00A11A92">
        <w:fldChar w:fldCharType="begin"/>
      </w:r>
      <w:r w:rsidR="00F76E0D">
        <w:instrText xml:space="preserve"> ADDIN EN.CITE &lt;EndNote&gt;&lt;Cite&gt;&lt;Author&gt;Tickell&lt;/Author&gt;&lt;Year&gt;2005&lt;/Year&gt;&lt;RecNum&gt;733&lt;/RecNum&gt;&lt;DisplayText&gt;(Tickell, 2005)&lt;/DisplayText&gt;&lt;record&gt;&lt;rec-number&gt;733&lt;/rec-number&gt;&lt;foreign-keys&gt;&lt;key app="EN" db-id="wdf9tzzdhw2saee559kv0vezt0wfsta0zedv" timestamp="1550544784"&gt;733&lt;/key&gt;&lt;/foreign-keys&gt;&lt;ref-type name="Report"&gt;27&lt;/ref-type&gt;&lt;contributors&gt;&lt;authors&gt;&lt;author&gt;Tickell, Stephen. J.&lt;/author&gt;&lt;/authors&gt;&lt;secondary-authors&gt;&lt;author&gt;DEPARTMENT OF NATURAL RESOURCES THE ENVIRONMENT AND THE ARTS&lt;/author&gt;&lt;author&gt;NATURAL RESOURCES DIVISION&lt;/author&gt;&lt;/secondary-authors&gt;&lt;/contributors&gt;&lt;titles&gt;&lt;title&gt;Groundwater resources of the Tindall Limestone. Report 34/2005&lt;/title&gt;&lt;secondary-title&gt;REPORT 34/2005&lt;/secondary-title&gt;&lt;/titles&gt;&lt;dates&gt;&lt;year&gt;2005&lt;/year&gt;&lt;/dates&gt;&lt;publisher&gt;Department of Natural Resources, The Environment and The Arts Natural Resources Division&lt;/publisher&gt;&lt;urls&gt;&lt;/urls&gt;&lt;/record&gt;&lt;/Cite&gt;&lt;/EndNote&gt;</w:instrText>
      </w:r>
      <w:r w:rsidR="00A11A92">
        <w:fldChar w:fldCharType="separate"/>
      </w:r>
      <w:r w:rsidR="00A11A92">
        <w:rPr>
          <w:noProof/>
        </w:rPr>
        <w:t>(Tickell, 2005)</w:t>
      </w:r>
      <w:r w:rsidR="00A11A92">
        <w:fldChar w:fldCharType="end"/>
      </w:r>
      <w:r w:rsidR="00D22CE5">
        <w:t xml:space="preserve">. For this </w:t>
      </w:r>
      <w:r w:rsidR="00B5206A">
        <w:t>report</w:t>
      </w:r>
      <w:r w:rsidR="007124EF">
        <w:t xml:space="preserve">, the Hooker Creek Formation </w:t>
      </w:r>
      <w:r w:rsidR="00A254FB">
        <w:t>is</w:t>
      </w:r>
      <w:r w:rsidR="007124EF">
        <w:t xml:space="preserve"> considered to be </w:t>
      </w:r>
      <w:r w:rsidR="00B5206A">
        <w:t xml:space="preserve">the </w:t>
      </w:r>
      <w:r w:rsidR="007124EF">
        <w:t>hydrostr</w:t>
      </w:r>
      <w:r w:rsidR="00B5206A">
        <w:t>atigraphic</w:t>
      </w:r>
      <w:r w:rsidR="007124EF">
        <w:t xml:space="preserve"> equivalent of the Jinduckin Formation</w:t>
      </w:r>
      <w:r w:rsidR="00B5206A">
        <w:t xml:space="preserve">, despite the </w:t>
      </w:r>
      <w:r w:rsidR="00C74611">
        <w:t>apparent inconsistencies</w:t>
      </w:r>
      <w:r w:rsidR="00B5206A">
        <w:t xml:space="preserve"> with </w:t>
      </w:r>
      <w:r w:rsidR="003A5F9C">
        <w:t>the Wiso Basin</w:t>
      </w:r>
      <w:r w:rsidR="003A5F9C" w:rsidRPr="003A5F9C">
        <w:t xml:space="preserve"> </w:t>
      </w:r>
      <w:r w:rsidR="003A5F9C">
        <w:t>lithostratigraphy outlined in</w:t>
      </w:r>
      <w:r w:rsidR="003A5F9C" w:rsidDel="000764F2">
        <w:t xml:space="preserve"> </w:t>
      </w:r>
      <w:r w:rsidR="00A541ED">
        <w:fldChar w:fldCharType="begin"/>
      </w:r>
      <w:r w:rsidR="00F76E0D">
        <w:instrText xml:space="preserve"> ADDIN EN.CITE &lt;EndNote&gt;&lt;Cite AuthorYear="1"&gt;&lt;Author&gt;Kruse&lt;/Author&gt;&lt;Year&gt;2013&lt;/Year&gt;&lt;RecNum&gt;686&lt;/RecNum&gt;&lt;DisplayText&gt;Kruse et al. (2013)&lt;/DisplayText&gt;&lt;record&gt;&lt;rec-number&gt;686&lt;/rec-number&gt;&lt;foreign-keys&gt;&lt;key app="EN" db-id="wdf9tzzdhw2saee559kv0vezt0wfsta0zedv" timestamp="1545264480"&gt;686&lt;/key&gt;&lt;key app="ENWeb" db-id=""&gt;0&lt;/key&gt;&lt;/foreign-keys&gt;&lt;ref-type name="Book Section"&gt;5&lt;/ref-type&gt;&lt;contributors&gt;&lt;authors&gt;&lt;author&gt;Kruse, P.D.&lt;/author&gt;&lt;author&gt;Dunster, J.N.&lt;/author&gt;&lt;author&gt;Munson, T.J.&lt;/author&gt;&lt;/authors&gt;&lt;/contributors&gt;&lt;titles&gt;&lt;title&gt;Chapter 28: Georgina Basin. In: Ahmad M and Munson TJ (eds)&lt;/title&gt;&lt;secondary-title&gt;Geology and mineral resources of the Northern Territory. Northern Territory Geological Survey, Special Publication 5&lt;/secondary-title&gt;&lt;/titles&gt;&lt;volume&gt;Special Publication 5&lt;/volume&gt;&lt;section&gt;28&lt;/section&gt;&lt;dates&gt;&lt;year&gt;2013&lt;/year&gt;&lt;/dates&gt;&lt;urls&gt;&lt;related-urls&gt;&lt;url&gt;&lt;style face="underline" font="default" size="100%"&gt;https://geoscience.nt.gov.au/gemis/ntgsjspui/bitstream/1/81508/1/GNT_Ch28_Georgina.pdf&lt;/style&gt;&lt;/url&gt;&lt;/related-urls&gt;&lt;/urls&gt;&lt;access-date&gt;28 November 2019&lt;/access-date&gt;&lt;/record&gt;&lt;/Cite&gt;&lt;/EndNote&gt;</w:instrText>
      </w:r>
      <w:r w:rsidR="00A541ED">
        <w:fldChar w:fldCharType="separate"/>
      </w:r>
      <w:r w:rsidR="00A541ED">
        <w:rPr>
          <w:noProof/>
        </w:rPr>
        <w:t>Kruse et al. (2013)</w:t>
      </w:r>
      <w:r w:rsidR="00A541ED">
        <w:fldChar w:fldCharType="end"/>
      </w:r>
      <w:r w:rsidR="003A5F9C">
        <w:t>.</w:t>
      </w:r>
    </w:p>
    <w:p w14:paraId="458921BA" w14:textId="66FD25AB" w:rsidR="00423113" w:rsidRPr="0025172C" w:rsidRDefault="00E713E9" w:rsidP="00423113">
      <w:r>
        <w:t>The limestone sequences</w:t>
      </w:r>
      <w:r w:rsidR="00423113">
        <w:t xml:space="preserve"> include mi</w:t>
      </w:r>
      <w:r w:rsidR="0025172C">
        <w:t>nor siltstone layers</w:t>
      </w:r>
      <w:r w:rsidR="00423113">
        <w:t xml:space="preserve">. </w:t>
      </w:r>
      <w:r w:rsidR="0025172C">
        <w:t>Using geophysical logs (gamma logs)</w:t>
      </w:r>
      <w:r w:rsidR="0025172C" w:rsidRPr="0025172C">
        <w:t xml:space="preserve"> </w:t>
      </w:r>
      <w:r w:rsidR="00F4376C">
        <w:fldChar w:fldCharType="begin"/>
      </w:r>
      <w:r w:rsidR="00F76E0D">
        <w:instrText xml:space="preserve"> ADDIN EN.CITE &lt;EndNote&gt;&lt;Cite AuthorYear="1"&gt;&lt;Author&gt;Chapman&lt;/Author&gt;&lt;Year&gt;2019&lt;/Year&gt;&lt;RecNum&gt;995&lt;/RecNum&gt;&lt;DisplayText&gt;Chapman (2019)&lt;/DisplayText&gt;&lt;record&gt;&lt;rec-number&gt;995&lt;/rec-number&gt;&lt;foreign-keys&gt;&lt;key app="EN" db-id="wdf9tzzdhw2saee559kv0vezt0wfsta0zedv" timestamp="1557991361"&gt;995&lt;/key&gt;&lt;/foreign-keys&gt;&lt;ref-type name="Journal Article"&gt;17&lt;/ref-type&gt;&lt;contributors&gt;&lt;authors&gt;&lt;author&gt;Chapman, S.&lt;/author&gt;&lt;/authors&gt;&lt;/contributors&gt;&lt;titles&gt;&lt;title&gt;Borehole gamma log stratigraphy of the northern Georgina Basin&lt;/title&gt;&lt;secondary-title&gt;Technical Report 3/2019, Northern Territory Department of Environment and Natural Resources. Northern Territory Government, Australia&lt;/secondary-title&gt;&lt;/titles&gt;&lt;periodical&gt;&lt;full-title&gt;Technical Report 3/2019, Northern Territory Department of Environment and Natural Resources. Northern Territory Government, Australia&lt;/full-title&gt;&lt;/periodical&gt;&lt;dates&gt;&lt;year&gt;2019&lt;/year&gt;&lt;/dates&gt;&lt;urls&gt;&lt;/urls&gt;&lt;/record&gt;&lt;/Cite&gt;&lt;/EndNote&gt;</w:instrText>
      </w:r>
      <w:r w:rsidR="00F4376C">
        <w:fldChar w:fldCharType="separate"/>
      </w:r>
      <w:r w:rsidR="00B05547">
        <w:rPr>
          <w:noProof/>
        </w:rPr>
        <w:t>Chapman (2019)</w:t>
      </w:r>
      <w:r w:rsidR="00F4376C">
        <w:fldChar w:fldCharType="end"/>
      </w:r>
      <w:r w:rsidR="0025172C">
        <w:t xml:space="preserve"> identified that some of the</w:t>
      </w:r>
      <w:r w:rsidR="00084605">
        <w:t>se</w:t>
      </w:r>
      <w:r w:rsidR="0025172C">
        <w:t xml:space="preserve"> siltstone layers </w:t>
      </w:r>
      <w:r w:rsidR="003D1EB2">
        <w:t>are</w:t>
      </w:r>
      <w:r w:rsidR="0031090F">
        <w:t xml:space="preserve"> </w:t>
      </w:r>
      <w:r w:rsidR="003D1EB2">
        <w:t>regionally correlatable</w:t>
      </w:r>
      <w:r w:rsidR="00084605">
        <w:t xml:space="preserve"> </w:t>
      </w:r>
      <w:r w:rsidR="0025172C">
        <w:t xml:space="preserve">across the </w:t>
      </w:r>
      <w:r w:rsidR="00423113">
        <w:t>Georgina, Wiso and Daly basin</w:t>
      </w:r>
      <w:r w:rsidR="0025172C">
        <w:t>s.</w:t>
      </w:r>
      <w:r w:rsidR="0025172C" w:rsidRPr="0025172C">
        <w:t xml:space="preserve"> </w:t>
      </w:r>
      <w:r w:rsidR="006B710B">
        <w:fldChar w:fldCharType="begin"/>
      </w:r>
      <w:r w:rsidR="00F76E0D">
        <w:instrText xml:space="preserve"> ADDIN EN.CITE &lt;EndNote&gt;&lt;Cite AuthorYear="1"&gt;&lt;Author&gt;Chapman&lt;/Author&gt;&lt;Year&gt;2019&lt;/Year&gt;&lt;RecNum&gt;995&lt;/RecNum&gt;&lt;DisplayText&gt;Chapman (2019)&lt;/DisplayText&gt;&lt;record&gt;&lt;rec-number&gt;995&lt;/rec-number&gt;&lt;foreign-keys&gt;&lt;key app="EN" db-id="wdf9tzzdhw2saee559kv0vezt0wfsta0zedv" timestamp="1557991361"&gt;995&lt;/key&gt;&lt;/foreign-keys&gt;&lt;ref-type name="Journal Article"&gt;17&lt;/ref-type&gt;&lt;contributors&gt;&lt;authors&gt;&lt;author&gt;Chapman, S.&lt;/author&gt;&lt;/authors&gt;&lt;/contributors&gt;&lt;titles&gt;&lt;title&gt;Borehole gamma log stratigraphy of the northern Georgina Basin&lt;/title&gt;&lt;secondary-title&gt;Technical Report 3/2019, Northern Territory Department of Environment and Natural Resources. Northern Territory Government, Australia&lt;/secondary-title&gt;&lt;/titles&gt;&lt;periodical&gt;&lt;full-title&gt;Technical Report 3/2019, Northern Territory Department of Environment and Natural Resources. Northern Territory Government, Australia&lt;/full-title&gt;&lt;/periodical&gt;&lt;dates&gt;&lt;year&gt;2019&lt;/year&gt;&lt;/dates&gt;&lt;urls&gt;&lt;/urls&gt;&lt;/record&gt;&lt;/Cite&gt;&lt;/EndNote&gt;</w:instrText>
      </w:r>
      <w:r w:rsidR="006B710B">
        <w:fldChar w:fldCharType="separate"/>
      </w:r>
      <w:r w:rsidR="006B710B">
        <w:rPr>
          <w:noProof/>
        </w:rPr>
        <w:t>Chapman (2019)</w:t>
      </w:r>
      <w:r w:rsidR="006B710B">
        <w:fldChar w:fldCharType="end"/>
      </w:r>
      <w:r w:rsidR="00DB42C7">
        <w:t xml:space="preserve"> </w:t>
      </w:r>
      <w:r w:rsidR="00084605">
        <w:t>delineated</w:t>
      </w:r>
      <w:r w:rsidR="0025172C">
        <w:t xml:space="preserve"> three correlatable siltstone marker horizons in the Gum Ridge and equivalent sequence</w:t>
      </w:r>
      <w:r w:rsidR="007C17ED">
        <w:t>s</w:t>
      </w:r>
      <w:r w:rsidR="0025172C">
        <w:t>, whil</w:t>
      </w:r>
      <w:r w:rsidR="00A00A2A">
        <w:t>e</w:t>
      </w:r>
      <w:r w:rsidR="0025172C">
        <w:t xml:space="preserve"> four siltstone marker beds </w:t>
      </w:r>
      <w:r w:rsidR="0031090F">
        <w:t>were</w:t>
      </w:r>
      <w:r w:rsidR="0025172C">
        <w:t xml:space="preserve"> identified in the Anthony Lagoon and equivalent sequence</w:t>
      </w:r>
      <w:r w:rsidR="007C17ED">
        <w:t>s</w:t>
      </w:r>
      <w:r w:rsidR="0025172C">
        <w:t xml:space="preserve">. </w:t>
      </w:r>
      <w:r w:rsidR="003D1EB2">
        <w:t>Potentially, t</w:t>
      </w:r>
      <w:r w:rsidR="0025172C">
        <w:t>hese marker horizons</w:t>
      </w:r>
      <w:r w:rsidR="00423113">
        <w:t xml:space="preserve"> could</w:t>
      </w:r>
      <w:r w:rsidR="007C17ED">
        <w:t xml:space="preserve"> </w:t>
      </w:r>
      <w:r w:rsidR="00423113">
        <w:t xml:space="preserve">be used </w:t>
      </w:r>
      <w:r w:rsidR="006406BF">
        <w:t xml:space="preserve">to </w:t>
      </w:r>
      <w:r w:rsidR="00423113">
        <w:t xml:space="preserve">refine </w:t>
      </w:r>
      <w:r w:rsidR="0085577D">
        <w:t xml:space="preserve">the </w:t>
      </w:r>
      <w:r w:rsidR="00423113">
        <w:t xml:space="preserve">stratigraphic and structural understanding of the CLA </w:t>
      </w:r>
      <w:r w:rsidR="00084605">
        <w:t xml:space="preserve">and </w:t>
      </w:r>
      <w:r w:rsidR="007C17ED">
        <w:t xml:space="preserve">help </w:t>
      </w:r>
      <w:r w:rsidR="00084605">
        <w:t>identify more local</w:t>
      </w:r>
      <w:r w:rsidR="005876DE">
        <w:t>-</w:t>
      </w:r>
      <w:r w:rsidR="00084605">
        <w:t>scale structures that may influence groundwater flow and karst development</w:t>
      </w:r>
      <w:r w:rsidR="00423113">
        <w:t>.</w:t>
      </w:r>
      <w:r w:rsidR="0025172C">
        <w:t xml:space="preserve"> </w:t>
      </w:r>
      <w:r w:rsidR="006406BF">
        <w:t>This information could also potentially</w:t>
      </w:r>
      <w:r w:rsidR="0025172C">
        <w:t xml:space="preserve"> be used to</w:t>
      </w:r>
      <w:r w:rsidR="006406BF">
        <w:t xml:space="preserve"> refine</w:t>
      </w:r>
      <w:r w:rsidR="0025172C">
        <w:t xml:space="preserve"> </w:t>
      </w:r>
      <w:r w:rsidR="006406BF">
        <w:t xml:space="preserve">groundwater level assessments by grouping groundwater </w:t>
      </w:r>
      <w:r w:rsidR="00D26079">
        <w:t>bores</w:t>
      </w:r>
      <w:r w:rsidR="006406BF">
        <w:t xml:space="preserve"> based</w:t>
      </w:r>
      <w:r w:rsidR="0025172C">
        <w:t xml:space="preserve"> </w:t>
      </w:r>
      <w:r w:rsidR="006406BF">
        <w:t xml:space="preserve">on well screen stratigraphy. </w:t>
      </w:r>
    </w:p>
    <w:p w14:paraId="03567297" w14:textId="4E8084B8" w:rsidR="006B0577" w:rsidRDefault="006B0577" w:rsidP="00423113">
      <w:r>
        <w:t xml:space="preserve">Where </w:t>
      </w:r>
      <w:r w:rsidR="0028474C">
        <w:t>present</w:t>
      </w:r>
      <w:r w:rsidR="007B5ADD">
        <w:t>,</w:t>
      </w:r>
      <w:r w:rsidR="0028474C">
        <w:t xml:space="preserve"> </w:t>
      </w:r>
      <w:r>
        <w:t>t</w:t>
      </w:r>
      <w:r w:rsidRPr="00D75043">
        <w:t>he Jinduckin</w:t>
      </w:r>
      <w:r>
        <w:t>, Hooker Creek</w:t>
      </w:r>
      <w:r w:rsidRPr="00D75043">
        <w:t xml:space="preserve"> and Anthon</w:t>
      </w:r>
      <w:r>
        <w:t>y Lagoon formations (</w:t>
      </w:r>
      <w:r>
        <w:fldChar w:fldCharType="begin"/>
      </w:r>
      <w:r>
        <w:instrText xml:space="preserve"> REF _Ref1116992 \h </w:instrText>
      </w:r>
      <w:r>
        <w:fldChar w:fldCharType="separate"/>
      </w:r>
      <w:r w:rsidR="00B177F5">
        <w:t xml:space="preserve">Figure </w:t>
      </w:r>
      <w:r w:rsidR="00B177F5">
        <w:rPr>
          <w:noProof/>
        </w:rPr>
        <w:t>8</w:t>
      </w:r>
      <w:r>
        <w:fldChar w:fldCharType="end"/>
      </w:r>
      <w:r w:rsidR="0028474C">
        <w:t xml:space="preserve">) </w:t>
      </w:r>
      <w:r w:rsidR="00423113">
        <w:t>can</w:t>
      </w:r>
      <w:r w:rsidRPr="00D75043">
        <w:t xml:space="preserve"> confine the underlying limestone aquifers. </w:t>
      </w:r>
      <w:r>
        <w:t xml:space="preserve">However, where significant thicknesses of these formations occur </w:t>
      </w:r>
      <w:r w:rsidRPr="00D75043">
        <w:t xml:space="preserve">below the </w:t>
      </w:r>
      <w:r>
        <w:t>level of the regional water</w:t>
      </w:r>
      <w:r w:rsidR="00A00A2A">
        <w:t>table</w:t>
      </w:r>
      <w:r>
        <w:t xml:space="preserve"> they can </w:t>
      </w:r>
      <w:r w:rsidR="00483F09">
        <w:t xml:space="preserve">also </w:t>
      </w:r>
      <w:r w:rsidR="0028474C">
        <w:t>be</w:t>
      </w:r>
      <w:r w:rsidRPr="00D75043">
        <w:t xml:space="preserve"> viable aquifers </w:t>
      </w:r>
      <w:r w:rsidR="003D1EB2">
        <w:t xml:space="preserve">in their own right </w:t>
      </w:r>
      <w:r w:rsidR="00A541ED">
        <w:fldChar w:fldCharType="begin"/>
      </w:r>
      <w:r w:rsidR="00F76E0D">
        <w:instrText xml:space="preserve"> ADDIN EN.CITE &lt;EndNote&gt;&lt;Cite&gt;&lt;Author&gt;Knapton&lt;/Author&gt;&lt;Year&gt;2006&lt;/Year&gt;&lt;RecNum&gt;685&lt;/RecNum&gt;&lt;DisplayText&gt;(Knapton, 2006)&lt;/DisplayText&gt;&lt;record&gt;&lt;rec-number&gt;685&lt;/rec-number&gt;&lt;foreign-keys&gt;&lt;key app="EN" db-id="wdf9tzzdhw2saee559kv0vezt0wfsta0zedv" timestamp="1545264472"&gt;685&lt;/key&gt;&lt;key app="ENWeb" db-id=""&gt;0&lt;/key&gt;&lt;/foreign-keys&gt;&lt;ref-type name="Report"&gt;27&lt;/ref-type&gt;&lt;contributors&gt;&lt;authors&gt;&lt;author&gt;Knapton, Anthony&lt;/author&gt;&lt;/authors&gt;&lt;/contributors&gt;&lt;titles&gt;&lt;title&gt;Regional Groundwater Modelling of the Cambrian Limestone Aquifer System of the Wiso Basin, Georgina Basin and Daly Basin&lt;/title&gt;&lt;/titles&gt;&lt;pages&gt;60&lt;/pages&gt;&lt;number&gt;Technical Report No. 29/2006A&lt;/number&gt;&lt;keywords&gt;&lt;keyword&gt;Cambrian Limestone Aquifer&lt;/keyword&gt;&lt;keyword&gt;Wiso Basin&lt;/keyword&gt;&lt;keyword&gt;Georgina Basin&lt;/keyword&gt;&lt;keyword&gt;Daly Basin&lt;/keyword&gt;&lt;keyword&gt;Beetaloo Sub-basin&lt;/keyword&gt;&lt;keyword&gt;regional flow&lt;/keyword&gt;&lt;keyword&gt;regional groundwater systems&lt;/keyword&gt;&lt;keyword&gt;inter-basin groundwater flow&lt;/keyword&gt;&lt;keyword&gt;groundwater model&lt;/keyword&gt;&lt;/keywords&gt;&lt;dates&gt;&lt;year&gt;2006&lt;/year&gt;&lt;/dates&gt;&lt;pub-location&gt;Alice Springs&lt;/pub-location&gt;&lt;publisher&gt;Department of Natural Resources, Environment and the Arts (Northern Territory)&lt;/publisher&gt;&lt;isbn&gt;29/2006A&lt;/isbn&gt;&lt;urls&gt;&lt;related-urls&gt;&lt;url&gt;&lt;style face="underline" font="default" size="100%"&gt;http://www.territorystories.nt.gov.au/jspui/bitstream/10070/228069/1/WRA06029.pdf&lt;/style&gt;&lt;/url&gt;&lt;/related-urls&gt;&lt;/urls&gt;&lt;access-date&gt;28 November 2019&lt;/access-date&gt;&lt;/record&gt;&lt;/Cite&gt;&lt;/EndNote&gt;</w:instrText>
      </w:r>
      <w:r w:rsidR="00A541ED">
        <w:fldChar w:fldCharType="separate"/>
      </w:r>
      <w:r w:rsidR="00A541ED">
        <w:rPr>
          <w:noProof/>
        </w:rPr>
        <w:t>(Knapton, 2006)</w:t>
      </w:r>
      <w:r w:rsidR="00A541ED">
        <w:fldChar w:fldCharType="end"/>
      </w:r>
      <w:r w:rsidRPr="00D75043">
        <w:t>.</w:t>
      </w:r>
    </w:p>
    <w:p w14:paraId="0E240CFA" w14:textId="599502B1" w:rsidR="00423113" w:rsidRDefault="00423113" w:rsidP="00423113">
      <w:pPr>
        <w:pStyle w:val="BodyText"/>
      </w:pPr>
      <w:r>
        <w:t xml:space="preserve">The Anthony Lagoon Formation is a fractured rock aquifer comprising silicified limestone, dolomitic siltstone, fine-grained sandstone and dolomite. Dolostones tend to have greater inter-crystalline porosity and more </w:t>
      </w:r>
      <w:r w:rsidR="00E713E9">
        <w:t>vughs</w:t>
      </w:r>
      <w:r>
        <w:t xml:space="preserve"> than are present in tighter limestone </w:t>
      </w:r>
      <w:r w:rsidR="00A541ED">
        <w:fldChar w:fldCharType="begin"/>
      </w:r>
      <w:r w:rsidR="00F76E0D">
        <w:instrText xml:space="preserve"> ADDIN EN.CITE &lt;EndNote&gt;&lt;Cite&gt;&lt;Author&gt;Randal&lt;/Author&gt;&lt;Year&gt;1973&lt;/Year&gt;&lt;RecNum&gt;1271&lt;/RecNum&gt;&lt;DisplayText&gt;(Randal, 1973)&lt;/DisplayText&gt;&lt;record&gt;&lt;rec-number&gt;1271&lt;/rec-number&gt;&lt;foreign-keys&gt;&lt;key app="EN" db-id="wdf9tzzdhw2saee559kv0vezt0wfsta0zedv" timestamp="1569370340"&gt;1271&lt;/key&gt;&lt;/foreign-keys&gt;&lt;ref-type name="Report"&gt;27&lt;/ref-type&gt;&lt;contributors&gt;&lt;authors&gt;&lt;author&gt;Randal, M. A.&lt;/author&gt;&lt;/authors&gt;&lt;tertiary-authors&gt;&lt;author&gt;Bureau of Mineral Resources, Geology and Geophysics, &lt;/author&gt;&lt;/tertiary-authors&gt;&lt;subsidiary-authors&gt;&lt;author&gt;Bureau of Mineral Resources, Geology and Geophysics, &lt;/author&gt;&lt;/subsidiary-authors&gt;&lt;/contributors&gt;&lt;titles&gt;&lt;title&gt;Groundwater in the Northern Wiso Basin and environs, Northern Territory&lt;/title&gt;&lt;/titles&gt;&lt;dates&gt;&lt;year&gt;1973&lt;/year&gt;&lt;/dates&gt;&lt;pub-location&gt;Canberra&lt;/pub-location&gt;&lt;publisher&gt;Bureau of Mineral Resources&lt;/publisher&gt;&lt;urls&gt;&lt;related-urls&gt;&lt;url&gt;http://www.ga.gov.au/metadata-gateway/metadata/record/100/&lt;/url&gt;&lt;/related-urls&gt;&lt;/urls&gt;&lt;access-date&gt;25 October 2019&lt;/access-date&gt;&lt;/record&gt;&lt;/Cite&gt;&lt;/EndNote&gt;</w:instrText>
      </w:r>
      <w:r w:rsidR="00A541ED">
        <w:fldChar w:fldCharType="separate"/>
      </w:r>
      <w:r w:rsidR="00E02D87">
        <w:rPr>
          <w:noProof/>
        </w:rPr>
        <w:t>(Randal, 1973)</w:t>
      </w:r>
      <w:r w:rsidR="00A541ED">
        <w:fldChar w:fldCharType="end"/>
      </w:r>
      <w:r>
        <w:t xml:space="preserve">. </w:t>
      </w:r>
      <w:r w:rsidR="007C17ED">
        <w:t>Like</w:t>
      </w:r>
      <w:r>
        <w:t xml:space="preserve"> the underlying Gum Ridge Formation, the Anthony Lagoon Formation has dissolution and karst overprints that significantly enhance permeability. </w:t>
      </w:r>
      <w:r w:rsidR="0085577D">
        <w:t xml:space="preserve">The distinction </w:t>
      </w:r>
      <w:r w:rsidR="007C17ED">
        <w:t xml:space="preserve">between </w:t>
      </w:r>
      <w:r>
        <w:t xml:space="preserve">the two limestone aquifers is difficult </w:t>
      </w:r>
      <w:r w:rsidR="007C17ED">
        <w:t xml:space="preserve">to pick from many bore logs </w:t>
      </w:r>
      <w:r>
        <w:t xml:space="preserve">due to </w:t>
      </w:r>
      <w:r w:rsidR="007C17ED">
        <w:t xml:space="preserve">loss of </w:t>
      </w:r>
      <w:r w:rsidR="002E6955">
        <w:t>sampling drilling</w:t>
      </w:r>
      <w:r w:rsidR="007C17ED">
        <w:t xml:space="preserve"> fluid circulation whil</w:t>
      </w:r>
      <w:r w:rsidR="007C1CF7">
        <w:t>e</w:t>
      </w:r>
      <w:r>
        <w:t xml:space="preserve"> drilling. Consequently</w:t>
      </w:r>
      <w:r w:rsidR="007B5ADD">
        <w:t>,</w:t>
      </w:r>
      <w:r>
        <w:t xml:space="preserve"> crossover between bore and water quality statistics is to be expected with these formations </w:t>
      </w:r>
      <w:r w:rsidR="00A541ED">
        <w:fldChar w:fldCharType="begin"/>
      </w:r>
      <w:r w:rsidR="008F30E0">
        <w:instrText xml:space="preserve"> ADDIN EN.CITE &lt;EndNote&gt;&lt;Cite&gt;&lt;Author&gt;Fulton&lt;/Author&gt;&lt;Year&gt;2015&lt;/Year&gt;&lt;RecNum&gt;671&lt;/RecNum&gt;&lt;DisplayText&gt;(Fulton and Knapton, 2015b)&lt;/DisplayText&gt;&lt;record&gt;&lt;rec-number&gt;671&lt;/rec-number&gt;&lt;foreign-keys&gt;&lt;key app="EN" db-id="wdf9tzzdhw2saee559kv0vezt0wfsta0zedv" timestamp="1545264407"&gt;671&lt;/key&gt;&lt;key app="ENWeb" db-id=""&gt;0&lt;/key&gt;&lt;/foreign-keys&gt;&lt;ref-type name="Report"&gt;27&lt;/ref-type&gt;&lt;contributors&gt;&lt;authors&gt;&lt;author&gt;Fulton, S.&lt;/author&gt;&lt;author&gt;Knapton, A.&lt;/author&gt;&lt;/authors&gt;&lt;/contributors&gt;&lt;titles&gt;&lt;title&gt;Beetaloo Basin hydrogeological assessment. Cloud GMS&lt;/title&gt;&lt;/titles&gt;&lt;pages&gt;70&lt;/pages&gt;&lt;dates&gt;&lt;year&gt;2015&lt;/year&gt;&lt;pub-dates&gt;&lt;date&gt;February 2015&lt;/date&gt;&lt;/pub-dates&gt;&lt;/dates&gt;&lt;publisher&gt;Origin Energy Report 1 for Fracking Enquiry NT&lt;/publisher&gt;&lt;urls&gt;&lt;related-urls&gt;&lt;url&gt;https://frackinginquiry.nt.gov.au/?a=410609&lt;/url&gt;&lt;/related-urls&gt;&lt;/urls&gt;&lt;access-date&gt;28 November 2019&lt;/access-date&gt;&lt;/record&gt;&lt;/Cite&gt;&lt;/EndNote&gt;</w:instrText>
      </w:r>
      <w:r w:rsidR="00A541ED">
        <w:fldChar w:fldCharType="separate"/>
      </w:r>
      <w:r w:rsidR="008F30E0">
        <w:rPr>
          <w:noProof/>
        </w:rPr>
        <w:t>(Fulton and Knapton, 2015b)</w:t>
      </w:r>
      <w:r w:rsidR="00A541ED">
        <w:fldChar w:fldCharType="end"/>
      </w:r>
      <w:r>
        <w:t xml:space="preserve">. </w:t>
      </w:r>
    </w:p>
    <w:p w14:paraId="5AD87142" w14:textId="1AF759A3" w:rsidR="0028474C" w:rsidRDefault="00423113" w:rsidP="00423113">
      <w:pPr>
        <w:pStyle w:val="BodyText"/>
      </w:pPr>
      <w:r>
        <w:t xml:space="preserve">The </w:t>
      </w:r>
      <w:r w:rsidRPr="00282431">
        <w:t>Jinduckin Formation</w:t>
      </w:r>
      <w:r>
        <w:t xml:space="preserve"> of the Daly Basin comprises interbedded sandstone, siltstone, dolostone and dolomitic limestone in thin to medium flaggy beds that are in part silicified</w:t>
      </w:r>
      <w:r w:rsidR="0028474C">
        <w:t>.</w:t>
      </w:r>
      <w:r>
        <w:t xml:space="preserve"> Overlying the Jinduckin Formation </w:t>
      </w:r>
      <w:r w:rsidR="002300DB">
        <w:t xml:space="preserve">approximately 60 km to the north of the Beetaloo GBA region </w:t>
      </w:r>
      <w:r>
        <w:t>is the unconfined Oolloo Dolostone aquifer</w:t>
      </w:r>
      <w:r w:rsidR="00963265">
        <w:t>.</w:t>
      </w:r>
      <w:r>
        <w:t xml:space="preserve"> </w:t>
      </w:r>
    </w:p>
    <w:p w14:paraId="38DFC698" w14:textId="7B61D26A" w:rsidR="0030132E" w:rsidRDefault="003D1EB2" w:rsidP="0030132E">
      <w:r w:rsidRPr="003D1EB2">
        <w:t>A</w:t>
      </w:r>
      <w:r w:rsidR="00C4665D">
        <w:t>s indicated in previous paragraphs, a</w:t>
      </w:r>
      <w:r w:rsidRPr="003D1EB2">
        <w:t xml:space="preserve"> distinctive feature of the CLA is the presence of karst (e.g. caves, cavities, sinkholes), which form where either surface water or groundwater dissolves the limestone matrix. In the CLA, karst is often evident at the surface as sinkholes and other features. Karstic limestone aquifers are characterised by highly variable underground drainage systems that in areas can have very high hydraulic conductivity and surface recharge enhanced by the presence of large conduits (sinkholes) near surface. </w:t>
      </w:r>
      <w:r w:rsidR="00C4665D">
        <w:t>P</w:t>
      </w:r>
      <w:r w:rsidR="0030132E">
        <w:t xml:space="preserve">orosity and permeability is highly dependent on the development of secondary dissolution (karst) features, and the occurrence of fractures and other structures. Karst development is widespread but not necessarily interlinked so aquifer permeability is difficult </w:t>
      </w:r>
      <w:r w:rsidR="00436692">
        <w:t xml:space="preserve">to </w:t>
      </w:r>
      <w:r w:rsidR="0030132E">
        <w:t xml:space="preserve">correlate spatially </w:t>
      </w:r>
      <w:r w:rsidR="00A541ED">
        <w:fldChar w:fldCharType="begin"/>
      </w:r>
      <w:r w:rsidR="00F76E0D">
        <w:instrText xml:space="preserve"> ADDIN EN.CITE &lt;EndNote&gt;&lt;Cite&gt;&lt;Author&gt;Randal&lt;/Author&gt;&lt;Year&gt;1973&lt;/Year&gt;&lt;RecNum&gt;1271&lt;/RecNum&gt;&lt;DisplayText&gt;(Randal, 1973)&lt;/DisplayText&gt;&lt;record&gt;&lt;rec-number&gt;1271&lt;/rec-number&gt;&lt;foreign-keys&gt;&lt;key app="EN" db-id="wdf9tzzdhw2saee559kv0vezt0wfsta0zedv" timestamp="1569370340"&gt;1271&lt;/key&gt;&lt;/foreign-keys&gt;&lt;ref-type name="Report"&gt;27&lt;/ref-type&gt;&lt;contributors&gt;&lt;authors&gt;&lt;author&gt;Randal, M. A.&lt;/author&gt;&lt;/authors&gt;&lt;tertiary-authors&gt;&lt;author&gt;Bureau of Mineral Resources, Geology and Geophysics, &lt;/author&gt;&lt;/tertiary-authors&gt;&lt;subsidiary-authors&gt;&lt;author&gt;Bureau of Mineral Resources, Geology and Geophysics, &lt;/author&gt;&lt;/subsidiary-authors&gt;&lt;/contributors&gt;&lt;titles&gt;&lt;title&gt;Groundwater in the Northern Wiso Basin and environs, Northern Territory&lt;/title&gt;&lt;/titles&gt;&lt;dates&gt;&lt;year&gt;1973&lt;/year&gt;&lt;/dates&gt;&lt;pub-location&gt;Canberra&lt;/pub-location&gt;&lt;publisher&gt;Bureau of Mineral Resources&lt;/publisher&gt;&lt;urls&gt;&lt;related-urls&gt;&lt;url&gt;http://www.ga.gov.au/metadata-gateway/metadata/record/100/&lt;/url&gt;&lt;/related-urls&gt;&lt;/urls&gt;&lt;access-date&gt;25 October 2019&lt;/access-date&gt;&lt;/record&gt;&lt;/Cite&gt;&lt;/EndNote&gt;</w:instrText>
      </w:r>
      <w:r w:rsidR="00A541ED">
        <w:fldChar w:fldCharType="separate"/>
      </w:r>
      <w:r w:rsidR="00E02D87">
        <w:rPr>
          <w:noProof/>
        </w:rPr>
        <w:t>(Randal, 1973)</w:t>
      </w:r>
      <w:r w:rsidR="00A541ED">
        <w:fldChar w:fldCharType="end"/>
      </w:r>
      <w:r w:rsidR="0030132E">
        <w:t>. Karst development can be enhanced along structures and influence gr</w:t>
      </w:r>
      <w:r w:rsidR="007F0842">
        <w:t>oundwater flow direction (</w:t>
      </w:r>
      <w:r w:rsidR="00B05547">
        <w:t>s</w:t>
      </w:r>
      <w:r w:rsidR="007F0842">
        <w:t>ee S</w:t>
      </w:r>
      <w:r w:rsidR="0030132E">
        <w:t xml:space="preserve">ection </w:t>
      </w:r>
      <w:r w:rsidR="0030132E">
        <w:fldChar w:fldCharType="begin"/>
      </w:r>
      <w:r w:rsidR="0030132E">
        <w:instrText xml:space="preserve"> REF _Ref5108327 \r \h </w:instrText>
      </w:r>
      <w:r w:rsidR="0030132E">
        <w:fldChar w:fldCharType="separate"/>
      </w:r>
      <w:r w:rsidR="00B177F5">
        <w:t>3.3.3</w:t>
      </w:r>
      <w:r w:rsidR="0030132E">
        <w:fldChar w:fldCharType="end"/>
      </w:r>
      <w:r w:rsidR="0030132E">
        <w:t xml:space="preserve">). </w:t>
      </w:r>
    </w:p>
    <w:p w14:paraId="69633C2B" w14:textId="0060FE07" w:rsidR="00C4665D" w:rsidRDefault="00C4665D" w:rsidP="00C4665D">
      <w:r>
        <w:t xml:space="preserve">In the Beetaloo GBA </w:t>
      </w:r>
      <w:r w:rsidR="005876DE">
        <w:t xml:space="preserve">region </w:t>
      </w:r>
      <w:r>
        <w:t xml:space="preserve">the Cambrian </w:t>
      </w:r>
      <w:r w:rsidR="00436692">
        <w:t>L</w:t>
      </w:r>
      <w:r>
        <w:t xml:space="preserve">imestone </w:t>
      </w:r>
      <w:r w:rsidR="00436692">
        <w:t>A</w:t>
      </w:r>
      <w:r>
        <w:t xml:space="preserve">quifer is overlain by the Carpentaria Basin (see Sections </w:t>
      </w:r>
      <w:r>
        <w:fldChar w:fldCharType="begin"/>
      </w:r>
      <w:r>
        <w:instrText xml:space="preserve"> REF _Ref5188053 \r \h </w:instrText>
      </w:r>
      <w:r>
        <w:fldChar w:fldCharType="separate"/>
      </w:r>
      <w:r w:rsidR="00B177F5">
        <w:t>3.2.4</w:t>
      </w:r>
      <w:r>
        <w:fldChar w:fldCharType="end"/>
      </w:r>
      <w:r>
        <w:t xml:space="preserve">). Carpentaria Basin rocks can impede recharge to </w:t>
      </w:r>
      <w:r w:rsidR="00436692">
        <w:t xml:space="preserve">the </w:t>
      </w:r>
      <w:r>
        <w:t xml:space="preserve">underlying CLA in areas where the </w:t>
      </w:r>
      <w:r w:rsidR="00436692">
        <w:t xml:space="preserve">basin </w:t>
      </w:r>
      <w:r>
        <w:t xml:space="preserve">sequence is sufficiently thick and dominated by siltstone. </w:t>
      </w:r>
    </w:p>
    <w:p w14:paraId="4190E233" w14:textId="110D119A" w:rsidR="0030132E" w:rsidRDefault="0030132E" w:rsidP="0030132E">
      <w:r>
        <w:t>Karstic features can be apparent in outcrop or be obscured and infilled by younger sediments. Areas with abundant sinkholes near surface (a karst feature) from the 1:250,000 map sheets are shown on</w:t>
      </w:r>
      <w:r w:rsidR="00D45CBE">
        <w:t xml:space="preserve"> </w:t>
      </w:r>
      <w:r w:rsidR="00D45CBE">
        <w:fldChar w:fldCharType="begin"/>
      </w:r>
      <w:r w:rsidR="00D45CBE">
        <w:instrText xml:space="preserve"> REF _Ref5201649 \h </w:instrText>
      </w:r>
      <w:r w:rsidR="00D45CBE">
        <w:fldChar w:fldCharType="separate"/>
      </w:r>
      <w:r w:rsidR="00B177F5">
        <w:t xml:space="preserve">Figure </w:t>
      </w:r>
      <w:r w:rsidR="00B177F5">
        <w:rPr>
          <w:noProof/>
        </w:rPr>
        <w:t>9</w:t>
      </w:r>
      <w:r w:rsidR="00D45CBE">
        <w:fldChar w:fldCharType="end"/>
      </w:r>
      <w:r>
        <w:t xml:space="preserve">. It should be noted that </w:t>
      </w:r>
      <w:r w:rsidR="00F9778C">
        <w:t xml:space="preserve">the </w:t>
      </w:r>
      <w:r>
        <w:t>sinkhole areas are indicative only, as it is</w:t>
      </w:r>
      <w:r w:rsidR="004035D9">
        <w:t xml:space="preserve"> </w:t>
      </w:r>
      <w:r>
        <w:t>not apparent how comprehensive and system</w:t>
      </w:r>
      <w:r w:rsidR="00F9778C">
        <w:t>atic the regional mapping of sinkholes was</w:t>
      </w:r>
      <w:r>
        <w:t xml:space="preserve"> at the time of mapping (1960s to early 1970s). </w:t>
      </w:r>
      <w:r w:rsidR="00F9778C">
        <w:t>Also, limestone is not mapped as outcropping</w:t>
      </w:r>
      <w:r>
        <w:t xml:space="preserve"> in these areas</w:t>
      </w:r>
      <w:r w:rsidR="005876DE">
        <w:t>;</w:t>
      </w:r>
      <w:r>
        <w:t xml:space="preserve"> rather</w:t>
      </w:r>
      <w:r w:rsidR="005876DE">
        <w:t>,</w:t>
      </w:r>
      <w:r>
        <w:t xml:space="preserve"> it is obscured by a cover of Cretaceous and Cenozoic sediments of variable thickness. It is </w:t>
      </w:r>
      <w:r w:rsidR="00C4665D">
        <w:t>l</w:t>
      </w:r>
      <w:r>
        <w:t>ikely that more sinkhole features will be identified in the future, particularly if other data such as remote sensing or L</w:t>
      </w:r>
      <w:r w:rsidR="00214520">
        <w:t>i</w:t>
      </w:r>
      <w:r>
        <w:t xml:space="preserve">DAR are utilised. </w:t>
      </w:r>
      <w:r w:rsidR="00FC2FFA">
        <w:t>For instance</w:t>
      </w:r>
      <w:r w:rsidR="0085577D">
        <w:t>,</w:t>
      </w:r>
      <w:r w:rsidDel="0085577D">
        <w:t xml:space="preserve"> </w:t>
      </w:r>
      <w:r w:rsidR="0085577D">
        <w:t>karst-</w:t>
      </w:r>
      <w:r>
        <w:t xml:space="preserve">related features are extensive in areas of outcrop (for examples see </w:t>
      </w:r>
      <w:r w:rsidR="00A541ED">
        <w:fldChar w:fldCharType="begin"/>
      </w:r>
      <w:r w:rsidR="00F76E0D">
        <w:instrText xml:space="preserve"> ADDIN EN.CITE &lt;EndNote&gt;&lt;Cite AuthorYear="1"&gt;&lt;Author&gt;Karp&lt;/Author&gt;&lt;Year&gt;2008&lt;/Year&gt;&lt;RecNum&gt;911&lt;/RecNum&gt;&lt;DisplayText&gt;Karp (2008)&lt;/DisplayText&gt;&lt;record&gt;&lt;rec-number&gt;911&lt;/rec-number&gt;&lt;foreign-keys&gt;&lt;key app="EN" db-id="wdf9tzzdhw2saee559kv0vezt0wfsta0zedv" timestamp="1555975788"&gt;911&lt;/key&gt;&lt;/foreign-keys&gt;&lt;ref-type name="Report"&gt;27&lt;/ref-type&gt;&lt;contributors&gt;&lt;authors&gt;&lt;author&gt;Karp, D.&lt;/author&gt;&lt;/authors&gt;&lt;/contributors&gt;&lt;titles&gt;&lt;title&gt;Surface and groundwater interaction the Mataranka area&lt;/title&gt;&lt;/titles&gt;&lt;pages&gt;69&lt;/pages&gt;&lt;number&gt;17/2008D&lt;/number&gt;&lt;dates&gt;&lt;year&gt;2008&lt;/year&gt;&lt;/dates&gt;&lt;publisher&gt;Department of Natural Resources, Environment, the Arts and Sport (NT)&lt;/publisher&gt;&lt;urls&gt;&lt;/urls&gt;&lt;/record&gt;&lt;/Cite&gt;&lt;/EndNote&gt;</w:instrText>
      </w:r>
      <w:r w:rsidR="00A541ED">
        <w:fldChar w:fldCharType="separate"/>
      </w:r>
      <w:r w:rsidR="00A541ED">
        <w:rPr>
          <w:noProof/>
        </w:rPr>
        <w:t>Karp (2008)</w:t>
      </w:r>
      <w:r w:rsidR="00A541ED">
        <w:fldChar w:fldCharType="end"/>
      </w:r>
      <w:r w:rsidR="00EF24E9">
        <w:t xml:space="preserve"> </w:t>
      </w:r>
      <w:r>
        <w:t xml:space="preserve">or </w:t>
      </w:r>
      <w:r w:rsidR="00A541ED">
        <w:fldChar w:fldCharType="begin"/>
      </w:r>
      <w:r w:rsidR="00F76E0D">
        <w:instrText xml:space="preserve"> ADDIN EN.CITE &lt;EndNote&gt;&lt;Cite AuthorYear="1"&gt;&lt;Author&gt;Tickell&lt;/Author&gt;&lt;Year&gt;2005&lt;/Year&gt;&lt;RecNum&gt;733&lt;/RecNum&gt;&lt;DisplayText&gt;Tickell (2005)&lt;/DisplayText&gt;&lt;record&gt;&lt;rec-number&gt;733&lt;/rec-number&gt;&lt;foreign-keys&gt;&lt;key app="EN" db-id="wdf9tzzdhw2saee559kv0vezt0wfsta0zedv" timestamp="1550544784"&gt;733&lt;/key&gt;&lt;/foreign-keys&gt;&lt;ref-type name="Report"&gt;27&lt;/ref-type&gt;&lt;contributors&gt;&lt;authors&gt;&lt;author&gt;Tickell, Stephen. J.&lt;/author&gt;&lt;/authors&gt;&lt;secondary-authors&gt;&lt;author&gt;DEPARTMENT OF NATURAL RESOURCES THE ENVIRONMENT AND THE ARTS&lt;/author&gt;&lt;author&gt;NATURAL RESOURCES DIVISION&lt;/author&gt;&lt;/secondary-authors&gt;&lt;/contributors&gt;&lt;titles&gt;&lt;title&gt;Groundwater resources of the Tindall Limestone. Report 34/2005&lt;/title&gt;&lt;secondary-title&gt;REPORT 34/2005&lt;/secondary-title&gt;&lt;/titles&gt;&lt;dates&gt;&lt;year&gt;2005&lt;/year&gt;&lt;/dates&gt;&lt;publisher&gt;Department of Natural Resources, The Environment and The Arts Natural Resources Division&lt;/publisher&gt;&lt;urls&gt;&lt;/urls&gt;&lt;/record&gt;&lt;/Cite&gt;&lt;/EndNote&gt;</w:instrText>
      </w:r>
      <w:r w:rsidR="00A541ED">
        <w:fldChar w:fldCharType="separate"/>
      </w:r>
      <w:r w:rsidR="00EE31F3">
        <w:rPr>
          <w:noProof/>
        </w:rPr>
        <w:t>Tickell (2005)</w:t>
      </w:r>
      <w:r w:rsidR="00A541ED">
        <w:fldChar w:fldCharType="end"/>
      </w:r>
      <w:r w:rsidR="00B05547">
        <w:t>)</w:t>
      </w:r>
      <w:r w:rsidR="00FC2FFA">
        <w:t xml:space="preserve">, but these are not identified on </w:t>
      </w:r>
      <w:r w:rsidR="00FC2FFA">
        <w:fldChar w:fldCharType="begin"/>
      </w:r>
      <w:r w:rsidR="00FC2FFA">
        <w:instrText xml:space="preserve"> REF _Ref5201649 \h </w:instrText>
      </w:r>
      <w:r w:rsidR="00FC2FFA">
        <w:fldChar w:fldCharType="separate"/>
      </w:r>
      <w:r w:rsidR="00B177F5">
        <w:t xml:space="preserve">Figure </w:t>
      </w:r>
      <w:r w:rsidR="00B177F5">
        <w:rPr>
          <w:noProof/>
        </w:rPr>
        <w:t>9</w:t>
      </w:r>
      <w:r w:rsidR="00FC2FFA">
        <w:fldChar w:fldCharType="end"/>
      </w:r>
      <w:r w:rsidR="00FC2FFA">
        <w:t>.</w:t>
      </w:r>
      <w:r w:rsidR="00C4665D">
        <w:t xml:space="preserve"> Further work to refine </w:t>
      </w:r>
      <w:r w:rsidR="00F9778C">
        <w:t>distribution of near</w:t>
      </w:r>
      <w:r w:rsidR="00F264A9">
        <w:t>-</w:t>
      </w:r>
      <w:r w:rsidR="00F9778C">
        <w:t>surface karst, thickness of the Carpentaria Basin and their influence on recharge pathways and processes wi</w:t>
      </w:r>
      <w:r w:rsidR="00637693">
        <w:t>ll be undertake</w:t>
      </w:r>
      <w:r w:rsidR="00F9778C">
        <w:t>n in Stage 3.</w:t>
      </w:r>
    </w:p>
    <w:p w14:paraId="05D6D956" w14:textId="49310FBC" w:rsidR="0030132E" w:rsidRDefault="00963265" w:rsidP="00FC2FFA">
      <w:pPr>
        <w:pStyle w:val="BodyText"/>
      </w:pPr>
      <w:r>
        <w:t>Overall</w:t>
      </w:r>
      <w:r w:rsidR="00202D20">
        <w:t>,</w:t>
      </w:r>
      <w:r>
        <w:t xml:space="preserve"> broad structural control</w:t>
      </w:r>
      <w:r w:rsidR="00202D20">
        <w:t>s</w:t>
      </w:r>
      <w:r>
        <w:t xml:space="preserve"> on the distribution of the different limestone sequences </w:t>
      </w:r>
      <w:r w:rsidR="00202D20">
        <w:t xml:space="preserve">are </w:t>
      </w:r>
      <w:r>
        <w:t>evident (</w:t>
      </w:r>
      <w:r>
        <w:fldChar w:fldCharType="begin"/>
      </w:r>
      <w:r>
        <w:instrText xml:space="preserve"> REF _Ref1116992 \h </w:instrText>
      </w:r>
      <w:r>
        <w:fldChar w:fldCharType="separate"/>
      </w:r>
      <w:r w:rsidR="00B177F5">
        <w:t xml:space="preserve">Figure </w:t>
      </w:r>
      <w:r w:rsidR="00B177F5">
        <w:rPr>
          <w:noProof/>
        </w:rPr>
        <w:t>8</w:t>
      </w:r>
      <w:r>
        <w:fldChar w:fldCharType="end"/>
      </w:r>
      <w:r>
        <w:t xml:space="preserve">). A structural high </w:t>
      </w:r>
      <w:r w:rsidR="00202D20">
        <w:t>is situated</w:t>
      </w:r>
      <w:r>
        <w:t xml:space="preserve"> underneath the confluence of the three basins</w:t>
      </w:r>
      <w:r w:rsidR="00202D20">
        <w:t xml:space="preserve"> (</w:t>
      </w:r>
      <w:r w:rsidR="005876DE">
        <w:t>s</w:t>
      </w:r>
      <w:r w:rsidR="00202D20">
        <w:t xml:space="preserve">ee sections in </w:t>
      </w:r>
      <w:r w:rsidR="006B710B">
        <w:fldChar w:fldCharType="begin"/>
      </w:r>
      <w:r w:rsidR="00F76E0D">
        <w:instrText xml:space="preserve"> ADDIN EN.CITE &lt;EndNote&gt;&lt;Cite AuthorYear="1"&gt;&lt;Author&gt;Chapman&lt;/Author&gt;&lt;Year&gt;2019&lt;/Year&gt;&lt;RecNum&gt;995&lt;/RecNum&gt;&lt;DisplayText&gt;Chapman (2019)&lt;/DisplayText&gt;&lt;record&gt;&lt;rec-number&gt;995&lt;/rec-number&gt;&lt;foreign-keys&gt;&lt;key app="EN" db-id="wdf9tzzdhw2saee559kv0vezt0wfsta0zedv" timestamp="1557991361"&gt;995&lt;/key&gt;&lt;/foreign-keys&gt;&lt;ref-type name="Journal Article"&gt;17&lt;/ref-type&gt;&lt;contributors&gt;&lt;authors&gt;&lt;author&gt;Chapman, S.&lt;/author&gt;&lt;/authors&gt;&lt;/contributors&gt;&lt;titles&gt;&lt;title&gt;Borehole gamma log stratigraphy of the northern Georgina Basin&lt;/title&gt;&lt;secondary-title&gt;Technical Report 3/2019, Northern Territory Department of Environment and Natural Resources. Northern Territory Government, Australia&lt;/secondary-title&gt;&lt;/titles&gt;&lt;periodical&gt;&lt;full-title&gt;Technical Report 3/2019, Northern Territory Department of Environment and Natural Resources. Northern Territory Government, Australia&lt;/full-title&gt;&lt;/periodical&gt;&lt;dates&gt;&lt;year&gt;2019&lt;/year&gt;&lt;/dates&gt;&lt;urls&gt;&lt;/urls&gt;&lt;/record&gt;&lt;/Cite&gt;&lt;/EndNote&gt;</w:instrText>
      </w:r>
      <w:r w:rsidR="006B710B">
        <w:fldChar w:fldCharType="separate"/>
      </w:r>
      <w:r w:rsidR="006B710B">
        <w:rPr>
          <w:noProof/>
        </w:rPr>
        <w:t>Chapman (2019)</w:t>
      </w:r>
      <w:r w:rsidR="006B710B">
        <w:fldChar w:fldCharType="end"/>
      </w:r>
      <w:r w:rsidR="00202D20">
        <w:t xml:space="preserve">). Here, </w:t>
      </w:r>
      <w:r>
        <w:t xml:space="preserve">occurrence of </w:t>
      </w:r>
      <w:r w:rsidR="004E3B13">
        <w:t xml:space="preserve">the </w:t>
      </w:r>
      <w:r>
        <w:t>Anthon</w:t>
      </w:r>
      <w:r w:rsidR="004E3B13">
        <w:t>y Lagoon or</w:t>
      </w:r>
      <w:r>
        <w:t xml:space="preserve"> equiv</w:t>
      </w:r>
      <w:r w:rsidR="00202D20">
        <w:t>alent</w:t>
      </w:r>
      <w:r w:rsidR="004E3B13">
        <w:t xml:space="preserve"> units</w:t>
      </w:r>
      <w:r>
        <w:t xml:space="preserve"> are absent. </w:t>
      </w:r>
      <w:r w:rsidR="004E3B13">
        <w:t>Structures</w:t>
      </w:r>
      <w:r>
        <w:t xml:space="preserve"> and </w:t>
      </w:r>
      <w:r w:rsidR="004E3B13">
        <w:t xml:space="preserve">conjugate </w:t>
      </w:r>
      <w:r>
        <w:t xml:space="preserve">fracture systems </w:t>
      </w:r>
      <w:r w:rsidR="004E3B13">
        <w:t xml:space="preserve">are evident in this region, which </w:t>
      </w:r>
      <w:r>
        <w:t>affect</w:t>
      </w:r>
      <w:r w:rsidR="0085577D">
        <w:t>s</w:t>
      </w:r>
      <w:r>
        <w:t xml:space="preserve"> both the limestone and the Antrim Plateau Volcanics</w:t>
      </w:r>
      <w:r w:rsidR="004E3B13">
        <w:t xml:space="preserve"> </w:t>
      </w:r>
      <w:r w:rsidR="00A541ED">
        <w:fldChar w:fldCharType="begin">
          <w:fldData xml:space="preserve">PEVuZE5vdGU+PENpdGU+PEF1dGhvcj5ZaW4gRm9vPC9BdXRob3I+PFllYXI+MjAwMTwvWWVhcj48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</w:fldData>
        </w:fldChar>
      </w:r>
      <w:r w:rsidR="00F76E0D">
        <w:instrText xml:space="preserve"> ADDIN EN.CITE </w:instrText>
      </w:r>
      <w:r w:rsidR="00F76E0D">
        <w:fldChar w:fldCharType="begin">
          <w:fldData xml:space="preserve">PEVuZE5vdGU+PENpdGU+PEF1dGhvcj5ZaW4gRm9vPC9BdXRob3I+PFllYXI+MjAwMTwvWWVhcj48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</w:fldData>
        </w:fldChar>
      </w:r>
      <w:r w:rsidR="00F76E0D">
        <w:instrText xml:space="preserve"> ADDIN EN.CITE.DATA </w:instrText>
      </w:r>
      <w:r w:rsidR="00F76E0D">
        <w:fldChar w:fldCharType="end"/>
      </w:r>
      <w:r w:rsidR="00A541ED">
        <w:fldChar w:fldCharType="separate"/>
      </w:r>
      <w:r w:rsidR="00BE680B">
        <w:rPr>
          <w:noProof/>
        </w:rPr>
        <w:t>(Yin Foo and Matthews, 2001; EcOz Environmental Consultants, 2015; Knapton, 2000)</w:t>
      </w:r>
      <w:r w:rsidR="00A541ED">
        <w:fldChar w:fldCharType="end"/>
      </w:r>
      <w:r w:rsidR="00202D20">
        <w:t>.</w:t>
      </w:r>
      <w:r>
        <w:t xml:space="preserve"> The most significant </w:t>
      </w:r>
      <w:r w:rsidR="000E1B04">
        <w:t>of these is</w:t>
      </w:r>
      <w:r>
        <w:t xml:space="preserve"> the Birdum Creek Fault (</w:t>
      </w:r>
      <w:r>
        <w:fldChar w:fldCharType="begin"/>
      </w:r>
      <w:r>
        <w:instrText xml:space="preserve"> REF _Ref1116992 \h </w:instrText>
      </w:r>
      <w:r>
        <w:fldChar w:fldCharType="separate"/>
      </w:r>
      <w:r w:rsidR="00B177F5">
        <w:t xml:space="preserve">Figure </w:t>
      </w:r>
      <w:r w:rsidR="00B177F5">
        <w:rPr>
          <w:noProof/>
        </w:rPr>
        <w:t>8</w:t>
      </w:r>
      <w:r>
        <w:fldChar w:fldCharType="end"/>
      </w:r>
      <w:r w:rsidR="00202D20">
        <w:t>) in the Daly Basin. T</w:t>
      </w:r>
      <w:r w:rsidR="000E1B04">
        <w:t xml:space="preserve">here is </w:t>
      </w:r>
      <w:r w:rsidR="000E1B04" w:rsidRPr="00FC2FFA">
        <w:t xml:space="preserve">approximately </w:t>
      </w:r>
      <w:r w:rsidRPr="00FC2FFA">
        <w:t>200 m offset</w:t>
      </w:r>
      <w:r w:rsidR="000E1B04" w:rsidRPr="00FC2FFA">
        <w:t xml:space="preserve"> across this fault</w:t>
      </w:r>
      <w:r w:rsidRPr="00FC2FFA">
        <w:t xml:space="preserve">, </w:t>
      </w:r>
      <w:r w:rsidR="00202D20" w:rsidRPr="00FC2FFA">
        <w:t xml:space="preserve">which is </w:t>
      </w:r>
      <w:r w:rsidRPr="00FC2FFA">
        <w:t xml:space="preserve">downthrown to the east </w:t>
      </w:r>
      <w:r w:rsidR="00A541ED">
        <w:fldChar w:fldCharType="begin">
          <w:fldData xml:space="preserve">PEVuZE5vdGU+PENpdGU+PEF1dGhvcj5ZaW4gRm9vPC9BdXRob3I+PFllYXI+MjAwMjwvWWVhcj48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</w:fldData>
        </w:fldChar>
      </w:r>
      <w:r w:rsidR="00F76E0D">
        <w:instrText xml:space="preserve"> ADDIN EN.CITE </w:instrText>
      </w:r>
      <w:r w:rsidR="00F76E0D">
        <w:fldChar w:fldCharType="begin">
          <w:fldData xml:space="preserve">PEVuZE5vdGU+PENpdGU+PEF1dGhvcj5ZaW4gRm9vPC9BdXRob3I+PFllYXI+MjAwMjwvWWVhcj48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</w:fldData>
        </w:fldChar>
      </w:r>
      <w:r w:rsidR="00F76E0D">
        <w:instrText xml:space="preserve"> ADDIN EN.CITE.DATA </w:instrText>
      </w:r>
      <w:r w:rsidR="00F76E0D">
        <w:fldChar w:fldCharType="end"/>
      </w:r>
      <w:r w:rsidR="00A541ED">
        <w:fldChar w:fldCharType="separate"/>
      </w:r>
      <w:r w:rsidR="00BE680B">
        <w:rPr>
          <w:noProof/>
        </w:rPr>
        <w:t>(Yin Foo, 2002; Knapton, 2000)</w:t>
      </w:r>
      <w:r w:rsidR="00A541ED">
        <w:fldChar w:fldCharType="end"/>
      </w:r>
      <w:r w:rsidRPr="00FC2FFA">
        <w:t xml:space="preserve">. To the east of </w:t>
      </w:r>
      <w:r w:rsidR="00FC2FFA" w:rsidRPr="00FC2FFA">
        <w:t xml:space="preserve">this </w:t>
      </w:r>
      <w:r w:rsidRPr="00FC2FFA">
        <w:t xml:space="preserve">fault </w:t>
      </w:r>
      <w:r w:rsidR="00436692">
        <w:t>is</w:t>
      </w:r>
      <w:r w:rsidR="00436692" w:rsidRPr="00FC2FFA">
        <w:t xml:space="preserve"> </w:t>
      </w:r>
      <w:r w:rsidR="00570248" w:rsidRPr="00FC2FFA">
        <w:t>the Tindall Limestone</w:t>
      </w:r>
      <w:r w:rsidR="00570248" w:rsidRPr="00FC2FFA" w:rsidDel="00570248">
        <w:t xml:space="preserve"> </w:t>
      </w:r>
      <w:r w:rsidR="00570248" w:rsidRPr="00FC2FFA">
        <w:t xml:space="preserve">and a portion of the </w:t>
      </w:r>
      <w:r w:rsidRPr="00FC2FFA">
        <w:t>Jinduckin Formation</w:t>
      </w:r>
      <w:r w:rsidR="00682C10" w:rsidRPr="00FC2FFA">
        <w:t xml:space="preserve"> (in the vicinity of Mataranka</w:t>
      </w:r>
      <w:r w:rsidR="00570248" w:rsidRPr="00FC2FFA">
        <w:t xml:space="preserve"> and Katherine</w:t>
      </w:r>
      <w:r w:rsidR="00682C10" w:rsidRPr="00FC2FFA">
        <w:t>)</w:t>
      </w:r>
      <w:r w:rsidR="00436692">
        <w:t>. To the w</w:t>
      </w:r>
      <w:r w:rsidRPr="00FC2FFA">
        <w:t xml:space="preserve">est </w:t>
      </w:r>
      <w:r w:rsidR="00682C10" w:rsidRPr="00FC2FFA">
        <w:t xml:space="preserve">of the fault </w:t>
      </w:r>
      <w:r w:rsidR="00436692">
        <w:t>the limestone sequence is much thinner</w:t>
      </w:r>
      <w:r w:rsidR="00682C10" w:rsidRPr="00FC2FFA">
        <w:t xml:space="preserve"> (</w:t>
      </w:r>
      <w:r w:rsidR="00682C10" w:rsidRPr="00FC2FFA">
        <w:fldChar w:fldCharType="begin"/>
      </w:r>
      <w:r w:rsidR="00682C10" w:rsidRPr="00FC2FFA">
        <w:instrText xml:space="preserve"> REF _Ref5976456 \h </w:instrText>
      </w:r>
      <w:r w:rsidR="00FC2FFA">
        <w:instrText xml:space="preserve"> \* MERGEFORMAT </w:instrText>
      </w:r>
      <w:r w:rsidR="00682C10" w:rsidRPr="00FC2FFA">
        <w:fldChar w:fldCharType="separate"/>
      </w:r>
      <w:r w:rsidR="00B177F5">
        <w:t xml:space="preserve">Figure </w:t>
      </w:r>
      <w:r w:rsidR="00B177F5">
        <w:rPr>
          <w:noProof/>
        </w:rPr>
        <w:t>8</w:t>
      </w:r>
      <w:r w:rsidR="00682C10" w:rsidRPr="00FC2FFA">
        <w:fldChar w:fldCharType="end"/>
      </w:r>
      <w:r w:rsidR="00682C10" w:rsidRPr="00FC2FFA">
        <w:t>)</w:t>
      </w:r>
      <w:r w:rsidRPr="00FC2FFA">
        <w:t xml:space="preserve">. </w:t>
      </w:r>
      <w:r w:rsidR="00202D20" w:rsidRPr="00FC2FFA">
        <w:t>To the south of the Daly Basin t</w:t>
      </w:r>
      <w:r w:rsidRPr="00FC2FFA">
        <w:t>his fault follows the Daly River Arch and is coincident with deeper</w:t>
      </w:r>
      <w:r>
        <w:t xml:space="preserve"> Proterozoic structures </w:t>
      </w:r>
      <w:r w:rsidR="00A541ED">
        <w:fldChar w:fldCharType="begin"/>
      </w:r>
      <w:r w:rsidR="00F76E0D">
        <w:instrText xml:space="preserve"> ADDIN EN.CITE &lt;EndNote&gt;&lt;Cite&gt;&lt;Author&gt;EcOz Environmental Consultants&lt;/Author&gt;&lt;Year&gt;2015&lt;/Year&gt;&lt;RecNum&gt;702&lt;/RecNum&gt;&lt;DisplayText&gt;(EcOz Environmental Consultants, 2015)&lt;/DisplayText&gt;&lt;record&gt;&lt;rec-number&gt;702&lt;/rec-number&gt;&lt;foreign-keys&gt;&lt;key app="EN" db-id="wdf9tzzdhw2saee559kv0vezt0wfsta0zedv" timestamp="1545264527"&gt;702&lt;/key&gt;&lt;/foreign-keys&gt;&lt;ref-type name="Report"&gt;27&lt;/ref-type&gt;&lt;contributors&gt;&lt;authors&gt;&lt;author&gt;EcOz Environmental Consultants,&lt;/author&gt;&lt;/authors&gt;&lt;secondary-authors&gt;&lt;author&gt;EcOz Environmental Consultants&lt;/author&gt;&lt;/secondary-authors&gt;&lt;/contributors&gt;&lt;titles&gt;&lt;title&gt;Surface and groundwater characterisation report – Sturt Plateau Region NT. Report prepared for Pangaea Resources for submission to the NT fracking inquiry&lt;/title&gt;&lt;/titles&gt;&lt;pages&gt;53&lt;/pages&gt;&lt;dates&gt;&lt;year&gt;2015&lt;/year&gt;&lt;pub-dates&gt;&lt;date&gt;2/10/2015&lt;/date&gt;&lt;/pub-dates&gt;&lt;/dates&gt;&lt;pub-location&gt;Darwin&lt;/pub-location&gt;&lt;urls&gt;&lt;related-urls&gt;&lt;url&gt;https://frackinginquiry.nt.gov.au/?a=424269&lt;/url&gt;&lt;/related-urls&gt;&lt;/urls&gt;&lt;access-date&gt;28 November 2019&lt;/access-date&gt;&lt;/record&gt;&lt;/Cite&gt;&lt;/EndNote&gt;</w:instrText>
      </w:r>
      <w:r w:rsidR="00A541ED">
        <w:fldChar w:fldCharType="separate"/>
      </w:r>
      <w:r w:rsidR="00A541ED">
        <w:rPr>
          <w:noProof/>
        </w:rPr>
        <w:t>(EcOz Environmental Consultants, 2015)</w:t>
      </w:r>
      <w:r w:rsidR="00A541ED">
        <w:fldChar w:fldCharType="end"/>
      </w:r>
      <w:r>
        <w:t>.</w:t>
      </w:r>
      <w:r w:rsidR="00436692">
        <w:t xml:space="preserve"> It  may be that </w:t>
      </w:r>
      <w:r w:rsidR="001475FE">
        <w:t xml:space="preserve">the </w:t>
      </w:r>
      <w:r w:rsidR="002E6955">
        <w:t>Birdum</w:t>
      </w:r>
      <w:r w:rsidR="00436692">
        <w:t xml:space="preserve"> Creek Fault formed in </w:t>
      </w:r>
      <w:r w:rsidR="002E6955">
        <w:t>part</w:t>
      </w:r>
      <w:r w:rsidR="00436692">
        <w:t xml:space="preserve"> through reactivation of deeper structures.</w:t>
      </w:r>
      <w:r>
        <w:t xml:space="preserve"> </w:t>
      </w:r>
    </w:p>
    <w:p w14:paraId="18B92810" w14:textId="4C4CCD79" w:rsidR="006B0577" w:rsidRDefault="000E1B04" w:rsidP="006C1517">
      <w:r>
        <w:t xml:space="preserve">Other </w:t>
      </w:r>
      <w:r w:rsidR="0030132E">
        <w:t>small</w:t>
      </w:r>
      <w:r w:rsidR="004E3B13">
        <w:t>er</w:t>
      </w:r>
      <w:r w:rsidR="0030132E">
        <w:t xml:space="preserve"> scale </w:t>
      </w:r>
      <w:r>
        <w:t>structures</w:t>
      </w:r>
      <w:r w:rsidR="0030132E">
        <w:t xml:space="preserve"> identified on the </w:t>
      </w:r>
      <w:r w:rsidR="00436692">
        <w:t xml:space="preserve">LARRIMAH </w:t>
      </w:r>
      <w:r w:rsidR="0030132E">
        <w:t>and D</w:t>
      </w:r>
      <w:r w:rsidR="00436692">
        <w:t>ALY WATERS</w:t>
      </w:r>
      <w:r w:rsidR="0030132E">
        <w:t xml:space="preserve"> 1:250,000 geological map sheets in the Beetaloo GBA region (</w:t>
      </w:r>
      <w:r w:rsidR="00682C10">
        <w:fldChar w:fldCharType="begin"/>
      </w:r>
      <w:r w:rsidR="00682C10">
        <w:instrText xml:space="preserve"> REF _Ref5201649 \h </w:instrText>
      </w:r>
      <w:r w:rsidR="00682C10">
        <w:fldChar w:fldCharType="separate"/>
      </w:r>
      <w:r w:rsidR="00B177F5">
        <w:t xml:space="preserve">Figure </w:t>
      </w:r>
      <w:r w:rsidR="00B177F5">
        <w:rPr>
          <w:noProof/>
        </w:rPr>
        <w:t>9</w:t>
      </w:r>
      <w:r w:rsidR="00682C10">
        <w:fldChar w:fldCharType="end"/>
      </w:r>
      <w:r w:rsidR="0030132E">
        <w:t>) show north</w:t>
      </w:r>
      <w:r w:rsidR="00214520">
        <w:t>-</w:t>
      </w:r>
      <w:r w:rsidR="0030132E">
        <w:t>east or north</w:t>
      </w:r>
      <w:r w:rsidR="00214520">
        <w:t>-</w:t>
      </w:r>
      <w:r w:rsidR="0030132E">
        <w:t>west trends. The north</w:t>
      </w:r>
      <w:r w:rsidR="00737C45">
        <w:t>-</w:t>
      </w:r>
      <w:r w:rsidR="0030132E">
        <w:t xml:space="preserve">east trending structures </w:t>
      </w:r>
      <w:r w:rsidR="004E3B13">
        <w:t xml:space="preserve">also </w:t>
      </w:r>
      <w:r w:rsidR="0030132E">
        <w:t xml:space="preserve">approximate </w:t>
      </w:r>
      <w:r w:rsidR="004E3B13">
        <w:t>trends of</w:t>
      </w:r>
      <w:r w:rsidR="00E75C2E">
        <w:t xml:space="preserve"> some of the </w:t>
      </w:r>
      <w:r w:rsidR="004E3B13">
        <w:t xml:space="preserve">regional drainage </w:t>
      </w:r>
      <w:r w:rsidR="00202D20">
        <w:t>and</w:t>
      </w:r>
      <w:r w:rsidR="0030132E">
        <w:t xml:space="preserve"> broad </w:t>
      </w:r>
      <w:r w:rsidR="00202D20">
        <w:t xml:space="preserve">flat-bottomed </w:t>
      </w:r>
      <w:r w:rsidR="0030132E">
        <w:t xml:space="preserve">valleys that </w:t>
      </w:r>
      <w:r w:rsidR="00202D20">
        <w:t xml:space="preserve">are </w:t>
      </w:r>
      <w:r w:rsidR="0030132E">
        <w:t>evident i</w:t>
      </w:r>
      <w:r w:rsidR="004877DB">
        <w:t xml:space="preserve">n </w:t>
      </w:r>
      <w:r w:rsidR="0030132E">
        <w:t xml:space="preserve">topography on </w:t>
      </w:r>
      <w:r w:rsidR="004E3B13">
        <w:t xml:space="preserve">the </w:t>
      </w:r>
      <w:r w:rsidR="00436692">
        <w:t>NEWCASTLE WATERS</w:t>
      </w:r>
      <w:r w:rsidR="00E75C2E">
        <w:t xml:space="preserve">, </w:t>
      </w:r>
      <w:r w:rsidR="00436692">
        <w:t xml:space="preserve">TANUMBIRINI </w:t>
      </w:r>
      <w:r w:rsidR="0030132E">
        <w:t>and B</w:t>
      </w:r>
      <w:r w:rsidR="00436692">
        <w:t>EETALOO</w:t>
      </w:r>
      <w:r w:rsidR="0030132E">
        <w:t xml:space="preserve"> </w:t>
      </w:r>
      <w:r w:rsidR="00FC2FFA">
        <w:t xml:space="preserve">geological </w:t>
      </w:r>
      <w:r w:rsidR="0030132E">
        <w:t>map</w:t>
      </w:r>
      <w:r w:rsidR="004E3B13">
        <w:t xml:space="preserve"> </w:t>
      </w:r>
      <w:r w:rsidR="0030132E">
        <w:t>sh</w:t>
      </w:r>
      <w:r w:rsidR="00202D20">
        <w:t>eets. This</w:t>
      </w:r>
      <w:r w:rsidR="0030132E">
        <w:t xml:space="preserve"> suggests </w:t>
      </w:r>
      <w:r w:rsidR="00202D20">
        <w:t xml:space="preserve">that </w:t>
      </w:r>
      <w:r w:rsidR="0030132E">
        <w:t xml:space="preserve">there is </w:t>
      </w:r>
      <w:r w:rsidR="00FC2FFA">
        <w:t xml:space="preserve">some </w:t>
      </w:r>
      <w:r w:rsidR="0030132E">
        <w:t xml:space="preserve">degree of structural control </w:t>
      </w:r>
      <w:r w:rsidR="0072259C">
        <w:t xml:space="preserve">on these </w:t>
      </w:r>
      <w:r w:rsidR="004E3B13">
        <w:t xml:space="preserve">larger </w:t>
      </w:r>
      <w:r w:rsidR="0072259C">
        <w:t xml:space="preserve">topographic features, even though </w:t>
      </w:r>
      <w:r w:rsidR="00E75C2E">
        <w:t>in these areas the</w:t>
      </w:r>
      <w:r w:rsidR="0072259C">
        <w:t xml:space="preserve"> Ca</w:t>
      </w:r>
      <w:r w:rsidR="00E72DDD">
        <w:t>r</w:t>
      </w:r>
      <w:r w:rsidR="0072259C">
        <w:t>pentaria Basin sequence is relatively thick (</w:t>
      </w:r>
      <w:r w:rsidR="0072259C">
        <w:fldChar w:fldCharType="begin"/>
      </w:r>
      <w:r w:rsidR="0072259C">
        <w:instrText xml:space="preserve"> REF _Ref4066147 \h </w:instrText>
      </w:r>
      <w:r w:rsidR="0072259C">
        <w:fldChar w:fldCharType="separate"/>
      </w:r>
      <w:r w:rsidR="00B177F5">
        <w:t xml:space="preserve">Figure </w:t>
      </w:r>
      <w:r w:rsidR="00B177F5">
        <w:rPr>
          <w:noProof/>
        </w:rPr>
        <w:t>10</w:t>
      </w:r>
      <w:r w:rsidR="0072259C">
        <w:fldChar w:fldCharType="end"/>
      </w:r>
      <w:r w:rsidR="0072259C">
        <w:t>). The degree to which these north</w:t>
      </w:r>
      <w:r w:rsidR="00737C45">
        <w:t>-</w:t>
      </w:r>
      <w:r w:rsidR="0072259C">
        <w:t xml:space="preserve">east trending features </w:t>
      </w:r>
      <w:r w:rsidR="004877DB">
        <w:t xml:space="preserve">have </w:t>
      </w:r>
      <w:r w:rsidR="0072259C">
        <w:t>influence</w:t>
      </w:r>
      <w:r w:rsidR="004877DB">
        <w:t>d</w:t>
      </w:r>
      <w:r w:rsidR="0072259C">
        <w:t xml:space="preserve"> </w:t>
      </w:r>
      <w:r w:rsidR="004877DB">
        <w:t xml:space="preserve">karst development </w:t>
      </w:r>
      <w:r w:rsidR="0072259C">
        <w:t xml:space="preserve">and groundwater flow </w:t>
      </w:r>
      <w:r w:rsidR="00E72DDD">
        <w:t xml:space="preserve">directions </w:t>
      </w:r>
      <w:r w:rsidR="0072259C">
        <w:t xml:space="preserve">at depth in the </w:t>
      </w:r>
      <w:r w:rsidR="004877DB">
        <w:t>CLA</w:t>
      </w:r>
      <w:r w:rsidR="0072259C">
        <w:t xml:space="preserve"> is unknown. </w:t>
      </w:r>
    </w:p>
    <w:p w14:paraId="092CBD23" w14:textId="3B99B190" w:rsidR="006C1517" w:rsidRDefault="00731AA3" w:rsidP="006C1517">
      <w:pPr>
        <w:pStyle w:val="Figures"/>
      </w:pPr>
      <w:r>
        <w:rPr>
          <w:noProof/>
        </w:rPr>
        <w:drawing>
          <wp:inline distT="0" distB="0" distL="0" distR="0" wp14:anchorId="3C66D8D2" wp14:editId="103D9724">
            <wp:extent cx="6129022" cy="6989445"/>
            <wp:effectExtent l="0" t="0" r="5080" b="1905"/>
            <wp:docPr id="1684219656" name="Picture 5" descr="C:\Users\u60793\Documents\GBA-BEE-2-085_CLA_hydrostr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65">
                      <a:extLst>
                        <a:ext uri="{28A0092B-C50C-407E-A947-70E740481C1C}">
                          <a14:useLocalDpi xmlns:a14="http://schemas.microsoft.com/office/drawing/2010/main" val="0"/>
                        </a:ext>
                      </a:extLst>
                    </a:blip>
                    <a:stretch>
                      <a:fillRect/>
                    </a:stretch>
                  </pic:blipFill>
                  <pic:spPr>
                    <a:xfrm>
                      <a:off x="0" y="0"/>
                      <a:ext cx="6129022" cy="6989445"/>
                    </a:xfrm>
                    <a:prstGeom prst="rect">
                      <a:avLst/>
                    </a:prstGeom>
                  </pic:spPr>
                </pic:pic>
              </a:graphicData>
            </a:graphic>
          </wp:inline>
        </w:drawing>
      </w:r>
    </w:p>
    <w:p w14:paraId="6C94459E" w14:textId="154E9AFB" w:rsidR="00EA3C12" w:rsidRPr="00EA3C12" w:rsidRDefault="006C1517" w:rsidP="00EA3C12">
      <w:pPr>
        <w:pStyle w:val="Caption"/>
      </w:pPr>
      <w:bookmarkStart w:id="309" w:name="_Ref1116992"/>
      <w:bookmarkStart w:id="310" w:name="_Ref5976456"/>
      <w:bookmarkStart w:id="311" w:name="_Toc4072434"/>
      <w:bookmarkStart w:id="312" w:name="_Toc4670946"/>
      <w:bookmarkStart w:id="313" w:name="_Toc4754366"/>
      <w:bookmarkStart w:id="314" w:name="_Toc5020751"/>
      <w:bookmarkStart w:id="315" w:name="_Toc5021558"/>
      <w:bookmarkStart w:id="316" w:name="_Toc5097084"/>
      <w:bookmarkStart w:id="317" w:name="_Toc5108476"/>
      <w:bookmarkStart w:id="318" w:name="_Toc5284140"/>
      <w:bookmarkStart w:id="319" w:name="_Toc5635354"/>
      <w:bookmarkStart w:id="320" w:name="_Toc5808313"/>
      <w:bookmarkStart w:id="321" w:name="_Toc5894916"/>
      <w:bookmarkStart w:id="322" w:name="_Toc5895005"/>
      <w:bookmarkStart w:id="323" w:name="_Toc6308894"/>
      <w:bookmarkStart w:id="324" w:name="_Toc6327559"/>
      <w:bookmarkStart w:id="325" w:name="_Toc38990462"/>
      <w:r>
        <w:t xml:space="preserve">Figure </w:t>
      </w:r>
      <w:r>
        <w:rPr>
          <w:noProof/>
        </w:rPr>
        <w:fldChar w:fldCharType="begin"/>
      </w:r>
      <w:r>
        <w:rPr>
          <w:noProof/>
        </w:rPr>
        <w:instrText xml:space="preserve"> SEQ Figure \* ARABIC </w:instrText>
      </w:r>
      <w:r>
        <w:rPr>
          <w:noProof/>
        </w:rPr>
        <w:fldChar w:fldCharType="separate"/>
      </w:r>
      <w:r w:rsidR="00B177F5">
        <w:rPr>
          <w:noProof/>
        </w:rPr>
        <w:t>8</w:t>
      </w:r>
      <w:r>
        <w:rPr>
          <w:noProof/>
        </w:rPr>
        <w:fldChar w:fldCharType="end"/>
      </w:r>
      <w:bookmarkEnd w:id="309"/>
      <w:bookmarkEnd w:id="310"/>
      <w:r>
        <w:t xml:space="preserve"> Distribution of major hydrostratigraphic units that </w:t>
      </w:r>
      <w:r w:rsidR="00305F2B">
        <w:t xml:space="preserve">make up </w:t>
      </w:r>
      <w:r>
        <w:t xml:space="preserve">the Cambrian </w:t>
      </w:r>
      <w:r w:rsidR="00DD6F9C">
        <w:t>L</w:t>
      </w:r>
      <w:r>
        <w:t xml:space="preserve">imestone </w:t>
      </w:r>
      <w:r w:rsidR="00DD6F9C">
        <w:t>A</w:t>
      </w:r>
      <w:r>
        <w:t>quifer in the Beetaloo GBA region</w:t>
      </w:r>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p>
    <w:p w14:paraId="76CC023B" w14:textId="0FA47DE8" w:rsidR="006F0E8D" w:rsidRPr="00EA3C12" w:rsidRDefault="006F0E8D" w:rsidP="00EA3C12">
      <w:pPr>
        <w:pStyle w:val="SourceornoteforTableorFigure"/>
      </w:pPr>
      <w:r w:rsidRPr="00EA3C12">
        <w:t xml:space="preserve">Data: Gum Ridge Formation and </w:t>
      </w:r>
      <w:r w:rsidR="00E713E9" w:rsidRPr="00EA3C12">
        <w:t>equivalents</w:t>
      </w:r>
      <w:r w:rsidR="00195E0C">
        <w:t xml:space="preserve"> </w:t>
      </w:r>
      <w:r w:rsidR="00B11FDA">
        <w:t>and</w:t>
      </w:r>
      <w:r w:rsidRPr="00EA3C12">
        <w:t xml:space="preserve"> Anthony Lagoon Formation and </w:t>
      </w:r>
      <w:r w:rsidR="00E713E9" w:rsidRPr="00EA3C12">
        <w:t>equivalents</w:t>
      </w:r>
      <w:r w:rsidR="002C13D7">
        <w:t xml:space="preserve"> </w:t>
      </w:r>
      <w:r w:rsidR="002C13D7">
        <w:fldChar w:fldCharType="begin"/>
      </w:r>
      <w:r w:rsidR="005D0C32">
        <w:instrText xml:space="preserve"> ADDIN EN.CITE &lt;EndNote&gt;&lt;Cite&gt;&lt;Author&gt;Department of Environment and Natural Resources (NT)&lt;/Author&gt;&lt;Year&gt;2018&lt;/Year&gt;&lt;RecNum&gt;1511&lt;/RecNum&gt;&lt;DisplayText&gt;(Department of Environment and Natural Resources (NT), 2018c)&lt;/DisplayText&gt;&lt;record&gt;&lt;rec-number&gt;1511&lt;/rec-number&gt;&lt;foreign-keys&gt;&lt;key app="EN" db-id="wdf9tzzdhw2saee559kv0vezt0wfsta0zedv" timestamp="1586412276"&gt;1511&lt;/key&gt;&lt;/foreign-keys&gt;&lt;ref-type name="Dataset"&gt;59&lt;/ref-type&gt;&lt;contributors&gt;&lt;authors&gt;&lt;author&gt;Department of Environment and Natural Resources (NT),&lt;/author&gt;&lt;/authors&gt;&lt;/contributors&gt;&lt;titles&gt;&lt;title&gt;Base of the Jinduckin and Tindall Formations&lt;/title&gt;&lt;/titles&gt;&lt;dates&gt;&lt;year&gt;2018&lt;/year&gt;&lt;/dates&gt;&lt;label&gt;F44AB442-944E-40B8-8EEE-06991E0D1184&lt;/label&gt;&lt;urls&gt;&lt;related-urls&gt;&lt;url&gt;https://denr.nt.gov.au/land-resource-management/info-systems/natural-resource-maps/spatial-data-requests&lt;/url&gt;&lt;/related-urls&gt;&lt;/urls&gt;&lt;custom3&gt;ArcGIS shape file&lt;/custom3&gt;&lt;access-date&gt;27 March 2020&lt;/access-date&gt;&lt;/record&gt;&lt;/Cite&gt;&lt;/EndNote&gt;</w:instrText>
      </w:r>
      <w:r w:rsidR="002C13D7">
        <w:fldChar w:fldCharType="separate"/>
      </w:r>
      <w:r w:rsidR="005D0C32">
        <w:rPr>
          <w:noProof/>
        </w:rPr>
        <w:t>(Department of Environment and Natural Resources (NT), 2018c)</w:t>
      </w:r>
      <w:r w:rsidR="002C13D7">
        <w:fldChar w:fldCharType="end"/>
      </w:r>
      <w:r w:rsidRPr="00EA3C12">
        <w:t>; Limestone subcrop</w:t>
      </w:r>
      <w:r w:rsidR="002C13D7">
        <w:t xml:space="preserve"> </w:t>
      </w:r>
      <w:r w:rsidR="00B11FDA">
        <w:fldChar w:fldCharType="begin"/>
      </w:r>
      <w:r w:rsidR="00B11FDA">
        <w:instrText xml:space="preserve"> ADDIN EN.CITE &lt;EndNote&gt;&lt;Cite&gt;&lt;Author&gt;Department of Environment and Natural Resources (NT)&lt;/Author&gt;&lt;Year&gt;2008&lt;/Year&gt;&lt;RecNum&gt;1543&lt;/RecNum&gt;&lt;DisplayText&gt;(Department of Environment and Natural Resources (NT), 2008)&lt;/DisplayText&gt;&lt;record&gt;&lt;rec-number&gt;1543&lt;/rec-number&gt;&lt;foreign-keys&gt;&lt;key app="EN" db-id="wdf9tzzdhw2saee559kv0vezt0wfsta0zedv" timestamp="1588042412"&gt;1543&lt;/key&gt;&lt;/foreign-keys&gt;&lt;ref-type name="Dataset"&gt;59&lt;/ref-type&gt;&lt;contributors&gt;&lt;authors&gt;&lt;author&gt;Department of Environment and Natural Resources (NT),&lt;/author&gt;&lt;/authors&gt;&lt;secondary-authors&gt;&lt;author&gt;Geoscience Australia,&lt;/author&gt;&lt;/secondary-authors&gt;&lt;/contributors&gt;&lt;titles&gt;&lt;title&gt;Northern Territory Groundwater Aquifers 2M&lt;/title&gt;&lt;/titles&gt;&lt;keywords&gt;&lt;keyword&gt;hydrogeology&lt;/keyword&gt;&lt;/keywords&gt;&lt;dates&gt;&lt;year&gt;2008&lt;/year&gt;&lt;/dates&gt;&lt;pub-location&gt;Canberra&lt;/pub-location&gt;&lt;label&gt;81355DDF-AB96-40A3-8E7E-DFBC88199762&lt;/label&gt;&lt;urls&gt;&lt;related-urls&gt;&lt;url&gt;http://www.ntlis.nt.gov.au/metadata/export_data?type=html&amp;amp;metadata_id=535D1EECEB0F528AE040CD9B21446C20&lt;/url&gt;&lt;/related-urls&gt;&lt;/urls&gt;&lt;custom2&gt;unit of observation&lt;/custom2&gt;&lt;custom3&gt;spatial&lt;/custom3&gt;&lt;custom4&gt;dataset&lt;/custom4&gt;&lt;access-date&gt;28 April 2020&lt;/access-date&gt;&lt;/record&gt;&lt;/Cite&gt;&lt;/EndNote&gt;</w:instrText>
      </w:r>
      <w:r w:rsidR="00B11FDA">
        <w:fldChar w:fldCharType="separate"/>
      </w:r>
      <w:r w:rsidR="00B11FDA">
        <w:rPr>
          <w:noProof/>
        </w:rPr>
        <w:t>(Department of Environment and Natural Resources (NT), 2008)</w:t>
      </w:r>
      <w:r w:rsidR="00B11FDA">
        <w:fldChar w:fldCharType="end"/>
      </w:r>
      <w:r w:rsidR="00B11FDA">
        <w:t xml:space="preserve"> </w:t>
      </w:r>
      <w:r w:rsidR="004359F1" w:rsidRPr="00EA3C12">
        <w:br/>
      </w:r>
      <w:r w:rsidRPr="00EA3C12">
        <w:t>Element: GBA-BEE-2-085</w:t>
      </w:r>
    </w:p>
    <w:p w14:paraId="3F65FFE1" w14:textId="3AD7337A" w:rsidR="00415563" w:rsidRPr="00415563" w:rsidRDefault="00CF0593" w:rsidP="003E1F1E">
      <w:pPr>
        <w:pStyle w:val="Figures"/>
      </w:pPr>
      <w:bookmarkStart w:id="326" w:name="_Hlk35269264"/>
      <w:r>
        <w:rPr>
          <w:noProof/>
        </w:rPr>
        <w:drawing>
          <wp:inline distT="0" distB="0" distL="0" distR="0" wp14:anchorId="6CDEADE1" wp14:editId="03C36BAE">
            <wp:extent cx="6120130" cy="691959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BA-BEE-2-126_Sinkhole_locations.png"/>
                    <pic:cNvPicPr/>
                  </pic:nvPicPr>
                  <pic:blipFill>
                    <a:blip r:embed="rId66" cstate="screen">
                      <a:extLst>
                        <a:ext uri="{28A0092B-C50C-407E-A947-70E740481C1C}">
                          <a14:useLocalDpi xmlns:a14="http://schemas.microsoft.com/office/drawing/2010/main" val="0"/>
                        </a:ext>
                      </a:extLst>
                    </a:blip>
                    <a:stretch>
                      <a:fillRect/>
                    </a:stretch>
                  </pic:blipFill>
                  <pic:spPr>
                    <a:xfrm>
                      <a:off x="0" y="0"/>
                      <a:ext cx="6120130" cy="6919595"/>
                    </a:xfrm>
                    <a:prstGeom prst="rect">
                      <a:avLst/>
                    </a:prstGeom>
                  </pic:spPr>
                </pic:pic>
              </a:graphicData>
            </a:graphic>
          </wp:inline>
        </w:drawing>
      </w:r>
    </w:p>
    <w:p w14:paraId="471632C7" w14:textId="7654DCBC" w:rsidR="00E206F4" w:rsidRDefault="00E206F4" w:rsidP="00E206F4">
      <w:pPr>
        <w:pStyle w:val="Caption"/>
      </w:pPr>
      <w:bookmarkStart w:id="327" w:name="_Ref5201649"/>
      <w:bookmarkStart w:id="328" w:name="_Toc5284141"/>
      <w:bookmarkStart w:id="329" w:name="_Toc5635355"/>
      <w:bookmarkStart w:id="330" w:name="_Toc5808314"/>
      <w:bookmarkStart w:id="331" w:name="_Toc5894917"/>
      <w:bookmarkStart w:id="332" w:name="_Toc5895006"/>
      <w:bookmarkStart w:id="333" w:name="_Toc6308895"/>
      <w:bookmarkStart w:id="334" w:name="_Toc6327560"/>
      <w:bookmarkStart w:id="335" w:name="_Toc38990463"/>
      <w:r>
        <w:t xml:space="preserve">Figure </w:t>
      </w:r>
      <w:r w:rsidRPr="78541554">
        <w:fldChar w:fldCharType="begin"/>
      </w:r>
      <w:r>
        <w:rPr>
          <w:noProof/>
        </w:rPr>
        <w:instrText xml:space="preserve"> SEQ Figure \* ARABIC </w:instrText>
      </w:r>
      <w:r w:rsidRPr="78541554">
        <w:rPr>
          <w:noProof/>
        </w:rPr>
        <w:fldChar w:fldCharType="separate"/>
      </w:r>
      <w:r w:rsidR="00B177F5">
        <w:rPr>
          <w:noProof/>
        </w:rPr>
        <w:t>9</w:t>
      </w:r>
      <w:r w:rsidRPr="78541554">
        <w:fldChar w:fldCharType="end"/>
      </w:r>
      <w:bookmarkEnd w:id="327"/>
      <w:r>
        <w:t xml:space="preserve"> </w:t>
      </w:r>
      <w:r w:rsidR="00046483">
        <w:t>Areas with sinkholes</w:t>
      </w:r>
      <w:r>
        <w:t xml:space="preserve"> </w:t>
      </w:r>
      <w:r w:rsidR="00046483">
        <w:t xml:space="preserve">and </w:t>
      </w:r>
      <w:r w:rsidDel="0085577D">
        <w:t>near</w:t>
      </w:r>
      <w:r w:rsidR="0085577D">
        <w:t>-</w:t>
      </w:r>
      <w:r>
        <w:t xml:space="preserve">surface structures identified </w:t>
      </w:r>
      <w:r w:rsidR="00046483">
        <w:t>on</w:t>
      </w:r>
      <w:r>
        <w:t xml:space="preserve"> 1:250,000 </w:t>
      </w:r>
      <w:r w:rsidR="00046483">
        <w:t xml:space="preserve">geological </w:t>
      </w:r>
      <w:r>
        <w:t>map</w:t>
      </w:r>
      <w:r w:rsidR="00046483">
        <w:t xml:space="preserve"> sheets in </w:t>
      </w:r>
      <w:r w:rsidR="0085577D">
        <w:t xml:space="preserve">the </w:t>
      </w:r>
      <w:r w:rsidR="00046483">
        <w:t>Beetaloo GBA region</w:t>
      </w:r>
      <w:bookmarkEnd w:id="328"/>
      <w:bookmarkEnd w:id="329"/>
      <w:bookmarkEnd w:id="330"/>
      <w:bookmarkEnd w:id="331"/>
      <w:bookmarkEnd w:id="332"/>
      <w:bookmarkEnd w:id="333"/>
      <w:bookmarkEnd w:id="334"/>
      <w:bookmarkEnd w:id="335"/>
    </w:p>
    <w:bookmarkEnd w:id="326"/>
    <w:p w14:paraId="08821D17" w14:textId="63F9CA3A" w:rsidR="00E206F4" w:rsidRPr="00415563" w:rsidRDefault="004359F1" w:rsidP="00046483">
      <w:pPr>
        <w:pStyle w:val="SourceornoteforTableorFigure"/>
      </w:pPr>
      <w:r>
        <w:t>Note: Locations of sinkhole areas on this map are indicative only and derived from the 1:250,000 geological map sheets. The accuracy and consistency of sinkhole</w:t>
      </w:r>
      <w:r w:rsidRPr="00756EDD">
        <w:t xml:space="preserve"> </w:t>
      </w:r>
      <w:r>
        <w:t>identification on the different map sheets is unknown. More</w:t>
      </w:r>
      <w:r w:rsidDel="0085577D">
        <w:t xml:space="preserve"> </w:t>
      </w:r>
      <w:r>
        <w:t>karst-related features are evident than what is shown on this map, particularly in areas of CLA outcrop or where sequences overlying the CLA are thin.</w:t>
      </w:r>
      <w:r>
        <w:br/>
      </w:r>
      <w:r w:rsidR="00E93780" w:rsidRPr="0082374E">
        <w:t xml:space="preserve">Data: </w:t>
      </w:r>
      <w:r w:rsidR="001D4FED">
        <w:t>g</w:t>
      </w:r>
      <w:r w:rsidR="0082374E" w:rsidRPr="0082374E">
        <w:t>eological</w:t>
      </w:r>
      <w:r w:rsidR="0082374E">
        <w:t xml:space="preserve"> </w:t>
      </w:r>
      <w:r w:rsidR="001D4FED">
        <w:t>s</w:t>
      </w:r>
      <w:r w:rsidR="0082374E">
        <w:t>heets: L</w:t>
      </w:r>
      <w:r w:rsidR="00305F2B">
        <w:t>ARRIMAH</w:t>
      </w:r>
      <w:r w:rsidR="0082374E">
        <w:t xml:space="preserve"> </w:t>
      </w:r>
      <w:r w:rsidR="006B710B">
        <w:fldChar w:fldCharType="begin"/>
      </w:r>
      <w:r w:rsidR="00F76E0D">
        <w:instrText xml:space="preserve"> ADDIN EN.CITE &lt;EndNote&gt;&lt;Cite&gt;&lt;Author&gt;Randal&lt;/Author&gt;&lt;Year&gt;1969&lt;/Year&gt;&lt;RecNum&gt;742&lt;/RecNum&gt;&lt;DisplayText&gt;(Randal et al., 1969)&lt;/DisplayText&gt;&lt;record&gt;&lt;rec-number&gt;742&lt;/rec-number&gt;&lt;foreign-keys&gt;&lt;key app="EN" db-id="wdf9tzzdhw2saee559kv0vezt0wfsta0zedv" timestamp="1550544806"&gt;742&lt;/key&gt;&lt;/foreign-keys&gt;&lt;ref-type name="Map"&gt;20&lt;/ref-type&gt;&lt;contributors&gt;&lt;authors&gt;&lt;author&gt;Randal, M. A.&lt;/author&gt;&lt;author&gt;Brown, M. C.&lt;/author&gt;&lt;author&gt;Smith, K. G.&lt;/author&gt;&lt;author&gt;Perry, W. J.&lt;/author&gt;&lt;author&gt;Skwarko, S.K.&lt;/author&gt;&lt;/authors&gt;&lt;/contributors&gt;&lt;titles&gt;&lt;title&gt;Larrimah 1:250 000 Sheet SD 53-13&lt;/title&gt;&lt;secondary-title&gt;Geological Series First Edition&lt;/secondary-title&gt;&lt;/titles&gt;&lt;dates&gt;&lt;year&gt;1969&lt;/year&gt;&lt;/dates&gt;&lt;publisher&gt;Bureau of Minearl Resources, Geology and Geophysics&lt;/publisher&gt;&lt;urls&gt;&lt;/urls&gt;&lt;/record&gt;&lt;/Cite&gt;&lt;/EndNote&gt;</w:instrText>
      </w:r>
      <w:r w:rsidR="006B710B">
        <w:fldChar w:fldCharType="separate"/>
      </w:r>
      <w:r w:rsidR="006B710B">
        <w:rPr>
          <w:noProof/>
        </w:rPr>
        <w:t>(Randal et al., 1969)</w:t>
      </w:r>
      <w:r w:rsidR="006B710B">
        <w:fldChar w:fldCharType="end"/>
      </w:r>
      <w:r w:rsidR="0082374E">
        <w:t>; D</w:t>
      </w:r>
      <w:r w:rsidR="00305F2B">
        <w:t>ALY WATERS</w:t>
      </w:r>
      <w:r w:rsidR="0082374E">
        <w:t xml:space="preserve"> </w:t>
      </w:r>
      <w:r w:rsidR="006B710B">
        <w:fldChar w:fldCharType="begin"/>
      </w:r>
      <w:r w:rsidR="00F76E0D">
        <w:instrText xml:space="preserve"> ADDIN EN.CITE &lt;EndNote&gt;&lt;Cite&gt;&lt;Author&gt;Brown&lt;/Author&gt;&lt;Year&gt;1969&lt;/Year&gt;&lt;RecNum&gt;657&lt;/RecNum&gt;&lt;DisplayText&gt;(Brown and Randall, 1969)&lt;/DisplayText&gt;&lt;record&gt;&lt;rec-number&gt;657&lt;/rec-number&gt;&lt;foreign-keys&gt;&lt;key app="EN" db-id="wdf9tzzdhw2saee559kv0vezt0wfsta0zedv" timestamp="1545264366"&gt;657&lt;/key&gt;&lt;key app="ENWeb" db-id=""&gt;0&lt;/key&gt;&lt;/foreign-keys&gt;&lt;ref-type name="Report"&gt;27&lt;/ref-type&gt;&lt;contributors&gt;&lt;authors&gt;&lt;author&gt;Brown, M.C.&lt;/author&gt;&lt;author&gt;Randall, M.A.&lt;/author&gt;&lt;/authors&gt;&lt;tertiary-authors&gt;&lt;author&gt;Bureau of Mineral Resources, Geology and Geophysics&lt;/author&gt;&lt;/tertiary-authors&gt;&lt;/contributors&gt;&lt;titles&gt;&lt;title&gt;Explanatory Notes, 1:250 000 SE 53-06 Geological series-Explanatory Notes, Beetaloo, Northern Territory&lt;/title&gt;&lt;secondary-title&gt;1:250 000 geological map series and explanatory notes&lt;/secondary-title&gt;&lt;/titles&gt;&lt;keywords&gt;&lt;keyword&gt;Beetaloo Sub-basin&lt;/keyword&gt;&lt;/keywords&gt;&lt;dates&gt;&lt;year&gt;1969&lt;/year&gt;&lt;/dates&gt;&lt;pub-location&gt;Canberra&lt;/pub-location&gt;&lt;urls&gt;&lt;related-urls&gt;&lt;url&gt;&lt;style face="underline" font="default" size="100%"&gt;https://geoscience.nt.gov.au/gemis/ntgsjspui/handle/1/81756&lt;/style&gt;&lt;/url&gt;&lt;/related-urls&gt;&lt;/urls&gt;&lt;access-date&gt;20 March 2020&lt;/access-date&gt;&lt;/record&gt;&lt;/Cite&gt;&lt;/EndNote&gt;</w:instrText>
      </w:r>
      <w:r w:rsidR="006B710B">
        <w:fldChar w:fldCharType="separate"/>
      </w:r>
      <w:r w:rsidR="006B710B">
        <w:rPr>
          <w:noProof/>
        </w:rPr>
        <w:t>(Brown and Randall, 1969)</w:t>
      </w:r>
      <w:r w:rsidR="006B710B">
        <w:fldChar w:fldCharType="end"/>
      </w:r>
      <w:r>
        <w:br/>
      </w:r>
      <w:r w:rsidR="00E93780">
        <w:t>Element: GBA-BEE-2-126</w:t>
      </w:r>
    </w:p>
    <w:p w14:paraId="6EB8D27F" w14:textId="4C7C8B68" w:rsidR="006C4989" w:rsidRDefault="006C4989" w:rsidP="00594673">
      <w:pPr>
        <w:pStyle w:val="Heading4"/>
      </w:pPr>
      <w:bookmarkStart w:id="336" w:name="_Ref5188053"/>
      <w:r>
        <w:t>Carpentaria Basin</w:t>
      </w:r>
      <w:bookmarkEnd w:id="336"/>
    </w:p>
    <w:p w14:paraId="5DF8C618" w14:textId="23898656" w:rsidR="002F4975" w:rsidRDefault="002F4975" w:rsidP="002F4975">
      <w:pPr>
        <w:pStyle w:val="BodyText"/>
      </w:pPr>
      <w:r>
        <w:t xml:space="preserve">The Carpentaria Basin covers much of Beetaloo GBA region. Structure contours </w:t>
      </w:r>
      <w:r w:rsidR="00DE4F5D" w:rsidRPr="3F29E405">
        <w:t>(</w:t>
      </w:r>
      <w:r w:rsidR="00DE4F5D">
        <w:fldChar w:fldCharType="begin"/>
      </w:r>
      <w:r w:rsidR="00DE4F5D">
        <w:instrText xml:space="preserve"> REF _Ref4066147 \h </w:instrText>
      </w:r>
      <w:r w:rsidR="00DE4F5D">
        <w:fldChar w:fldCharType="separate"/>
      </w:r>
      <w:r w:rsidR="00B177F5">
        <w:t xml:space="preserve">Figure </w:t>
      </w:r>
      <w:r w:rsidR="00B177F5">
        <w:rPr>
          <w:noProof/>
        </w:rPr>
        <w:t>10</w:t>
      </w:r>
      <w:r w:rsidR="00DE4F5D">
        <w:fldChar w:fldCharType="end"/>
      </w:r>
      <w:r w:rsidR="00DE4F5D">
        <w:t xml:space="preserve">), derived from </w:t>
      </w:r>
      <w:r w:rsidR="00A541ED">
        <w:fldChar w:fldCharType="begin"/>
      </w:r>
      <w:r w:rsidR="00F76E0D">
        <w:instrText xml:space="preserve"> ADDIN EN.CITE &lt;EndNote&gt;&lt;Cite AuthorYear="1"&gt;&lt;Author&gt;Randal&lt;/Author&gt;&lt;Year&gt;1973&lt;/Year&gt;&lt;RecNum&gt;1271&lt;/RecNum&gt;&lt;DisplayText&gt;Randal (1973)&lt;/DisplayText&gt;&lt;record&gt;&lt;rec-number&gt;1271&lt;/rec-number&gt;&lt;foreign-keys&gt;&lt;key app="EN" db-id="wdf9tzzdhw2saee559kv0vezt0wfsta0zedv" timestamp="1569370340"&gt;1271&lt;/key&gt;&lt;/foreign-keys&gt;&lt;ref-type name="Report"&gt;27&lt;/ref-type&gt;&lt;contributors&gt;&lt;authors&gt;&lt;author&gt;Randal, M. A.&lt;/author&gt;&lt;/authors&gt;&lt;tertiary-authors&gt;&lt;author&gt;Bureau of Mineral Resources, Geology and Geophysics, &lt;/author&gt;&lt;/tertiary-authors&gt;&lt;subsidiary-authors&gt;&lt;author&gt;Bureau of Mineral Resources, Geology and Geophysics, &lt;/author&gt;&lt;/subsidiary-authors&gt;&lt;/contributors&gt;&lt;titles&gt;&lt;title&gt;Groundwater in the Northern Wiso Basin and environs, Northern Territory&lt;/title&gt;&lt;/titles&gt;&lt;dates&gt;&lt;year&gt;1973&lt;/year&gt;&lt;/dates&gt;&lt;pub-location&gt;Canberra&lt;/pub-location&gt;&lt;publisher&gt;Bureau of Mineral Resources&lt;/publisher&gt;&lt;urls&gt;&lt;related-urls&gt;&lt;url&gt;http://www.ga.gov.au/metadata-gateway/metadata/record/100/&lt;/url&gt;&lt;/related-urls&gt;&lt;/urls&gt;&lt;access-date&gt;25 October 2019&lt;/access-date&gt;&lt;/record&gt;&lt;/Cite&gt;&lt;/EndNote&gt;</w:instrText>
      </w:r>
      <w:r w:rsidR="00A541ED">
        <w:fldChar w:fldCharType="separate"/>
      </w:r>
      <w:r w:rsidR="00E02D87">
        <w:rPr>
          <w:noProof/>
        </w:rPr>
        <w:t>Randal (1973)</w:t>
      </w:r>
      <w:r w:rsidR="00A541ED">
        <w:fldChar w:fldCharType="end"/>
      </w:r>
      <w:r>
        <w:t xml:space="preserve"> indicate that </w:t>
      </w:r>
      <w:r w:rsidR="00982488">
        <w:t>that</w:t>
      </w:r>
      <w:r w:rsidRPr="3F29E405">
        <w:t xml:space="preserve"> </w:t>
      </w:r>
      <w:r>
        <w:t>depocentres</w:t>
      </w:r>
      <w:r w:rsidRPr="3F29E405">
        <w:t xml:space="preserve"> </w:t>
      </w:r>
      <w:r w:rsidR="00982488">
        <w:t xml:space="preserve">exist </w:t>
      </w:r>
      <w:r>
        <w:t xml:space="preserve">either side of the </w:t>
      </w:r>
      <w:r w:rsidR="009854DD">
        <w:t>Daly Waters High</w:t>
      </w:r>
      <w:r>
        <w:t xml:space="preserve">. </w:t>
      </w:r>
      <w:r w:rsidR="00E8047F">
        <w:t>The</w:t>
      </w:r>
      <w:r>
        <w:t xml:space="preserve"> </w:t>
      </w:r>
      <w:r w:rsidR="00DE4F5D">
        <w:t>eastern</w:t>
      </w:r>
      <w:r>
        <w:t xml:space="preserve"> depo</w:t>
      </w:r>
      <w:r w:rsidR="00E872E9">
        <w:t>centre</w:t>
      </w:r>
      <w:r w:rsidR="00E8047F">
        <w:t xml:space="preserve"> for</w:t>
      </w:r>
      <w:r>
        <w:t xml:space="preserve"> the Carpentaria Basin sequence </w:t>
      </w:r>
      <w:r w:rsidR="00E8047F">
        <w:t>occurs in the eastern Beetaloo GBA region over</w:t>
      </w:r>
      <w:r w:rsidR="00A30C12">
        <w:t>lying</w:t>
      </w:r>
      <w:r w:rsidR="00E8047F">
        <w:t xml:space="preserve"> the Georgina Basin. Here it can be up to around 132</w:t>
      </w:r>
      <w:r w:rsidR="001D4FED">
        <w:t xml:space="preserve"> </w:t>
      </w:r>
      <w:r w:rsidR="00E8047F">
        <w:t xml:space="preserve">m thick. The </w:t>
      </w:r>
      <w:r w:rsidR="001D4FED">
        <w:t>w</w:t>
      </w:r>
      <w:r w:rsidR="00E8047F">
        <w:t>estern depo</w:t>
      </w:r>
      <w:r w:rsidR="00E872E9">
        <w:t>centre</w:t>
      </w:r>
      <w:r w:rsidR="00E8047F">
        <w:t xml:space="preserve"> is situated outside the Beetaloo GBA region, to the north-west of Newcastle Waters </w:t>
      </w:r>
      <w:r w:rsidR="00E8047F" w:rsidRPr="3F29E405">
        <w:t>(</w:t>
      </w:r>
      <w:r w:rsidR="00E8047F">
        <w:fldChar w:fldCharType="begin"/>
      </w:r>
      <w:r w:rsidR="00E8047F">
        <w:instrText xml:space="preserve"> REF _Ref4066147 \h </w:instrText>
      </w:r>
      <w:r w:rsidR="00E8047F">
        <w:fldChar w:fldCharType="separate"/>
      </w:r>
      <w:r w:rsidR="00B177F5">
        <w:t xml:space="preserve">Figure </w:t>
      </w:r>
      <w:r w:rsidR="00B177F5">
        <w:rPr>
          <w:noProof/>
        </w:rPr>
        <w:t>10</w:t>
      </w:r>
      <w:r w:rsidR="00E8047F">
        <w:fldChar w:fldCharType="end"/>
      </w:r>
      <w:r w:rsidR="00E8047F">
        <w:t>b).</w:t>
      </w:r>
      <w:r w:rsidR="00A47209">
        <w:t xml:space="preserve"> </w:t>
      </w:r>
      <w:r w:rsidR="006F4E9F">
        <w:t xml:space="preserve">Except for some isolated </w:t>
      </w:r>
      <w:r w:rsidR="00A041B9">
        <w:t>pockets,</w:t>
      </w:r>
      <w:r w:rsidR="00237609">
        <w:t xml:space="preserve"> over much the Daly </w:t>
      </w:r>
      <w:r w:rsidR="00A041B9">
        <w:t xml:space="preserve">Basin </w:t>
      </w:r>
      <w:r w:rsidR="00237609">
        <w:t xml:space="preserve">the Cretaceous sequence </w:t>
      </w:r>
      <w:r w:rsidR="006F4E9F">
        <w:t xml:space="preserve">is less than </w:t>
      </w:r>
      <w:r w:rsidR="00B473E6">
        <w:t>45</w:t>
      </w:r>
      <w:r w:rsidR="00214520" w:rsidRPr="3F29E405">
        <w:t xml:space="preserve"> </w:t>
      </w:r>
      <w:r w:rsidR="006F4E9F">
        <w:t>m thick</w:t>
      </w:r>
      <w:r w:rsidR="00A041B9" w:rsidRPr="3F29E405">
        <w:t>.</w:t>
      </w:r>
      <w:r w:rsidR="00730CA8">
        <w:t xml:space="preserve"> It should be noted that that the </w:t>
      </w:r>
      <w:r w:rsidR="00E713E9">
        <w:t>thicknesses</w:t>
      </w:r>
      <w:r w:rsidR="00E8047F">
        <w:t xml:space="preserve"> and depths </w:t>
      </w:r>
      <w:r w:rsidR="00637693">
        <w:t xml:space="preserve">for the Carpentaria Basin, as outlined on </w:t>
      </w:r>
      <w:r w:rsidR="00E8047F">
        <w:fldChar w:fldCharType="begin"/>
      </w:r>
      <w:r w:rsidR="00E8047F">
        <w:instrText xml:space="preserve"> REF _Ref4066147 \h </w:instrText>
      </w:r>
      <w:r w:rsidR="00E8047F">
        <w:fldChar w:fldCharType="separate"/>
      </w:r>
      <w:r w:rsidR="00B177F5">
        <w:t xml:space="preserve">Figure </w:t>
      </w:r>
      <w:r w:rsidR="00B177F5">
        <w:rPr>
          <w:noProof/>
        </w:rPr>
        <w:t>10</w:t>
      </w:r>
      <w:r w:rsidR="00E8047F">
        <w:fldChar w:fldCharType="end"/>
      </w:r>
      <w:r w:rsidR="00E713E9">
        <w:t>,</w:t>
      </w:r>
      <w:r w:rsidR="00637693">
        <w:t xml:space="preserve"> need to be revised with more recent data. Further work to refine the thickness of the Carpentaria Basin</w:t>
      </w:r>
      <w:r w:rsidR="00305F2B">
        <w:t>,</w:t>
      </w:r>
      <w:r w:rsidR="00637693">
        <w:t xml:space="preserve"> and its influence on recharge pathways and processes</w:t>
      </w:r>
      <w:r w:rsidR="001D4FED">
        <w:t>,</w:t>
      </w:r>
      <w:r w:rsidR="00637693">
        <w:t xml:space="preserve"> will be undertaken in Stage 3.</w:t>
      </w:r>
    </w:p>
    <w:p w14:paraId="26421AB6" w14:textId="1AB4B48E" w:rsidR="002F4975" w:rsidRDefault="40810253" w:rsidP="40810253">
      <w:pPr>
        <w:pStyle w:val="BodyText"/>
      </w:pPr>
      <w:r>
        <w:t xml:space="preserve">The regional Carpentaria Basin sequence (until recently known as the Mullaman beds but now called the Walker River Formation) </w:t>
      </w:r>
      <w:r w:rsidR="00E8047F">
        <w:t>is</w:t>
      </w:r>
      <w:r>
        <w:t xml:space="preserve"> divided into three informal units (units A, B </w:t>
      </w:r>
      <w:r w:rsidR="001D4FED">
        <w:t>and</w:t>
      </w:r>
      <w:r>
        <w:t xml:space="preserve"> C</w:t>
      </w:r>
      <w:r w:rsidR="001D4FED">
        <w:t>;</w:t>
      </w:r>
      <w:r>
        <w:t xml:space="preserve"> </w:t>
      </w:r>
      <w:r w:rsidR="00A541ED">
        <w:fldChar w:fldCharType="begin"/>
      </w:r>
      <w:r w:rsidR="00F76E0D">
        <w:instrText xml:space="preserve"> ADDIN EN.CITE &lt;EndNote&gt;&lt;Cite AuthorYear="1"&gt;&lt;Author&gt;Ahmed&lt;/Author&gt;&lt;Year&gt;2013&lt;/Year&gt;&lt;RecNum&gt;746&lt;/RecNum&gt;&lt;DisplayText&gt;Ahmed and Munson (2013)&lt;/DisplayText&gt;&lt;record&gt;&lt;rec-number&gt;746&lt;/rec-number&gt;&lt;foreign-keys&gt;&lt;key app="EN" db-id="wdf9tzzdhw2saee559kv0vezt0wfsta0zedv" timestamp="1550544858"&gt;746&lt;/key&gt;&lt;/foreign-keys&gt;&lt;ref-type name="Book"&gt;6&lt;/ref-type&gt;&lt;contributors&gt;&lt;authors&gt;&lt;author&gt;Ahmed, M.&lt;/author&gt;&lt;author&gt;Munson, T. J.&lt;/author&gt;&lt;/authors&gt;&lt;/contributors&gt;&lt;titles&gt;&lt;title&gt;Geology and mineral resources of the Northern Territory&lt;/title&gt;&lt;/titles&gt;&lt;dates&gt;&lt;year&gt;2013&lt;/year&gt;&lt;/dates&gt;&lt;publisher&gt;Northern Territory Geological Survey&lt;/publisher&gt;&lt;urls&gt;&lt;/urls&gt;&lt;/record&gt;&lt;/Cite&gt;&lt;/EndNote&gt;</w:instrText>
      </w:r>
      <w:r w:rsidR="00A541ED">
        <w:fldChar w:fldCharType="separate"/>
      </w:r>
      <w:r w:rsidR="00A541ED">
        <w:rPr>
          <w:noProof/>
        </w:rPr>
        <w:t>Ahmed and Munson (2013)</w:t>
      </w:r>
      <w:r w:rsidR="00A541ED">
        <w:fldChar w:fldCharType="end"/>
      </w:r>
      <w:r w:rsidR="00B05547">
        <w:t>)</w:t>
      </w:r>
      <w:r>
        <w:t xml:space="preserve">. The distribution of </w:t>
      </w:r>
      <w:r w:rsidR="00305F2B">
        <w:t xml:space="preserve">the </w:t>
      </w:r>
      <w:r>
        <w:t>three units has not be</w:t>
      </w:r>
      <w:r w:rsidR="00CF3593">
        <w:t>en</w:t>
      </w:r>
      <w:r w:rsidR="00E8047F">
        <w:t xml:space="preserve"> clearly mapped</w:t>
      </w:r>
      <w:r>
        <w:t xml:space="preserve"> </w:t>
      </w:r>
      <w:r w:rsidR="00A541ED">
        <w:fldChar w:fldCharType="begin"/>
      </w:r>
      <w:r w:rsidR="005D0C32">
        <w:instrText xml:space="preserve"> ADDIN EN.CITE &lt;EndNote&gt;&lt;Cite&gt;&lt;Author&gt;Munson&lt;/Author&gt;&lt;Year&gt;2013&lt;/Year&gt;&lt;RecNum&gt;815&lt;/RecNum&gt;&lt;DisplayText&gt;(Munson et al., 2013b)&lt;/DisplayText&gt;&lt;record&gt;&lt;rec-number&gt;815&lt;/rec-number&gt;&lt;foreign-keys&gt;&lt;key app="EN" db-id="wdf9tzzdhw2saee559kv0vezt0wfsta0zedv" timestamp="1552633487"&gt;815&lt;/key&gt;&lt;key app="ENWeb" db-id=""&gt;0&lt;/key&gt;&lt;/foreign-keys&gt;&lt;ref-type name="Book Section"&gt;5&lt;/ref-type&gt;&lt;contributors&gt;&lt;authors&gt;&lt;author&gt;Munson, T.J.&lt;/author&gt;&lt;author&gt;Ahmad, M&lt;/author&gt;&lt;author&gt;Dunster, J. N.&lt;/author&gt;&lt;/authors&gt;&lt;/contributors&gt;&lt;titles&gt;&lt;title&gt;Chapter 39: Carpentaria Basin: in Ahmad M and Munson TJ (eds). Geology and mineral resources of the Northern Territory. Northern Territory Geological Survey, Special Publication 5.&lt;/title&gt;&lt;secondary-title&gt;Geology and Mineral Resources of the Northern Territory&lt;/secondary-title&gt;&lt;/titles&gt;&lt;pages&gt;18&lt;/pages&gt;&lt;section&gt;39&lt;/section&gt;&lt;dates&gt;&lt;year&gt;2013&lt;/year&gt;&lt;/dates&gt;&lt;pub-location&gt;Darwin&lt;/pub-location&gt;&lt;publisher&gt;Northern Territory Geological Survey&lt;/publisher&gt;&lt;isbn&gt;978-0-7245-7257-1&lt;/isbn&gt;&lt;urls&gt;&lt;related-urls&gt;&lt;url&gt;https://geoscience.nt.gov.au/gemis/ntgsjspui/handle/1/81446&lt;/url&gt;&lt;/related-urls&gt;&lt;/urls&gt;&lt;/record&gt;&lt;/Cite&gt;&lt;/EndNote&gt;</w:instrText>
      </w:r>
      <w:r w:rsidR="00A541ED">
        <w:fldChar w:fldCharType="separate"/>
      </w:r>
      <w:r w:rsidR="005D0C32">
        <w:rPr>
          <w:noProof/>
        </w:rPr>
        <w:t>(Munson et al., 2013b)</w:t>
      </w:r>
      <w:r w:rsidR="00A541ED">
        <w:fldChar w:fldCharType="end"/>
      </w:r>
      <w:r>
        <w:t xml:space="preserve">. </w:t>
      </w:r>
      <w:r w:rsidR="00E8047F">
        <w:t xml:space="preserve">Units B and C </w:t>
      </w:r>
      <w:r w:rsidR="006E28C7">
        <w:t xml:space="preserve">predominantly consist of a </w:t>
      </w:r>
      <w:r w:rsidR="00E713E9">
        <w:t>sequence</w:t>
      </w:r>
      <w:r w:rsidR="006E28C7">
        <w:t xml:space="preserve"> of siltstone and claystone, and where th</w:t>
      </w:r>
      <w:r w:rsidR="00E8047F">
        <w:t>e</w:t>
      </w:r>
      <w:r w:rsidR="006E28C7">
        <w:t xml:space="preserve"> Carpentaria Basin thickens, </w:t>
      </w:r>
      <w:r w:rsidR="001D4FED">
        <w:t>are</w:t>
      </w:r>
      <w:r w:rsidR="006E28C7">
        <w:t xml:space="preserve"> likely to </w:t>
      </w:r>
      <w:r w:rsidR="00305F2B">
        <w:t xml:space="preserve">form </w:t>
      </w:r>
      <w:r w:rsidR="006E28C7">
        <w:t xml:space="preserve">much of the sequence. </w:t>
      </w:r>
      <w:r>
        <w:t xml:space="preserve">Unit A is of variable thickness, usually in the order of 3 to 25 m, with </w:t>
      </w:r>
      <w:r w:rsidR="0085577D">
        <w:t xml:space="preserve">a </w:t>
      </w:r>
      <w:r w:rsidR="00E8047F">
        <w:t xml:space="preserve">maximum </w:t>
      </w:r>
      <w:r>
        <w:t>thickness of 37</w:t>
      </w:r>
      <w:r w:rsidR="00214520">
        <w:t xml:space="preserve"> </w:t>
      </w:r>
      <w:r>
        <w:t xml:space="preserve">m. In areas of thin Cretaceous </w:t>
      </w:r>
      <w:r w:rsidR="00202D20">
        <w:t xml:space="preserve">cover, sinkholes </w:t>
      </w:r>
      <w:r w:rsidR="00305F2B">
        <w:t xml:space="preserve">that have </w:t>
      </w:r>
      <w:r w:rsidR="00202D20">
        <w:t>developed in the</w:t>
      </w:r>
      <w:r>
        <w:t xml:space="preserve"> underlying limestone are evident at </w:t>
      </w:r>
      <w:r w:rsidR="0085577D">
        <w:t xml:space="preserve">the </w:t>
      </w:r>
      <w:r>
        <w:t>surface (see</w:t>
      </w:r>
      <w:r w:rsidR="00D45CBE">
        <w:t xml:space="preserve"> </w:t>
      </w:r>
      <w:r w:rsidR="00D45CBE">
        <w:fldChar w:fldCharType="begin"/>
      </w:r>
      <w:r w:rsidR="00D45CBE">
        <w:instrText xml:space="preserve"> REF _Ref5201649 \h </w:instrText>
      </w:r>
      <w:r w:rsidR="00D45CBE">
        <w:fldChar w:fldCharType="separate"/>
      </w:r>
      <w:r w:rsidR="00B177F5">
        <w:t xml:space="preserve">Figure </w:t>
      </w:r>
      <w:r w:rsidR="00B177F5">
        <w:rPr>
          <w:noProof/>
        </w:rPr>
        <w:t>9</w:t>
      </w:r>
      <w:r w:rsidR="00D45CBE">
        <w:fldChar w:fldCharType="end"/>
      </w:r>
      <w:r>
        <w:t>)</w:t>
      </w:r>
      <w:r w:rsidR="0085577D">
        <w:t>.</w:t>
      </w:r>
    </w:p>
    <w:p w14:paraId="1199B0CF" w14:textId="465BC482" w:rsidR="00EB21B1" w:rsidRDefault="40810253" w:rsidP="40810253">
      <w:pPr>
        <w:pStyle w:val="BodyText"/>
      </w:pPr>
      <w:r>
        <w:t xml:space="preserve">Around Mataranka and </w:t>
      </w:r>
      <w:r w:rsidR="00305F2B">
        <w:t xml:space="preserve">the </w:t>
      </w:r>
      <w:r>
        <w:t xml:space="preserve">Roper River area, Carpentaria Basin sequence has been deformed into an open syncline </w:t>
      </w:r>
      <w:r w:rsidR="00A541ED">
        <w:fldChar w:fldCharType="begin"/>
      </w:r>
      <w:r w:rsidR="00F76E0D">
        <w:instrText xml:space="preserve"> ADDIN EN.CITE &lt;EndNote&gt;&lt;Cite&gt;&lt;Author&gt;Karp&lt;/Author&gt;&lt;Year&gt;2008&lt;/Year&gt;&lt;RecNum&gt;911&lt;/RecNum&gt;&lt;DisplayText&gt;(Karp, 2008)&lt;/DisplayText&gt;&lt;record&gt;&lt;rec-number&gt;911&lt;/rec-number&gt;&lt;foreign-keys&gt;&lt;key app="EN" db-id="wdf9tzzdhw2saee559kv0vezt0wfsta0zedv" timestamp="1555975788"&gt;911&lt;/key&gt;&lt;/foreign-keys&gt;&lt;ref-type name="Report"&gt;27&lt;/ref-type&gt;&lt;contributors&gt;&lt;authors&gt;&lt;author&gt;Karp, D.&lt;/author&gt;&lt;/authors&gt;&lt;/contributors&gt;&lt;titles&gt;&lt;title&gt;Surface and groundwater interaction the Mataranka area&lt;/title&gt;&lt;/titles&gt;&lt;pages&gt;69&lt;/pages&gt;&lt;number&gt;17/2008D&lt;/number&gt;&lt;dates&gt;&lt;year&gt;2008&lt;/year&gt;&lt;/dates&gt;&lt;publisher&gt;Department of Natural Resources, Environment, the Arts and Sport (NT)&lt;/publisher&gt;&lt;urls&gt;&lt;/urls&gt;&lt;/record&gt;&lt;/Cite&gt;&lt;/EndNote&gt;</w:instrText>
      </w:r>
      <w:r w:rsidR="00A541ED">
        <w:fldChar w:fldCharType="separate"/>
      </w:r>
      <w:r w:rsidR="00A541ED">
        <w:rPr>
          <w:noProof/>
        </w:rPr>
        <w:t>(Karp, 2008)</w:t>
      </w:r>
      <w:r w:rsidR="00A541ED">
        <w:fldChar w:fldCharType="end"/>
      </w:r>
      <w:r w:rsidR="00E125D6">
        <w:t>,</w:t>
      </w:r>
      <w:r>
        <w:t xml:space="preserve"> and the Roper River in part flows eastwards </w:t>
      </w:r>
      <w:r w:rsidR="004F12E0">
        <w:t>along the axis of the fold</w:t>
      </w:r>
      <w:r>
        <w:t>.</w:t>
      </w:r>
      <w:r w:rsidR="00D45CBE">
        <w:t xml:space="preserve"> As outlined on </w:t>
      </w:r>
      <w:r w:rsidR="00D45CBE">
        <w:fldChar w:fldCharType="begin"/>
      </w:r>
      <w:r w:rsidR="00D45CBE">
        <w:instrText xml:space="preserve"> REF _Ref5201649 \h </w:instrText>
      </w:r>
      <w:r w:rsidR="00D45CBE">
        <w:fldChar w:fldCharType="separate"/>
      </w:r>
      <w:r w:rsidR="00B177F5">
        <w:t xml:space="preserve">Figure </w:t>
      </w:r>
      <w:r w:rsidR="00B177F5">
        <w:rPr>
          <w:noProof/>
        </w:rPr>
        <w:t>9</w:t>
      </w:r>
      <w:r w:rsidR="00D45CBE">
        <w:fldChar w:fldCharType="end"/>
      </w:r>
      <w:r w:rsidR="00B05C7F">
        <w:t xml:space="preserve">, </w:t>
      </w:r>
      <w:r w:rsidR="00305F2B">
        <w:t>north</w:t>
      </w:r>
      <w:r w:rsidR="001D4FED">
        <w:t>-</w:t>
      </w:r>
      <w:r w:rsidR="00305F2B">
        <w:t xml:space="preserve">east trending lineaments with a similar orientation to some of the major drainage lines that have cut back into the plateau </w:t>
      </w:r>
      <w:r w:rsidR="00D45CBE">
        <w:t xml:space="preserve">have been mapped at </w:t>
      </w:r>
      <w:r w:rsidR="0085577D">
        <w:t xml:space="preserve">the </w:t>
      </w:r>
      <w:r w:rsidR="00D45CBE">
        <w:t>surface</w:t>
      </w:r>
      <w:r w:rsidR="00B05C7F">
        <w:t xml:space="preserve">. </w:t>
      </w:r>
    </w:p>
    <w:p w14:paraId="076766C8" w14:textId="39477D98" w:rsidR="001F7071" w:rsidRDefault="007A35B8" w:rsidP="003E1F1E">
      <w:pPr>
        <w:pStyle w:val="Figures"/>
      </w:pPr>
      <w:r>
        <w:rPr>
          <w:noProof/>
        </w:rPr>
        <w:drawing>
          <wp:inline distT="0" distB="0" distL="0" distR="0" wp14:anchorId="388DA831" wp14:editId="1C010FC9">
            <wp:extent cx="6095998" cy="4257675"/>
            <wp:effectExtent l="0" t="0" r="0" b="9525"/>
            <wp:docPr id="1387351286" name="Picture 20" descr="T:\proj\ba2\Stage2\3_Beetaloo\MapsAndFigures\Figures\GBA-BEE-2-182_base_Cretaceous_depth_thickn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67">
                      <a:extLst>
                        <a:ext uri="{28A0092B-C50C-407E-A947-70E740481C1C}">
                          <a14:useLocalDpi xmlns:a14="http://schemas.microsoft.com/office/drawing/2010/main" val="0"/>
                        </a:ext>
                      </a:extLst>
                    </a:blip>
                    <a:stretch>
                      <a:fillRect/>
                    </a:stretch>
                  </pic:blipFill>
                  <pic:spPr>
                    <a:xfrm>
                      <a:off x="0" y="0"/>
                      <a:ext cx="6095998" cy="4257675"/>
                    </a:xfrm>
                    <a:prstGeom prst="rect">
                      <a:avLst/>
                    </a:prstGeom>
                  </pic:spPr>
                </pic:pic>
              </a:graphicData>
            </a:graphic>
          </wp:inline>
        </w:drawing>
      </w:r>
    </w:p>
    <w:p w14:paraId="1AEF5009" w14:textId="6DEAFFD2" w:rsidR="000A1AF9" w:rsidRPr="00AF74C4" w:rsidRDefault="000A1AF9" w:rsidP="00827E8A">
      <w:pPr>
        <w:pStyle w:val="Caption"/>
      </w:pPr>
      <w:bookmarkStart w:id="337" w:name="_Ref4066147"/>
      <w:bookmarkStart w:id="338" w:name="_Toc4072435"/>
      <w:bookmarkStart w:id="339" w:name="_Toc4670947"/>
      <w:bookmarkStart w:id="340" w:name="_Toc4754367"/>
      <w:bookmarkStart w:id="341" w:name="_Toc5020752"/>
      <w:bookmarkStart w:id="342" w:name="_Toc5021559"/>
      <w:bookmarkStart w:id="343" w:name="_Toc5097085"/>
      <w:bookmarkStart w:id="344" w:name="_Toc5108477"/>
      <w:bookmarkStart w:id="345" w:name="_Toc5284142"/>
      <w:bookmarkStart w:id="346" w:name="_Toc5635356"/>
      <w:bookmarkStart w:id="347" w:name="_Toc5808315"/>
      <w:bookmarkStart w:id="348" w:name="_Toc5895007"/>
      <w:bookmarkStart w:id="349" w:name="_Toc6308896"/>
      <w:bookmarkStart w:id="350" w:name="_Toc6327561"/>
      <w:bookmarkStart w:id="351" w:name="_Toc38990464"/>
      <w:r>
        <w:t xml:space="preserve">Figure </w:t>
      </w:r>
      <w:r>
        <w:rPr>
          <w:noProof/>
        </w:rPr>
        <w:fldChar w:fldCharType="begin"/>
      </w:r>
      <w:r>
        <w:rPr>
          <w:noProof/>
        </w:rPr>
        <w:instrText xml:space="preserve"> SEQ Figure \* ARABIC </w:instrText>
      </w:r>
      <w:r>
        <w:rPr>
          <w:noProof/>
        </w:rPr>
        <w:fldChar w:fldCharType="separate"/>
      </w:r>
      <w:r w:rsidR="00B177F5">
        <w:rPr>
          <w:noProof/>
        </w:rPr>
        <w:t>10</w:t>
      </w:r>
      <w:r>
        <w:rPr>
          <w:noProof/>
        </w:rPr>
        <w:fldChar w:fldCharType="end"/>
      </w:r>
      <w:bookmarkEnd w:id="337"/>
      <w:r>
        <w:t xml:space="preserve"> </w:t>
      </w:r>
      <w:r w:rsidR="002E6955">
        <w:t>Carpentaria</w:t>
      </w:r>
      <w:r w:rsidR="00AA6647">
        <w:t xml:space="preserve"> Basin </w:t>
      </w:r>
      <w:r w:rsidR="001D4FED">
        <w:rPr>
          <w:rFonts w:cs="Calibri"/>
        </w:rPr>
        <w:t>–</w:t>
      </w:r>
      <w:r w:rsidR="00AA6647">
        <w:t xml:space="preserve"> </w:t>
      </w:r>
      <w:r w:rsidR="001D4FED">
        <w:t>e</w:t>
      </w:r>
      <w:r w:rsidR="00084E5A">
        <w:t xml:space="preserve">levation of </w:t>
      </w:r>
      <w:r w:rsidR="00A30C12">
        <w:t>bottom of Carpentaria Basin</w:t>
      </w:r>
      <w:r w:rsidR="00AA6647">
        <w:t xml:space="preserve"> </w:t>
      </w:r>
      <w:r w:rsidR="00084E5A">
        <w:t>and</w:t>
      </w:r>
      <w:r w:rsidR="00AA6647">
        <w:t xml:space="preserve"> vertical thickness</w:t>
      </w:r>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p>
    <w:p w14:paraId="00704E43" w14:textId="31898A77" w:rsidR="008B0868" w:rsidRPr="008B0868" w:rsidRDefault="008A530E" w:rsidP="008B0868">
      <w:pPr>
        <w:pStyle w:val="SourceornoteforTableorFigure"/>
      </w:pPr>
      <w:r>
        <w:rPr>
          <w:noProof/>
        </w:rPr>
        <w:t>Contour interval</w:t>
      </w:r>
      <w:r w:rsidRPr="00F96BC3">
        <w:rPr>
          <w:noProof/>
        </w:rPr>
        <w:t xml:space="preserve"> </w:t>
      </w:r>
      <w:r>
        <w:rPr>
          <w:noProof/>
        </w:rPr>
        <w:t xml:space="preserve">(C.I.) </w:t>
      </w:r>
      <w:r w:rsidRPr="00F96BC3">
        <w:rPr>
          <w:noProof/>
        </w:rPr>
        <w:t xml:space="preserve">= </w:t>
      </w:r>
      <w:r>
        <w:rPr>
          <w:noProof/>
        </w:rPr>
        <w:t>25 m</w:t>
      </w:r>
      <w:r w:rsidR="002B2F58">
        <w:t xml:space="preserve">. Depth and thickness </w:t>
      </w:r>
      <w:r w:rsidR="00AA6647">
        <w:t xml:space="preserve">maps </w:t>
      </w:r>
      <w:r w:rsidR="002B2F58">
        <w:t xml:space="preserve">after </w:t>
      </w:r>
      <w:r w:rsidR="002B2F58">
        <w:rPr>
          <w:noProof/>
        </w:rPr>
        <w:fldChar w:fldCharType="begin"/>
      </w:r>
      <w:r w:rsidR="00F76E0D">
        <w:rPr>
          <w:noProof/>
        </w:rPr>
        <w:instrText xml:space="preserve"> ADDIN EN.CITE &lt;EndNote&gt;&lt;Cite AuthorYear="1"&gt;&lt;Author&gt;Randal&lt;/Author&gt;&lt;Year&gt;1973&lt;/Year&gt;&lt;RecNum&gt;1271&lt;/RecNum&gt;&lt;DisplayText&gt;Randal (1973)&lt;/DisplayText&gt;&lt;record&gt;&lt;rec-number&gt;1271&lt;/rec-number&gt;&lt;foreign-keys&gt;&lt;key app="EN" db-id="wdf9tzzdhw2saee559kv0vezt0wfsta0zedv" timestamp="1569370340"&gt;1271&lt;/key&gt;&lt;/foreign-keys&gt;&lt;ref-type name="Report"&gt;27&lt;/ref-type&gt;&lt;contributors&gt;&lt;authors&gt;&lt;author&gt;Randal, M. A.&lt;/author&gt;&lt;/authors&gt;&lt;tertiary-authors&gt;&lt;author&gt;Bureau of Mineral Resources, Geology and Geophysics, &lt;/author&gt;&lt;/tertiary-authors&gt;&lt;subsidiary-authors&gt;&lt;author&gt;Bureau of Mineral Resources, Geology and Geophysics, &lt;/author&gt;&lt;/subsidiary-authors&gt;&lt;/contributors&gt;&lt;titles&gt;&lt;title&gt;Groundwater in the Northern Wiso Basin and environs, Northern Territory&lt;/title&gt;&lt;/titles&gt;&lt;dates&gt;&lt;year&gt;1973&lt;/year&gt;&lt;/dates&gt;&lt;pub-location&gt;Canberra&lt;/pub-location&gt;&lt;publisher&gt;Bureau of Mineral Resources&lt;/publisher&gt;&lt;urls&gt;&lt;related-urls&gt;&lt;url&gt;http://www.ga.gov.au/metadata-gateway/metadata/record/100/&lt;/url&gt;&lt;/related-urls&gt;&lt;/urls&gt;&lt;access-date&gt;25 October 2019&lt;/access-date&gt;&lt;/record&gt;&lt;/Cite&gt;&lt;/EndNote&gt;</w:instrText>
      </w:r>
      <w:r w:rsidR="002B2F58">
        <w:rPr>
          <w:noProof/>
        </w:rPr>
        <w:fldChar w:fldCharType="separate"/>
      </w:r>
      <w:r w:rsidR="002B2F58">
        <w:rPr>
          <w:noProof/>
        </w:rPr>
        <w:t>Randal (1973)</w:t>
      </w:r>
      <w:r w:rsidR="002B2F58">
        <w:rPr>
          <w:noProof/>
        </w:rPr>
        <w:fldChar w:fldCharType="end"/>
      </w:r>
      <w:r w:rsidR="002B2F58">
        <w:rPr>
          <w:noProof/>
        </w:rPr>
        <w:t>.</w:t>
      </w:r>
      <w:r>
        <w:br/>
      </w:r>
      <w:r>
        <w:rPr>
          <w:noProof/>
        </w:rPr>
        <w:t xml:space="preserve">Source: </w:t>
      </w:r>
      <w:r w:rsidR="001D4FED">
        <w:rPr>
          <w:noProof/>
        </w:rPr>
        <w:t>d</w:t>
      </w:r>
      <w:r>
        <w:rPr>
          <w:noProof/>
        </w:rPr>
        <w:t xml:space="preserve">epth and thickness information </w:t>
      </w:r>
      <w:r>
        <w:rPr>
          <w:noProof/>
        </w:rPr>
        <w:fldChar w:fldCharType="begin"/>
      </w:r>
      <w:r w:rsidR="00F76E0D">
        <w:rPr>
          <w:noProof/>
        </w:rPr>
        <w:instrText xml:space="preserve"> ADDIN EN.CITE &lt;EndNote&gt;&lt;Cite&gt;&lt;Author&gt;Randal&lt;/Author&gt;&lt;Year&gt;1973&lt;/Year&gt;&lt;RecNum&gt;1271&lt;/RecNum&gt;&lt;DisplayText&gt;(Randal, 1973)&lt;/DisplayText&gt;&lt;record&gt;&lt;rec-number&gt;1271&lt;/rec-number&gt;&lt;foreign-keys&gt;&lt;key app="EN" db-id="wdf9tzzdhw2saee559kv0vezt0wfsta0zedv" timestamp="1569370340"&gt;1271&lt;/key&gt;&lt;/foreign-keys&gt;&lt;ref-type name="Report"&gt;27&lt;/ref-type&gt;&lt;contributors&gt;&lt;authors&gt;&lt;author&gt;Randal, M. A.&lt;/author&gt;&lt;/authors&gt;&lt;tertiary-authors&gt;&lt;author&gt;Bureau of Mineral Resources, Geology and Geophysics, &lt;/author&gt;&lt;/tertiary-authors&gt;&lt;subsidiary-authors&gt;&lt;author&gt;Bureau of Mineral Resources, Geology and Geophysics, &lt;/author&gt;&lt;/subsidiary-authors&gt;&lt;/contributors&gt;&lt;titles&gt;&lt;title&gt;Groundwater in the Northern Wiso Basin and environs, Northern Territory&lt;/title&gt;&lt;/titles&gt;&lt;dates&gt;&lt;year&gt;1973&lt;/year&gt;&lt;/dates&gt;&lt;pub-location&gt;Canberra&lt;/pub-location&gt;&lt;publisher&gt;Bureau of Mineral Resources&lt;/publisher&gt;&lt;urls&gt;&lt;related-urls&gt;&lt;url&gt;http://www.ga.gov.au/metadata-gateway/metadata/record/100/&lt;/url&gt;&lt;/related-urls&gt;&lt;/urls&gt;&lt;access-date&gt;25 October 2019&lt;/access-date&gt;&lt;/record&gt;&lt;/Cite&gt;&lt;/EndNote&gt;</w:instrText>
      </w:r>
      <w:r>
        <w:rPr>
          <w:noProof/>
        </w:rPr>
        <w:fldChar w:fldCharType="separate"/>
      </w:r>
      <w:r w:rsidR="00C56524">
        <w:rPr>
          <w:noProof/>
        </w:rPr>
        <w:t>(Randal, 1973)</w:t>
      </w:r>
      <w:r>
        <w:rPr>
          <w:noProof/>
        </w:rPr>
        <w:fldChar w:fldCharType="end"/>
      </w:r>
      <w:r w:rsidR="001D4FED">
        <w:rPr>
          <w:noProof/>
        </w:rPr>
        <w:t>;</w:t>
      </w:r>
      <w:r>
        <w:rPr>
          <w:noProof/>
        </w:rPr>
        <w:t xml:space="preserve"> extent</w:t>
      </w:r>
      <w:r w:rsidR="00C93827">
        <w:rPr>
          <w:noProof/>
        </w:rPr>
        <w:t xml:space="preserve"> </w:t>
      </w:r>
      <w:r w:rsidR="00C93827">
        <w:rPr>
          <w:noProof/>
        </w:rPr>
        <w:fldChar w:fldCharType="begin"/>
      </w:r>
      <w:r w:rsidR="00C93827">
        <w:rPr>
          <w:noProof/>
        </w:rPr>
        <w:instrText xml:space="preserve"> ADDIN EN.CITE &lt;EndNote&gt;&lt;Cite&gt;&lt;Author&gt;Department of Environment and Natural Resources (NT)&lt;/Author&gt;&lt;Year&gt;2020&lt;/Year&gt;&lt;RecNum&gt;1537&lt;/RecNum&gt;&lt;DisplayText&gt;(Department of Environment and Natural Resources (NT), 2020)&lt;/DisplayText&gt;&lt;record&gt;&lt;rec-number&gt;1537&lt;/rec-number&gt;&lt;foreign-keys&gt;&lt;key app="EN" db-id="wdf9tzzdhw2saee559kv0vezt0wfsta0zedv" timestamp="1587948243"&gt;1537&lt;/key&gt;&lt;/foreign-keys&gt;&lt;ref-type name="Dataset"&gt;59&lt;/ref-type&gt;&lt;contributors&gt;&lt;authors&gt;&lt;author&gt;Department of Environment and Natural Resources (NT),&lt;/author&gt;&lt;/authors&gt;&lt;secondary-authors&gt;&lt;author&gt;Geoscience Australia,&lt;/author&gt;&lt;/secondary-authors&gt;&lt;/contributors&gt;&lt;titles&gt;&lt;title&gt;Cretaceous extent in the Beetaloo GBA region&lt;/title&gt;&lt;/titles&gt;&lt;keywords&gt;&lt;keyword&gt;Geology&lt;/keyword&gt;&lt;/keywords&gt;&lt;dates&gt;&lt;year&gt;2020&lt;/year&gt;&lt;/dates&gt;&lt;pub-location&gt;Canberra&lt;/pub-location&gt;&lt;label&gt;D1AD3D5A-FA13-4F6C-AD1C-5BCDE9167F73&lt;/label&gt;&lt;urls&gt;&lt;related-urls&gt;&lt;url&gt;https://denr.nt.gov.au/&lt;/url&gt;&lt;/related-urls&gt;&lt;/urls&gt;&lt;custom2&gt;unit of observation&lt;/custom2&gt;&lt;custom3&gt;spatial&lt;/custom3&gt;&lt;custom4&gt;dataset&lt;/custom4&gt;&lt;access-date&gt;27 March 2020&lt;/access-date&gt;&lt;/record&gt;&lt;/Cite&gt;&lt;/EndNote&gt;</w:instrText>
      </w:r>
      <w:r w:rsidR="00C93827">
        <w:rPr>
          <w:noProof/>
        </w:rPr>
        <w:fldChar w:fldCharType="separate"/>
      </w:r>
      <w:r w:rsidR="00C93827">
        <w:rPr>
          <w:noProof/>
        </w:rPr>
        <w:t>(Department of Environment and Natural Resources (NT), 2020)</w:t>
      </w:r>
      <w:r w:rsidR="00C93827">
        <w:rPr>
          <w:noProof/>
        </w:rPr>
        <w:fldChar w:fldCharType="end"/>
      </w:r>
      <w:r>
        <w:rPr>
          <w:noProof/>
        </w:rPr>
        <w:t xml:space="preserve"> </w:t>
      </w:r>
      <w:r>
        <w:br/>
        <w:t xml:space="preserve">Data: </w:t>
      </w:r>
      <w:r>
        <w:rPr>
          <w:noProof/>
        </w:rPr>
        <w:t>Walker River Formation</w:t>
      </w:r>
      <w:r w:rsidRPr="00217BB7">
        <w:rPr>
          <w:noProof/>
        </w:rPr>
        <w:t xml:space="preserve"> </w:t>
      </w:r>
      <w:r>
        <w:rPr>
          <w:noProof/>
        </w:rPr>
        <w:t xml:space="preserve">base </w:t>
      </w:r>
      <w:r w:rsidRPr="009E369D">
        <w:t xml:space="preserve">depth </w:t>
      </w:r>
      <w:r>
        <w:t xml:space="preserve">and isochore </w:t>
      </w:r>
      <w:r w:rsidRPr="009E369D">
        <w:t>g</w:t>
      </w:r>
      <w:r w:rsidR="00EB21B1">
        <w:t xml:space="preserve">rids GBA derived dataset </w:t>
      </w:r>
      <w:r w:rsidR="00EB21B1">
        <w:fldChar w:fldCharType="begin"/>
      </w:r>
      <w:r w:rsidR="005D0C32">
        <w:instrText xml:space="preserve"> ADDIN EN.CITE &lt;EndNote&gt;&lt;Cite&gt;&lt;Author&gt;Geological and Bioregional Assessment Program&lt;/Author&gt;&lt;Year&gt;2019&lt;/Year&gt;&lt;RecNum&gt;1205&lt;/RecNum&gt;&lt;DisplayText&gt;(Geological and Bioregional Assessment Program, 2019a)&lt;/DisplayText&gt;&lt;record&gt;&lt;rec-number&gt;1205&lt;/rec-number&gt;&lt;foreign-keys&gt;&lt;key app="EN" db-id="wdf9tzzdhw2saee559kv0vezt0wfsta0zedv" timestamp="1564717374"&gt;1205&lt;/key&gt;&lt;/foreign-keys&gt;&lt;ref-type name="Dataset"&gt;59&lt;/ref-type&gt;&lt;contributors&gt;&lt;authors&gt;&lt;author&gt;Geological and Bioregional Assessment Program,&lt;/author&gt;&lt;/authors&gt;&lt;secondary-authors&gt;&lt;author&gt;CSIRO,&lt;/author&gt;&lt;/secondary-authors&gt;&lt;/contributors&gt;&lt;titles&gt;&lt;title&gt;Impact Modes and Effects Analysis: Shale gas, tight gas and shale oil Beetaloo Sub-basin&lt;/title&gt;&lt;/titles&gt;&lt;keywords&gt;&lt;keyword&gt;IMPACT ANALYSIS&lt;/keyword&gt;&lt;/keywords&gt;&lt;dates&gt;&lt;year&gt;2019&lt;/year&gt;&lt;/dates&gt;&lt;pub-location&gt;Canberra&lt;/pub-location&gt;&lt;label&gt;B7C9EE99-5A13-4312-89DA-794C082F8345&lt;/label&gt;&lt;urls&gt;&lt;related-urls&gt;&lt;url&gt;https://repo.bioregionalassessments.gov.au/metadata/B7C9EE99-5A13-4312-89DA-794C082F8345&lt;/url&gt;&lt;/related-urls&gt;&lt;/urls&gt;&lt;custom2&gt;unit of observation&lt;/custom2&gt;&lt;custom3&gt;tabular&lt;/custom3&gt;&lt;custom4&gt;dataset&lt;/custom4&gt;&lt;access-date&gt;05 April 2019&lt;/access-date&gt;&lt;/record&gt;&lt;/Cite&gt;&lt;/EndNote&gt;</w:instrText>
      </w:r>
      <w:r w:rsidR="00EB21B1">
        <w:fldChar w:fldCharType="separate"/>
      </w:r>
      <w:r w:rsidR="005D0C32">
        <w:rPr>
          <w:noProof/>
        </w:rPr>
        <w:t>(Geological and Bioregional Assessment Program, 2019a)</w:t>
      </w:r>
      <w:r w:rsidR="00EB21B1">
        <w:fldChar w:fldCharType="end"/>
      </w:r>
      <w:r>
        <w:br/>
      </w:r>
      <w:r>
        <w:rPr>
          <w:noProof/>
        </w:rPr>
        <w:t>Element: GBA-BEE-2-182</w:t>
      </w:r>
    </w:p>
    <w:p w14:paraId="151E49F7" w14:textId="33C9A429" w:rsidR="002935EE" w:rsidRDefault="002935EE" w:rsidP="00827E8A">
      <w:pPr>
        <w:pStyle w:val="Heading4"/>
      </w:pPr>
      <w:bookmarkStart w:id="352" w:name="_Ref5188055"/>
      <w:r>
        <w:t>Cenozoic</w:t>
      </w:r>
      <w:bookmarkEnd w:id="352"/>
    </w:p>
    <w:p w14:paraId="67D4A0EA" w14:textId="5EB30D24" w:rsidR="00D643F6" w:rsidRDefault="00D643F6" w:rsidP="00D643F6">
      <w:r>
        <w:t xml:space="preserve">Interspersed across the Beetaloo GBA region is a thin cover of Cenozoic sediments and regolith. The broad grassed plains that are </w:t>
      </w:r>
      <w:r w:rsidR="0085577D">
        <w:t xml:space="preserve">a </w:t>
      </w:r>
      <w:r>
        <w:t xml:space="preserve">feature of parts of the tablelands include Quaternary black soil plains, alluvial and colluvial deposits, sand plains and minor freshwater limestone (Golliger beds). </w:t>
      </w:r>
    </w:p>
    <w:p w14:paraId="55952689" w14:textId="716C4273" w:rsidR="00D643F6" w:rsidRDefault="00D643F6" w:rsidP="00D643F6">
      <w:r>
        <w:t>Lateritic regolith developed during the Cenozoic on the top of the Cretaceous sequence, compris</w:t>
      </w:r>
      <w:r w:rsidR="001D4FED">
        <w:t>es</w:t>
      </w:r>
      <w:r>
        <w:t xml:space="preserve"> a massive and permeable ferrugunised and pisolitic upper section, and a strongly kaolinised impermeable lower section. Laterite profiles of up to 24 m thickness have been recorded in water bores in the west of the </w:t>
      </w:r>
      <w:r w:rsidR="00A30C12">
        <w:t xml:space="preserve">Beetaloo GBA </w:t>
      </w:r>
      <w:r>
        <w:t>region.</w:t>
      </w:r>
    </w:p>
    <w:p w14:paraId="55F42D96" w14:textId="524CC657" w:rsidR="00D643F6" w:rsidRDefault="00D643F6" w:rsidP="00D643F6">
      <w:r>
        <w:t>The Golliger beds are Miocene freshwater limestone of up to 3 m thickness, with very limited exposure near the eastern boundary of the Beetaloo GBA region.</w:t>
      </w:r>
      <w:r w:rsidR="00C20E3D">
        <w:t xml:space="preserve"> Freshwater limestone (tufa) deposits deposited by spring discharge from the CLA occur outside the Beetaloo GBA region at areas such as Mataranka Thermal Pools and Flora River </w:t>
      </w:r>
      <w:r w:rsidR="002E6955">
        <w:t>springs</w:t>
      </w:r>
      <w:r w:rsidR="00C20E3D">
        <w:t xml:space="preserve">. These deposits can be up to a few metres thick. </w:t>
      </w:r>
    </w:p>
    <w:p w14:paraId="1FB13B54" w14:textId="76FFF0E2" w:rsidR="00D643F6" w:rsidRDefault="00D643F6" w:rsidP="00D643F6">
      <w:r>
        <w:t xml:space="preserve">Quaternary alluvial deposits of sand, gravel and clay occur across the region in drainage lines, floodouts, swamps and lakes, and one of the thickest occurrences (up to 24 m) adjoins the Ashburton Range </w:t>
      </w:r>
      <w:r w:rsidR="0007062D">
        <w:t>(</w:t>
      </w:r>
      <w:r w:rsidR="00A541ED">
        <w:fldChar w:fldCharType="begin"/>
      </w:r>
      <w:r w:rsidR="008F30E0">
        <w:instrText xml:space="preserve"> ADDIN EN.CITE &lt;EndNote&gt;&lt;Cite AuthorYear="1"&gt;&lt;Author&gt;Fulton&lt;/Author&gt;&lt;Year&gt;2015&lt;/Year&gt;&lt;RecNum&gt;671&lt;/RecNum&gt;&lt;DisplayText&gt;Fulton and Knapton (2015b)&lt;/DisplayText&gt;&lt;record&gt;&lt;rec-number&gt;671&lt;/rec-number&gt;&lt;foreign-keys&gt;&lt;key app="EN" db-id="wdf9tzzdhw2saee559kv0vezt0wfsta0zedv" timestamp="1545264407"&gt;671&lt;/key&gt;&lt;key app="ENWeb" db-id=""&gt;0&lt;/key&gt;&lt;/foreign-keys&gt;&lt;ref-type name="Report"&gt;27&lt;/ref-type&gt;&lt;contributors&gt;&lt;authors&gt;&lt;author&gt;Fulton, S.&lt;/author&gt;&lt;author&gt;Knapton, A.&lt;/author&gt;&lt;/authors&gt;&lt;/contributors&gt;&lt;titles&gt;&lt;title&gt;Beetaloo Basin hydrogeological assessment. Cloud GMS&lt;/title&gt;&lt;/titles&gt;&lt;pages&gt;70&lt;/pages&gt;&lt;dates&gt;&lt;year&gt;2015&lt;/year&gt;&lt;pub-dates&gt;&lt;date&gt;February 2015&lt;/date&gt;&lt;/pub-dates&gt;&lt;/dates&gt;&lt;publisher&gt;Origin Energy Report 1 for Fracking Enquiry NT&lt;/publisher&gt;&lt;urls&gt;&lt;related-urls&gt;&lt;url&gt;https://frackinginquiry.nt.gov.au/?a=410609&lt;/url&gt;&lt;/related-urls&gt;&lt;/urls&gt;&lt;access-date&gt;28 November 2019&lt;/access-date&gt;&lt;/record&gt;&lt;/Cite&gt;&lt;/EndNote&gt;</w:instrText>
      </w:r>
      <w:r w:rsidR="00A541ED">
        <w:fldChar w:fldCharType="separate"/>
      </w:r>
      <w:r w:rsidR="008F30E0">
        <w:rPr>
          <w:noProof/>
        </w:rPr>
        <w:t>Fulton and Knapton (2015b)</w:t>
      </w:r>
      <w:r w:rsidR="00A541ED">
        <w:fldChar w:fldCharType="end"/>
      </w:r>
      <w:r w:rsidR="001D4FED">
        <w:t>;</w:t>
      </w:r>
      <w:r w:rsidR="0007062D">
        <w:t xml:space="preserve"> see </w:t>
      </w:r>
      <w:r w:rsidR="0007062D">
        <w:fldChar w:fldCharType="begin"/>
      </w:r>
      <w:r w:rsidR="0007062D">
        <w:instrText xml:space="preserve"> REF _Ref5201649 \h </w:instrText>
      </w:r>
      <w:r w:rsidR="0007062D">
        <w:fldChar w:fldCharType="separate"/>
      </w:r>
      <w:r w:rsidR="00B177F5">
        <w:t xml:space="preserve">Figure </w:t>
      </w:r>
      <w:r w:rsidR="00B177F5">
        <w:rPr>
          <w:noProof/>
        </w:rPr>
        <w:t>9</w:t>
      </w:r>
      <w:r w:rsidR="0007062D">
        <w:fldChar w:fldCharType="end"/>
      </w:r>
      <w:r w:rsidR="0007062D">
        <w:t xml:space="preserve"> for location of Ashburton Range)</w:t>
      </w:r>
      <w:r>
        <w:t>. Thin colluvial deposits also occur on the flanks of this range, as well as around Proterozoic rocks in the north</w:t>
      </w:r>
      <w:r w:rsidR="00214520">
        <w:t>-</w:t>
      </w:r>
      <w:r>
        <w:t xml:space="preserve">east of the </w:t>
      </w:r>
      <w:r w:rsidR="001D5213">
        <w:t>Beetaloo GBA region</w:t>
      </w:r>
      <w:r>
        <w:t>.</w:t>
      </w:r>
      <w:r w:rsidRPr="00F910FA">
        <w:t xml:space="preserve"> </w:t>
      </w:r>
      <w:r>
        <w:t xml:space="preserve">In the western Beetaloo GBA </w:t>
      </w:r>
      <w:r w:rsidR="00D835D9">
        <w:t>r</w:t>
      </w:r>
      <w:r>
        <w:t>egion, Cenozoic sediments are gene</w:t>
      </w:r>
      <w:r w:rsidR="007423F7">
        <w:t>rally less than 25</w:t>
      </w:r>
      <w:r w:rsidR="00214520">
        <w:t xml:space="preserve"> </w:t>
      </w:r>
      <w:r w:rsidR="007423F7">
        <w:t xml:space="preserve">m thick </w:t>
      </w:r>
      <w:r w:rsidR="00A541ED">
        <w:fldChar w:fldCharType="begin"/>
      </w:r>
      <w:r w:rsidR="00F76E0D">
        <w:instrText xml:space="preserve"> ADDIN EN.CITE &lt;EndNote&gt;&lt;Cite&gt;&lt;Author&gt;EcOz Environmental Consultants&lt;/Author&gt;&lt;Year&gt;2015&lt;/Year&gt;&lt;RecNum&gt;702&lt;/RecNum&gt;&lt;DisplayText&gt;(EcOz Environmental Consultants, 2015)&lt;/DisplayText&gt;&lt;record&gt;&lt;rec-number&gt;702&lt;/rec-number&gt;&lt;foreign-keys&gt;&lt;key app="EN" db-id="wdf9tzzdhw2saee559kv0vezt0wfsta0zedv" timestamp="1545264527"&gt;702&lt;/key&gt;&lt;/foreign-keys&gt;&lt;ref-type name="Report"&gt;27&lt;/ref-type&gt;&lt;contributors&gt;&lt;authors&gt;&lt;author&gt;EcOz Environmental Consultants,&lt;/author&gt;&lt;/authors&gt;&lt;secondary-authors&gt;&lt;author&gt;EcOz Environmental Consultants&lt;/author&gt;&lt;/secondary-authors&gt;&lt;/contributors&gt;&lt;titles&gt;&lt;title&gt;Surface and groundwater characterisation report – Sturt Plateau Region NT. Report prepared for Pangaea Resources for submission to the NT fracking inquiry&lt;/title&gt;&lt;/titles&gt;&lt;pages&gt;53&lt;/pages&gt;&lt;dates&gt;&lt;year&gt;2015&lt;/year&gt;&lt;pub-dates&gt;&lt;date&gt;2/10/2015&lt;/date&gt;&lt;/pub-dates&gt;&lt;/dates&gt;&lt;pub-location&gt;Darwin&lt;/pub-location&gt;&lt;urls&gt;&lt;related-urls&gt;&lt;url&gt;https://frackinginquiry.nt.gov.au/?a=424269&lt;/url&gt;&lt;/related-urls&gt;&lt;/urls&gt;&lt;access-date&gt;28 November 2019&lt;/access-date&gt;&lt;/record&gt;&lt;/Cite&gt;&lt;/EndNote&gt;</w:instrText>
      </w:r>
      <w:r w:rsidR="00A541ED">
        <w:fldChar w:fldCharType="separate"/>
      </w:r>
      <w:r w:rsidR="00A541ED">
        <w:rPr>
          <w:noProof/>
        </w:rPr>
        <w:t>(EcOz Environmental Consultants, 2015)</w:t>
      </w:r>
      <w:r w:rsidR="00A541ED">
        <w:fldChar w:fldCharType="end"/>
      </w:r>
      <w:r>
        <w:t xml:space="preserve">. Extensive deposits of tufa (freshwater limestone) up to 5 m thick occur around Mataranka </w:t>
      </w:r>
      <w:r w:rsidR="00BB6D37">
        <w:t xml:space="preserve">Thermal Pools </w:t>
      </w:r>
      <w:r>
        <w:t xml:space="preserve">and Elsey </w:t>
      </w:r>
      <w:r w:rsidR="001D5213">
        <w:t>N</w:t>
      </w:r>
      <w:r>
        <w:t xml:space="preserve">ational </w:t>
      </w:r>
      <w:r w:rsidR="001D5213">
        <w:t>P</w:t>
      </w:r>
      <w:r>
        <w:t xml:space="preserve">ark </w:t>
      </w:r>
      <w:r w:rsidR="00A541ED">
        <w:fldChar w:fldCharType="begin"/>
      </w:r>
      <w:r w:rsidR="00F76E0D">
        <w:instrText xml:space="preserve"> ADDIN EN.CITE &lt;EndNote&gt;&lt;Cite&gt;&lt;Author&gt;Karp&lt;/Author&gt;&lt;Year&gt;2008&lt;/Year&gt;&lt;RecNum&gt;911&lt;/RecNum&gt;&lt;DisplayText&gt;(Karp, 2008)&lt;/DisplayText&gt;&lt;record&gt;&lt;rec-number&gt;911&lt;/rec-number&gt;&lt;foreign-keys&gt;&lt;key app="EN" db-id="wdf9tzzdhw2saee559kv0vezt0wfsta0zedv" timestamp="1555975788"&gt;911&lt;/key&gt;&lt;/foreign-keys&gt;&lt;ref-type name="Report"&gt;27&lt;/ref-type&gt;&lt;contributors&gt;&lt;authors&gt;&lt;author&gt;Karp, D.&lt;/author&gt;&lt;/authors&gt;&lt;/contributors&gt;&lt;titles&gt;&lt;title&gt;Surface and groundwater interaction the Mataranka area&lt;/title&gt;&lt;/titles&gt;&lt;pages&gt;69&lt;/pages&gt;&lt;number&gt;17/2008D&lt;/number&gt;&lt;dates&gt;&lt;year&gt;2008&lt;/year&gt;&lt;/dates&gt;&lt;publisher&gt;Department of Natural Resources, Environment, the Arts and Sport (NT)&lt;/publisher&gt;&lt;urls&gt;&lt;/urls&gt;&lt;/record&gt;&lt;/Cite&gt;&lt;/EndNote&gt;</w:instrText>
      </w:r>
      <w:r w:rsidR="00A541ED">
        <w:fldChar w:fldCharType="separate"/>
      </w:r>
      <w:r w:rsidR="00A541ED">
        <w:rPr>
          <w:noProof/>
        </w:rPr>
        <w:t>(Karp, 2008)</w:t>
      </w:r>
      <w:r w:rsidR="00A541ED">
        <w:fldChar w:fldCharType="end"/>
      </w:r>
      <w:r>
        <w:t xml:space="preserve">. </w:t>
      </w:r>
    </w:p>
    <w:p w14:paraId="1094B8D6" w14:textId="3360BC21" w:rsidR="00D643F6" w:rsidRPr="006831A9" w:rsidRDefault="40810253" w:rsidP="40810253">
      <w:pPr>
        <w:rPr>
          <w:rStyle w:val="BodyTextChar"/>
        </w:rPr>
      </w:pPr>
      <w:r>
        <w:t>Black soil plains are evident as grassy downs and are found to the south of the Beetaloo GBA region on the Barkly Tablelands. Black soil can be up to 6 m thick</w:t>
      </w:r>
      <w:r w:rsidR="00FC366C">
        <w:t xml:space="preserve"> </w:t>
      </w:r>
      <w:r w:rsidR="006B710B">
        <w:fldChar w:fldCharType="begin"/>
      </w:r>
      <w:r w:rsidR="00F76E0D">
        <w:instrText xml:space="preserve"> ADDIN EN.CITE &lt;EndNote&gt;&lt;Cite&gt;&lt;Author&gt;Randal&lt;/Author&gt;&lt;Year&gt;1973&lt;/Year&gt;&lt;RecNum&gt;1271&lt;/RecNum&gt;&lt;DisplayText&gt;(Randal, 1973)&lt;/DisplayText&gt;&lt;record&gt;&lt;rec-number&gt;1271&lt;/rec-number&gt;&lt;foreign-keys&gt;&lt;key app="EN" db-id="wdf9tzzdhw2saee559kv0vezt0wfsta0zedv" timestamp="1569370340"&gt;1271&lt;/key&gt;&lt;/foreign-keys&gt;&lt;ref-type name="Report"&gt;27&lt;/ref-type&gt;&lt;contributors&gt;&lt;authors&gt;&lt;author&gt;Randal, M. A.&lt;/author&gt;&lt;/authors&gt;&lt;tertiary-authors&gt;&lt;author&gt;Bureau of Mineral Resources, Geology and Geophysics, &lt;/author&gt;&lt;/tertiary-authors&gt;&lt;subsidiary-authors&gt;&lt;author&gt;Bureau of Mineral Resources, Geology and Geophysics, &lt;/author&gt;&lt;/subsidiary-authors&gt;&lt;/contributors&gt;&lt;titles&gt;&lt;title&gt;Groundwater in the Northern Wiso Basin and environs, Northern Territory&lt;/title&gt;&lt;/titles&gt;&lt;dates&gt;&lt;year&gt;1973&lt;/year&gt;&lt;/dates&gt;&lt;pub-location&gt;Canberra&lt;/pub-location&gt;&lt;publisher&gt;Bureau of Mineral Resources&lt;/publisher&gt;&lt;urls&gt;&lt;related-urls&gt;&lt;url&gt;http://www.ga.gov.au/metadata-gateway/metadata/record/100/&lt;/url&gt;&lt;/related-urls&gt;&lt;/urls&gt;&lt;access-date&gt;25 October 2019&lt;/access-date&gt;&lt;/record&gt;&lt;/Cite&gt;&lt;/EndNote&gt;</w:instrText>
      </w:r>
      <w:r w:rsidR="006B710B">
        <w:fldChar w:fldCharType="separate"/>
      </w:r>
      <w:r w:rsidR="00E02D87">
        <w:rPr>
          <w:noProof/>
        </w:rPr>
        <w:t>(Randal, 1973)</w:t>
      </w:r>
      <w:r w:rsidR="006B710B">
        <w:fldChar w:fldCharType="end"/>
      </w:r>
      <w:r>
        <w:t xml:space="preserve">. </w:t>
      </w:r>
    </w:p>
    <w:p w14:paraId="26F1A69E" w14:textId="2A072E94" w:rsidR="00C20E3D" w:rsidRDefault="005471EC" w:rsidP="40810253">
      <w:r>
        <w:fldChar w:fldCharType="begin"/>
      </w:r>
      <w:r w:rsidR="00F76E0D">
        <w:instrText xml:space="preserve"> ADDIN EN.CITE &lt;EndNote&gt;&lt;Cite AuthorYear="1"&gt;&lt;Author&gt;Randal&lt;/Author&gt;&lt;Year&gt;1973&lt;/Year&gt;&lt;RecNum&gt;1271&lt;/RecNum&gt;&lt;DisplayText&gt;Randal (1973)&lt;/DisplayText&gt;&lt;record&gt;&lt;rec-number&gt;1271&lt;/rec-number&gt;&lt;foreign-keys&gt;&lt;key app="EN" db-id="wdf9tzzdhw2saee559kv0vezt0wfsta0zedv" timestamp="1569370340"&gt;1271&lt;/key&gt;&lt;/foreign-keys&gt;&lt;ref-type name="Report"&gt;27&lt;/ref-type&gt;&lt;contributors&gt;&lt;authors&gt;&lt;author&gt;Randal, M. A.&lt;/author&gt;&lt;/authors&gt;&lt;tertiary-authors&gt;&lt;author&gt;Bureau of Mineral Resources, Geology and Geophysics, &lt;/author&gt;&lt;/tertiary-authors&gt;&lt;subsidiary-authors&gt;&lt;author&gt;Bureau of Mineral Resources, Geology and Geophysics, &lt;/author&gt;&lt;/subsidiary-authors&gt;&lt;/contributors&gt;&lt;titles&gt;&lt;title&gt;Groundwater in the Northern Wiso Basin and environs, Northern Territory&lt;/title&gt;&lt;/titles&gt;&lt;dates&gt;&lt;year&gt;1973&lt;/year&gt;&lt;/dates&gt;&lt;pub-location&gt;Canberra&lt;/pub-location&gt;&lt;publisher&gt;Bureau of Mineral Resources&lt;/publisher&gt;&lt;urls&gt;&lt;related-urls&gt;&lt;url&gt;http://www.ga.gov.au/metadata-gateway/metadata/record/100/&lt;/url&gt;&lt;/related-urls&gt;&lt;/urls&gt;&lt;access-date&gt;25 October 2019&lt;/access-date&gt;&lt;/record&gt;&lt;/Cite&gt;&lt;/EndNote&gt;</w:instrText>
      </w:r>
      <w:r>
        <w:fldChar w:fldCharType="separate"/>
      </w:r>
      <w:r w:rsidR="001D4FED">
        <w:rPr>
          <w:noProof/>
        </w:rPr>
        <w:t>Randal (1973)</w:t>
      </w:r>
      <w:r>
        <w:fldChar w:fldCharType="end"/>
      </w:r>
      <w:r w:rsidR="00C360A7">
        <w:t xml:space="preserve"> notes </w:t>
      </w:r>
      <w:r w:rsidR="40810253">
        <w:t>occurrence of waterholes (both perennial and ephemeral</w:t>
      </w:r>
      <w:r w:rsidR="003407F2">
        <w:t xml:space="preserve">, </w:t>
      </w:r>
      <w:r w:rsidR="00C360A7">
        <w:t xml:space="preserve">see Figure 6 in </w:t>
      </w:r>
      <w:r w:rsidR="00C360A7">
        <w:fldChar w:fldCharType="begin"/>
      </w:r>
      <w:r w:rsidR="00F76E0D">
        <w:instrText xml:space="preserve"> ADDIN EN.CITE &lt;EndNote&gt;&lt;Cite AuthorYear="1"&gt;&lt;Author&gt;Randal&lt;/Author&gt;&lt;Year&gt;1973&lt;/Year&gt;&lt;RecNum&gt;1271&lt;/RecNum&gt;&lt;DisplayText&gt;Randal (1973)&lt;/DisplayText&gt;&lt;record&gt;&lt;rec-number&gt;1271&lt;/rec-number&gt;&lt;foreign-keys&gt;&lt;key app="EN" db-id="wdf9tzzdhw2saee559kv0vezt0wfsta0zedv" timestamp="1569370340"&gt;1271&lt;/key&gt;&lt;/foreign-keys&gt;&lt;ref-type name="Report"&gt;27&lt;/ref-type&gt;&lt;contributors&gt;&lt;authors&gt;&lt;author&gt;Randal, M. A.&lt;/author&gt;&lt;/authors&gt;&lt;tertiary-authors&gt;&lt;author&gt;Bureau of Mineral Resources, Geology and Geophysics, &lt;/author&gt;&lt;/tertiary-authors&gt;&lt;subsidiary-authors&gt;&lt;author&gt;Bureau of Mineral Resources, Geology and Geophysics, &lt;/author&gt;&lt;/subsidiary-authors&gt;&lt;/contributors&gt;&lt;titles&gt;&lt;title&gt;Groundwater in the Northern Wiso Basin and environs, Northern Territory&lt;/title&gt;&lt;/titles&gt;&lt;dates&gt;&lt;year&gt;1973&lt;/year&gt;&lt;/dates&gt;&lt;pub-location&gt;Canberra&lt;/pub-location&gt;&lt;publisher&gt;Bureau of Mineral Resources&lt;/publisher&gt;&lt;urls&gt;&lt;related-urls&gt;&lt;url&gt;http://www.ga.gov.au/metadata-gateway/metadata/record/100/&lt;/url&gt;&lt;/related-urls&gt;&lt;/urls&gt;&lt;access-date&gt;25 October 2019&lt;/access-date&gt;&lt;/record&gt;&lt;/Cite&gt;&lt;/EndNote&gt;</w:instrText>
      </w:r>
      <w:r w:rsidR="00C360A7">
        <w:fldChar w:fldCharType="separate"/>
      </w:r>
      <w:r w:rsidR="00C360A7">
        <w:rPr>
          <w:noProof/>
        </w:rPr>
        <w:t>Randal (1973)</w:t>
      </w:r>
      <w:r w:rsidR="00C360A7">
        <w:fldChar w:fldCharType="end"/>
      </w:r>
      <w:r w:rsidR="40810253">
        <w:t>) that are not situated in defined watercourses</w:t>
      </w:r>
      <w:r w:rsidR="003407F2">
        <w:t xml:space="preserve"> across the </w:t>
      </w:r>
      <w:r w:rsidR="002E6955">
        <w:t>region</w:t>
      </w:r>
      <w:r w:rsidR="003407F2">
        <w:t xml:space="preserve">. These waterholes are situated </w:t>
      </w:r>
      <w:r w:rsidR="40810253">
        <w:t>within sub-circular or elliptical depressions towards which drainage from a small surrounding area is directed. They could</w:t>
      </w:r>
      <w:r w:rsidR="003407F2">
        <w:t xml:space="preserve"> represent</w:t>
      </w:r>
      <w:r w:rsidR="40810253">
        <w:t xml:space="preserve"> the surface expression of </w:t>
      </w:r>
      <w:r w:rsidR="003407F2">
        <w:t xml:space="preserve">karstic </w:t>
      </w:r>
      <w:r w:rsidR="40810253">
        <w:t xml:space="preserve">collapse in the </w:t>
      </w:r>
      <w:r w:rsidR="001D4FED">
        <w:t>CLA</w:t>
      </w:r>
      <w:r w:rsidR="0082426B">
        <w:t xml:space="preserve"> (i.e. buried sinkholes)</w:t>
      </w:r>
      <w:r w:rsidR="40810253">
        <w:t xml:space="preserve"> beneath the Carpentaria Basin</w:t>
      </w:r>
      <w:r w:rsidR="005B31CB">
        <w:t xml:space="preserve"> </w:t>
      </w:r>
      <w:r w:rsidR="00A541ED">
        <w:fldChar w:fldCharType="begin"/>
      </w:r>
      <w:r w:rsidR="00F76E0D">
        <w:instrText xml:space="preserve"> ADDIN EN.CITE &lt;EndNote&gt;&lt;Cite&gt;&lt;Author&gt;Randal&lt;/Author&gt;&lt;Year&gt;1973&lt;/Year&gt;&lt;RecNum&gt;1271&lt;/RecNum&gt;&lt;DisplayText&gt;(Randal, 1973)&lt;/DisplayText&gt;&lt;record&gt;&lt;rec-number&gt;1271&lt;/rec-number&gt;&lt;foreign-keys&gt;&lt;key app="EN" db-id="wdf9tzzdhw2saee559kv0vezt0wfsta0zedv" timestamp="1569370340"&gt;1271&lt;/key&gt;&lt;/foreign-keys&gt;&lt;ref-type name="Report"&gt;27&lt;/ref-type&gt;&lt;contributors&gt;&lt;authors&gt;&lt;author&gt;Randal, M. A.&lt;/author&gt;&lt;/authors&gt;&lt;tertiary-authors&gt;&lt;author&gt;Bureau of Mineral Resources, Geology and Geophysics, &lt;/author&gt;&lt;/tertiary-authors&gt;&lt;subsidiary-authors&gt;&lt;author&gt;Bureau of Mineral Resources, Geology and Geophysics, &lt;/author&gt;&lt;/subsidiary-authors&gt;&lt;/contributors&gt;&lt;titles&gt;&lt;title&gt;Groundwater in the Northern Wiso Basin and environs, Northern Territory&lt;/title&gt;&lt;/titles&gt;&lt;dates&gt;&lt;year&gt;1973&lt;/year&gt;&lt;/dates&gt;&lt;pub-location&gt;Canberra&lt;/pub-location&gt;&lt;publisher&gt;Bureau of Mineral Resources&lt;/publisher&gt;&lt;urls&gt;&lt;related-urls&gt;&lt;url&gt;http://www.ga.gov.au/metadata-gateway/metadata/record/100/&lt;/url&gt;&lt;/related-urls&gt;&lt;/urls&gt;&lt;access-date&gt;25 October 2019&lt;/access-date&gt;&lt;/record&gt;&lt;/Cite&gt;&lt;/EndNote&gt;</w:instrText>
      </w:r>
      <w:r w:rsidR="00A541ED">
        <w:fldChar w:fldCharType="separate"/>
      </w:r>
      <w:r w:rsidR="00E02D87">
        <w:rPr>
          <w:noProof/>
        </w:rPr>
        <w:t>(Randal, 1973)</w:t>
      </w:r>
      <w:r w:rsidR="00A541ED">
        <w:fldChar w:fldCharType="end"/>
      </w:r>
      <w:r w:rsidR="40810253">
        <w:t xml:space="preserve"> or Cenozoic sediments.</w:t>
      </w:r>
      <w:r w:rsidR="0072259C">
        <w:t xml:space="preserve"> </w:t>
      </w:r>
    </w:p>
    <w:p w14:paraId="625B8357" w14:textId="4AF8D3E9" w:rsidR="002935EE" w:rsidRPr="000B6198" w:rsidRDefault="002935EE" w:rsidP="00C00F6D">
      <w:pPr>
        <w:pStyle w:val="Heading3"/>
      </w:pPr>
      <w:bookmarkStart w:id="353" w:name="_Toc4072465"/>
      <w:bookmarkStart w:id="354" w:name="_Toc5020795"/>
      <w:bookmarkStart w:id="355" w:name="_Toc5021602"/>
      <w:bookmarkStart w:id="356" w:name="_Toc5808363"/>
      <w:bookmarkStart w:id="357" w:name="_Toc5895056"/>
      <w:bookmarkStart w:id="358" w:name="_Toc6308944"/>
      <w:bookmarkStart w:id="359" w:name="_Toc6327608"/>
      <w:bookmarkStart w:id="360" w:name="_Toc38990443"/>
      <w:r>
        <w:t>Hydrodynamics</w:t>
      </w:r>
      <w:bookmarkEnd w:id="353"/>
      <w:bookmarkEnd w:id="354"/>
      <w:bookmarkEnd w:id="355"/>
      <w:bookmarkEnd w:id="356"/>
      <w:bookmarkEnd w:id="357"/>
      <w:bookmarkEnd w:id="358"/>
      <w:bookmarkEnd w:id="359"/>
      <w:bookmarkEnd w:id="360"/>
    </w:p>
    <w:p w14:paraId="26A4032A" w14:textId="6011D338" w:rsidR="002935EE" w:rsidRDefault="009A359B" w:rsidP="00C00F6D">
      <w:pPr>
        <w:pStyle w:val="BodyText"/>
      </w:pPr>
      <w:r>
        <w:t xml:space="preserve">Within the </w:t>
      </w:r>
      <w:r w:rsidR="00F01314">
        <w:t>Beetaloo</w:t>
      </w:r>
      <w:r>
        <w:t xml:space="preserve"> GBA region, groundwater bores draw water </w:t>
      </w:r>
      <w:r w:rsidR="00EE2637">
        <w:t xml:space="preserve">primarily </w:t>
      </w:r>
      <w:r>
        <w:t xml:space="preserve">from </w:t>
      </w:r>
      <w:r w:rsidR="00A1437F">
        <w:t xml:space="preserve">aquifers in the </w:t>
      </w:r>
      <w:r>
        <w:t>Georgina, Wiso</w:t>
      </w:r>
      <w:r w:rsidR="001D4FED">
        <w:t xml:space="preserve"> and</w:t>
      </w:r>
      <w:r>
        <w:t xml:space="preserve"> Daly </w:t>
      </w:r>
      <w:r w:rsidR="00D17BE6">
        <w:t>basins</w:t>
      </w:r>
      <w:r w:rsidR="00012E9E">
        <w:t>. For older</w:t>
      </w:r>
      <w:r w:rsidR="00012E9E" w:rsidDel="002C3465">
        <w:t xml:space="preserve"> </w:t>
      </w:r>
      <w:r w:rsidR="00012E9E">
        <w:t xml:space="preserve">Proterozoic rock sequences such as the </w:t>
      </w:r>
      <w:r w:rsidR="007D6223">
        <w:t>Roper Group</w:t>
      </w:r>
      <w:r w:rsidR="002C3465">
        <w:t xml:space="preserve"> and Jamison</w:t>
      </w:r>
      <w:r w:rsidR="3C583D25">
        <w:t xml:space="preserve"> sandstone</w:t>
      </w:r>
      <w:r w:rsidR="002C3465">
        <w:t xml:space="preserve"> and Bukalara Sandstone</w:t>
      </w:r>
      <w:r>
        <w:t xml:space="preserve">, </w:t>
      </w:r>
      <w:r w:rsidR="00012E9E">
        <w:t xml:space="preserve">the </w:t>
      </w:r>
      <w:r>
        <w:t xml:space="preserve">hydrodynamics </w:t>
      </w:r>
      <w:r w:rsidR="00A1437F">
        <w:t xml:space="preserve">can </w:t>
      </w:r>
      <w:r>
        <w:t>only be inferred from sparse petroleum well data</w:t>
      </w:r>
      <w:r w:rsidR="004A3948">
        <w:t xml:space="preserve"> (Section </w:t>
      </w:r>
      <w:r w:rsidR="004A3948">
        <w:fldChar w:fldCharType="begin"/>
      </w:r>
      <w:r w:rsidR="004A3948">
        <w:instrText xml:space="preserve"> REF _Ref534806538 \r \h </w:instrText>
      </w:r>
      <w:r w:rsidR="004A3948">
        <w:fldChar w:fldCharType="separate"/>
      </w:r>
      <w:r w:rsidR="00B177F5">
        <w:t>2</w:t>
      </w:r>
      <w:r w:rsidR="004A3948">
        <w:fldChar w:fldCharType="end"/>
      </w:r>
      <w:r w:rsidR="004A3948">
        <w:t>)</w:t>
      </w:r>
      <w:r>
        <w:t xml:space="preserve">. </w:t>
      </w:r>
    </w:p>
    <w:p w14:paraId="7D1A30EE" w14:textId="4F3481A0" w:rsidR="002935EE" w:rsidRDefault="007D6223" w:rsidP="00C00F6D">
      <w:pPr>
        <w:pStyle w:val="Heading4"/>
      </w:pPr>
      <w:bookmarkStart w:id="361" w:name="_Ref535418236"/>
      <w:bookmarkStart w:id="362" w:name="_Ref535505645"/>
      <w:r>
        <w:t>Roper Group</w:t>
      </w:r>
      <w:bookmarkEnd w:id="361"/>
      <w:bookmarkEnd w:id="362"/>
    </w:p>
    <w:p w14:paraId="6A206C3F" w14:textId="6A95B8C0" w:rsidR="00EB2761" w:rsidRDefault="00EB2761" w:rsidP="00EB2761">
      <w:pPr>
        <w:pStyle w:val="BodyText"/>
      </w:pPr>
      <w:r>
        <w:t>The Roper Group comprises the Collara and Maiwok subgroups (</w:t>
      </w:r>
      <w:r>
        <w:fldChar w:fldCharType="begin"/>
      </w:r>
      <w:r>
        <w:instrText xml:space="preserve"> REF _Ref535407260 \h </w:instrText>
      </w:r>
      <w:r>
        <w:fldChar w:fldCharType="separate"/>
      </w:r>
      <w:r w:rsidR="00B177F5">
        <w:t xml:space="preserve">Figure </w:t>
      </w:r>
      <w:r w:rsidR="00B177F5">
        <w:rPr>
          <w:noProof/>
        </w:rPr>
        <w:t>4</w:t>
      </w:r>
      <w:r>
        <w:fldChar w:fldCharType="end"/>
      </w:r>
      <w:r>
        <w:t>). Aquifers in these rocks are utilised as local water suppl</w:t>
      </w:r>
      <w:r w:rsidR="00EA3C12">
        <w:t xml:space="preserve">ies </w:t>
      </w:r>
      <w:r w:rsidR="003407F2">
        <w:t xml:space="preserve">north of the </w:t>
      </w:r>
      <w:r>
        <w:t>Beetaloo GBA region</w:t>
      </w:r>
      <w:r w:rsidR="003407F2">
        <w:t xml:space="preserve"> in the Roper River catchment area</w:t>
      </w:r>
      <w:r>
        <w:t xml:space="preserve">. However, caution is required </w:t>
      </w:r>
      <w:r w:rsidR="007B11E6">
        <w:t>when</w:t>
      </w:r>
      <w:r>
        <w:t xml:space="preserve"> inferring hydraulic conditions for the Roper Group</w:t>
      </w:r>
      <w:r w:rsidR="003407F2">
        <w:t xml:space="preserve"> in the Beetaloo GBA region</w:t>
      </w:r>
      <w:r>
        <w:t xml:space="preserve"> from other areas, as the Roper Group within the Beetaloo GBA region has experienced much less tectonism than that outside the Beetaloo GBA region in the rest of McArthur Basin </w:t>
      </w:r>
      <w:r w:rsidR="00A541ED">
        <w:fldChar w:fldCharType="begin"/>
      </w:r>
      <w:r w:rsidR="00F76E0D">
        <w:instrText xml:space="preserve"> ADDIN EN.CITE &lt;EndNote&gt;&lt;Cite&gt;&lt;Author&gt;Silverman&lt;/Author&gt;&lt;Year&gt;2007&lt;/Year&gt;&lt;RecNum&gt;674&lt;/RecNum&gt;&lt;DisplayText&gt;(Silverman et al., 2007)&lt;/DisplayText&gt;&lt;record&gt;&lt;rec-number&gt;674&lt;/rec-number&gt;&lt;foreign-keys&gt;&lt;key app="EN" db-id="wdf9tzzdhw2saee559kv0vezt0wfsta0zedv" timestamp="1545264432"&gt;674&lt;/key&gt;&lt;key app="ENWeb" db-id=""&gt;0&lt;/key&gt;&lt;/foreign-keys&gt;&lt;ref-type name="Conference Paper"&gt;47&lt;/ref-type&gt;&lt;contributors&gt;&lt;authors&gt;&lt;author&gt;Silverman, M. R.&lt;/author&gt;&lt;author&gt;Landon, S. M.&lt;/author&gt;&lt;author&gt;Leaver, J. S.&lt;/author&gt;&lt;author&gt;Mather, T. J.&lt;/author&gt;&lt;author&gt;Berg, E.&lt;/author&gt;&lt;/authors&gt;&lt;/contributors&gt;&lt;titles&gt;&lt;title&gt;No fuel like an old fuel: proterozoic oil and gas potential in the Beetaloo Basin, Northern Territory, Australia&lt;/title&gt;&lt;secondary-title&gt;Proceedings of the Central Australian Basins Symposium (CABS), Northern Territory Geological Survey (NTGS) Special Publication 2&lt;/secondary-title&gt;&lt;/titles&gt;&lt;pages&gt;205–215&lt;/pages&gt;&lt;volume&gt;2&lt;/volume&gt;&lt;keywords&gt;&lt;keyword&gt;Northern Territory&lt;/keyword&gt;&lt;keyword&gt;Beetaloo Basin&lt;/keyword&gt;&lt;keyword&gt;Velkerri Formation&lt;/keyword&gt;&lt;keyword&gt;Kyalla Formation&lt;/keyword&gt;&lt;keyword&gt;Jamison Sandstone&lt;/keyword&gt;&lt;keyword&gt;Moroak Sandstone&lt;/keyword&gt;&lt;keyword&gt;Proterozoic&lt;/keyword&gt;&lt;keyword&gt;Hydrocarbons&lt;/keyword&gt;&lt;keyword&gt;Petroleum potential&lt;/keyword&gt;&lt;keyword&gt;Petroleum exploration&lt;/keyword&gt;&lt;keyword&gt;Petroleum geology&lt;/keyword&gt;&lt;keyword&gt;Beetaloo Sub-basin&lt;/keyword&gt;&lt;/keywords&gt;&lt;dates&gt;&lt;year&gt;2007&lt;/year&gt;&lt;pub-dates&gt;&lt;date&gt;16-18 August 2005&lt;/date&gt;&lt;/pub-dates&gt;&lt;/dates&gt;&lt;pub-location&gt;Alice Springs, Northern Territory&lt;/pub-location&gt;&lt;urls&gt;&lt;/urls&gt;&lt;/record&gt;&lt;/Cite&gt;&lt;/EndNote&gt;</w:instrText>
      </w:r>
      <w:r w:rsidR="00A541ED">
        <w:fldChar w:fldCharType="separate"/>
      </w:r>
      <w:r w:rsidR="00A541ED">
        <w:rPr>
          <w:noProof/>
        </w:rPr>
        <w:t>(Silverman et al., 2007)</w:t>
      </w:r>
      <w:r w:rsidR="00A541ED">
        <w:fldChar w:fldCharType="end"/>
      </w:r>
      <w:r>
        <w:t>. Furthermore, in the Beetaloo GBA region</w:t>
      </w:r>
      <w:r w:rsidR="0085577D">
        <w:t>,</w:t>
      </w:r>
      <w:r>
        <w:t xml:space="preserve"> the Roper Group is </w:t>
      </w:r>
      <w:r w:rsidR="007B11E6">
        <w:t xml:space="preserve">far more deeply </w:t>
      </w:r>
      <w:r>
        <w:t xml:space="preserve">buried by overlying sequences of the Georgina, Wiso, Daly and Carpentaria basins. Depth of burial, structural style, </w:t>
      </w:r>
      <w:r w:rsidR="007B11E6">
        <w:t xml:space="preserve">degree of diagenesis, geothermal gradients </w:t>
      </w:r>
      <w:r>
        <w:t>and potential for connectivity with overlying aquifers</w:t>
      </w:r>
      <w:r w:rsidR="007B11E6">
        <w:t xml:space="preserve"> </w:t>
      </w:r>
      <w:r w:rsidR="003407F2">
        <w:t>can</w:t>
      </w:r>
      <w:r>
        <w:t xml:space="preserve"> influence the hydrodynamics of the deeper Proterozoic sequence within the Beetaloo Sub-basin, in contrast </w:t>
      </w:r>
      <w:r w:rsidR="00E713E9">
        <w:t xml:space="preserve">to </w:t>
      </w:r>
      <w:r w:rsidR="003407F2">
        <w:t>that</w:t>
      </w:r>
      <w:r>
        <w:t xml:space="preserve"> outside of the </w:t>
      </w:r>
      <w:r w:rsidR="00F80270">
        <w:t>region</w:t>
      </w:r>
      <w:r>
        <w:t xml:space="preserve">. </w:t>
      </w:r>
    </w:p>
    <w:p w14:paraId="78E594BC" w14:textId="7DC4EA3E" w:rsidR="00EB2761" w:rsidRDefault="00EB2761" w:rsidP="00EB2761">
      <w:pPr>
        <w:pStyle w:val="BodyText"/>
      </w:pPr>
      <w:r w:rsidRPr="001226A6">
        <w:t xml:space="preserve">Structures can act as either conduits or barriers to flow </w:t>
      </w:r>
      <w:r w:rsidR="00A541ED" w:rsidRPr="2777F559">
        <w:fldChar w:fldCharType="begin"/>
      </w:r>
      <w:r w:rsidR="00B11FDA">
        <w:instrText xml:space="preserve"> ADDIN EN.CITE &lt;EndNote&gt;&lt;Cite&gt;&lt;Author&gt;Bense&lt;/Author&gt;&lt;Year&gt;2013&lt;/Year&gt;&lt;RecNum&gt;521&lt;/RecNum&gt;&lt;DisplayText&gt;(Bense et al., 2013)&lt;/DisplayText&gt;&lt;record&gt;&lt;rec-number&gt;521&lt;/rec-number&gt;&lt;foreign-keys&gt;&lt;key app="EN" db-id="wdf9tzzdhw2saee559kv0vezt0wfsta0zedv" timestamp="1544417447"&gt;521&lt;/key&gt;&lt;key app="ENWeb" db-id=""&gt;0&lt;/key&gt;&lt;/foreign-keys&gt;&lt;ref-type name="Journal Article"&gt;17&lt;/ref-type&gt;&lt;contributors&gt;&lt;authors&gt;&lt;author&gt;Bense, V. F.&lt;/author&gt;&lt;author&gt;Gleeson, T.&lt;/author&gt;&lt;author&gt;Loveless, S. E.&lt;/author&gt;&lt;author&gt;Bour, O.&lt;/author&gt;&lt;author&gt;Scibek, J.&lt;/author&gt;&lt;/authors&gt;&lt;/contributors&gt;&lt;titles&gt;&lt;title&gt;Fault zone hydrogeology&lt;/title&gt;&lt;secondary-title&gt;Earth-Science Reviews&lt;/secondary-title&gt;&lt;/titles&gt;&lt;periodical&gt;&lt;full-title&gt;Earth-Science Reviews&lt;/full-title&gt;&lt;/periodical&gt;&lt;pages&gt;171-192&lt;/pages&gt;&lt;volume&gt;127&lt;/volume&gt;&lt;keywords&gt;&lt;keyword&gt;Fault zone&lt;/keyword&gt;&lt;keyword&gt;Hydrogeology&lt;/keyword&gt;&lt;keyword&gt;Structural geology&lt;/keyword&gt;&lt;keyword&gt;permeability&lt;/keyword&gt;&lt;keyword&gt;Conceptual models&lt;/keyword&gt;&lt;keyword&gt;hydrogeological evidence&lt;/keyword&gt;&lt;keyword&gt;interdisciplinary studies&lt;/keyword&gt;&lt;keyword&gt;fluid flow&lt;/keyword&gt;&lt;keyword&gt;modeling&lt;/keyword&gt;&lt;keyword&gt;heterogeneity&lt;/keyword&gt;&lt;keyword&gt;anisotropy&lt;/keyword&gt;&lt;keyword&gt;groundwater flow&lt;/keyword&gt;&lt;/keywords&gt;&lt;dates&gt;&lt;year&gt;2013&lt;/year&gt;&lt;pub-dates&gt;&lt;date&gt;2013/12/01&lt;/date&gt;&lt;/pub-dates&gt;&lt;/dates&gt;&lt;isbn&gt;0012-8252&lt;/isbn&gt;&lt;urls&gt;&lt;related-urls&gt;&lt;url&gt;&lt;style face="underline" font="default" size="100%"&gt;http://www.sciencedirect.com/science/article/pii/S0012825213001657&lt;/style&gt;&lt;/url&gt;&lt;/related-urls&gt;&lt;/urls&gt;&lt;electronic-resource-num&gt;&lt;style face="underline" font="default" size="100%"&gt;10.1016/j.earscirev.2013.09.008&lt;/style&gt;&lt;/electronic-resource-num&gt;&lt;/record&gt;&lt;/Cite&gt;&lt;/EndNote&gt;</w:instrText>
      </w:r>
      <w:r w:rsidR="00A541ED" w:rsidRPr="2777F559">
        <w:rPr>
          <w:color w:val="000000" w:themeColor="text1"/>
        </w:rPr>
        <w:fldChar w:fldCharType="separate"/>
      </w:r>
      <w:r w:rsidR="00A541ED">
        <w:rPr>
          <w:noProof/>
          <w:color w:val="000000" w:themeColor="text1"/>
        </w:rPr>
        <w:t>(Bense et al., 2013)</w:t>
      </w:r>
      <w:r w:rsidR="00A541ED" w:rsidRPr="2777F559">
        <w:fldChar w:fldCharType="end"/>
      </w:r>
      <w:r w:rsidRPr="001226A6">
        <w:t xml:space="preserve">, as well as provide porosity for groundwater storage. </w:t>
      </w:r>
      <w:bookmarkStart w:id="363" w:name="_Hlk35271656"/>
      <w:r w:rsidRPr="001226A6">
        <w:t xml:space="preserve">In the Beetaloo Sub-basin, structural offsets, structurally derived permeability and porosity modify regional hydrodynamics and groundwater flow. </w:t>
      </w:r>
      <w:bookmarkEnd w:id="363"/>
      <w:r w:rsidRPr="001226A6">
        <w:t xml:space="preserve">Depth of burial and diagenetic effects including compaction, deposition of pore infilling cements (e.g. quartz, carbonates) and clays, </w:t>
      </w:r>
      <w:r w:rsidR="00807600">
        <w:t xml:space="preserve">also </w:t>
      </w:r>
      <w:r w:rsidRPr="001226A6">
        <w:t xml:space="preserve">influence </w:t>
      </w:r>
      <w:r w:rsidR="00807600">
        <w:t xml:space="preserve">hydrogeological properties of the rockmass and </w:t>
      </w:r>
      <w:r w:rsidRPr="001226A6">
        <w:t>groundwater hydrodynamics.</w:t>
      </w:r>
    </w:p>
    <w:p w14:paraId="3A2A9E02" w14:textId="77507770" w:rsidR="00E32622" w:rsidRPr="001226A6" w:rsidRDefault="5B3F5A9C" w:rsidP="5B3F5A9C">
      <w:pPr>
        <w:pStyle w:val="BodyText"/>
      </w:pPr>
      <w:r w:rsidRPr="001226A6">
        <w:t xml:space="preserve">The buried Proterozoic sequence of the Beetaloo Sub-basin is largely flat-lying and relatively undeformed, except for areas around basin margins and major structural elements within the basin such as the Helen Springs High, </w:t>
      </w:r>
      <w:r w:rsidR="009854DD">
        <w:t>Daly Waters High</w:t>
      </w:r>
      <w:r w:rsidRPr="001226A6">
        <w:t xml:space="preserve">, Walton High and the Arnold </w:t>
      </w:r>
      <w:r w:rsidR="00EE0AFD" w:rsidRPr="001226A6">
        <w:t>High</w:t>
      </w:r>
      <w:r w:rsidR="00EA3C12" w:rsidRPr="001226A6">
        <w:t xml:space="preserve"> (see </w:t>
      </w:r>
      <w:r w:rsidR="00EA3C12">
        <w:rPr>
          <w:color w:val="000000" w:themeColor="text1"/>
        </w:rPr>
        <w:fldChar w:fldCharType="begin"/>
      </w:r>
      <w:r w:rsidR="00EA3C12">
        <w:rPr>
          <w:color w:val="000000" w:themeColor="text1"/>
        </w:rPr>
        <w:instrText xml:space="preserve"> REF _Ref21090047 \h </w:instrText>
      </w:r>
      <w:r w:rsidR="00EA3C12">
        <w:rPr>
          <w:color w:val="000000" w:themeColor="text1"/>
        </w:rPr>
      </w:r>
      <w:r w:rsidR="00EA3C12">
        <w:rPr>
          <w:color w:val="000000" w:themeColor="text1"/>
        </w:rPr>
        <w:fldChar w:fldCharType="separate"/>
      </w:r>
      <w:r w:rsidR="00B177F5">
        <w:t xml:space="preserve">Figure </w:t>
      </w:r>
      <w:r w:rsidR="00B177F5">
        <w:rPr>
          <w:noProof/>
        </w:rPr>
        <w:t>5</w:t>
      </w:r>
      <w:r w:rsidR="00EA3C12">
        <w:rPr>
          <w:color w:val="000000" w:themeColor="text1"/>
        </w:rPr>
        <w:fldChar w:fldCharType="end"/>
      </w:r>
      <w:r w:rsidR="00EA3C12" w:rsidRPr="001226A6">
        <w:t xml:space="preserve"> for location)</w:t>
      </w:r>
      <w:r w:rsidRPr="001226A6">
        <w:t xml:space="preserve">. </w:t>
      </w:r>
      <w:r w:rsidR="00A541ED">
        <w:rPr>
          <w:color w:val="000000" w:themeColor="text1"/>
        </w:rPr>
        <w:fldChar w:fldCharType="begin"/>
      </w:r>
      <w:r w:rsidR="00F76E0D">
        <w:rPr>
          <w:color w:val="000000" w:themeColor="text1"/>
        </w:rPr>
        <w:instrText xml:space="preserve"> ADDIN EN.CITE &lt;EndNote&gt;&lt;Cite AuthorYear="1"&gt;&lt;Author&gt;Silverman&lt;/Author&gt;&lt;Year&gt;2007&lt;/Year&gt;&lt;RecNum&gt;674&lt;/RecNum&gt;&lt;DisplayText&gt;Silverman et al. (2007)&lt;/DisplayText&gt;&lt;record&gt;&lt;rec-number&gt;674&lt;/rec-number&gt;&lt;foreign-keys&gt;&lt;key app="EN" db-id="wdf9tzzdhw2saee559kv0vezt0wfsta0zedv" timestamp="1545264432"&gt;674&lt;/key&gt;&lt;key app="ENWeb" db-id=""&gt;0&lt;/key&gt;&lt;/foreign-keys&gt;&lt;ref-type name="Conference Paper"&gt;47&lt;/ref-type&gt;&lt;contributors&gt;&lt;authors&gt;&lt;author&gt;Silverman, M. R.&lt;/author&gt;&lt;author&gt;Landon, S. M.&lt;/author&gt;&lt;author&gt;Leaver, J. S.&lt;/author&gt;&lt;author&gt;Mather, T. J.&lt;/author&gt;&lt;author&gt;Berg, E.&lt;/author&gt;&lt;/authors&gt;&lt;/contributors&gt;&lt;titles&gt;&lt;title&gt;No fuel like an old fuel: proterozoic oil and gas potential in the Beetaloo Basin, Northern Territory, Australia&lt;/title&gt;&lt;secondary-title&gt;Proceedings of the Central Australian Basins Symposium (CABS), Northern Territory Geological Survey (NTGS) Special Publication 2&lt;/secondary-title&gt;&lt;/titles&gt;&lt;pages&gt;205–215&lt;/pages&gt;&lt;volume&gt;2&lt;/volume&gt;&lt;keywords&gt;&lt;keyword&gt;Northern Territory&lt;/keyword&gt;&lt;keyword&gt;Beetaloo Basin&lt;/keyword&gt;&lt;keyword&gt;Velkerri Formation&lt;/keyword&gt;&lt;keyword&gt;Kyalla Formation&lt;/keyword&gt;&lt;keyword&gt;Jamison Sandstone&lt;/keyword&gt;&lt;keyword&gt;Moroak Sandstone&lt;/keyword&gt;&lt;keyword&gt;Proterozoic&lt;/keyword&gt;&lt;keyword&gt;Hydrocarbons&lt;/keyword&gt;&lt;keyword&gt;Petroleum potential&lt;/keyword&gt;&lt;keyword&gt;Petroleum exploration&lt;/keyword&gt;&lt;keyword&gt;Petroleum geology&lt;/keyword&gt;&lt;keyword&gt;Beetaloo Sub-basin&lt;/keyword&gt;&lt;/keywords&gt;&lt;dates&gt;&lt;year&gt;2007&lt;/year&gt;&lt;pub-dates&gt;&lt;date&gt;16-18 August 2005&lt;/date&gt;&lt;/pub-dates&gt;&lt;/dates&gt;&lt;pub-location&gt;Alice Springs, Northern Territory&lt;/pub-location&gt;&lt;urls&gt;&lt;/urls&gt;&lt;/record&gt;&lt;/Cite&gt;&lt;/EndNote&gt;</w:instrText>
      </w:r>
      <w:r w:rsidR="00A541ED">
        <w:rPr>
          <w:color w:val="000000" w:themeColor="text1"/>
        </w:rPr>
        <w:fldChar w:fldCharType="separate"/>
      </w:r>
      <w:r w:rsidR="00A541ED">
        <w:rPr>
          <w:noProof/>
          <w:color w:val="000000" w:themeColor="text1"/>
        </w:rPr>
        <w:t>Silverman et al. (2007)</w:t>
      </w:r>
      <w:r w:rsidR="00A541ED">
        <w:rPr>
          <w:color w:val="000000" w:themeColor="text1"/>
        </w:rPr>
        <w:fldChar w:fldCharType="end"/>
      </w:r>
      <w:r w:rsidRPr="001226A6">
        <w:t xml:space="preserve"> noted that seismic imagery indicates that faults and related fractures do not generally extend above the Roper Group into the Hayfield mudstone. </w:t>
      </w:r>
    </w:p>
    <w:p w14:paraId="53CBF044" w14:textId="7F7B4F1B" w:rsidR="00E32622" w:rsidRDefault="00E32622" w:rsidP="00C00F6D">
      <w:pPr>
        <w:pStyle w:val="Heading5"/>
      </w:pPr>
      <w:r>
        <w:t>Collara Subgroup</w:t>
      </w:r>
    </w:p>
    <w:p w14:paraId="6A2CDC42" w14:textId="3C49E45E" w:rsidR="00EB2761" w:rsidRPr="00EA3C12" w:rsidRDefault="37D398EC" w:rsidP="00EB2761">
      <w:pPr>
        <w:rPr>
          <w:rStyle w:val="BodyTextChar"/>
        </w:rPr>
      </w:pPr>
      <w:r>
        <w:t>No petroleum wells have intersected Collara Subgroup within the Beetaloo GBA region. However, outside the Beetaloo GBA region, it is likely that some springs are supplied by groundwater from the Collara Subgroup (</w:t>
      </w:r>
      <w:r w:rsidR="00EB2761">
        <w:fldChar w:fldCharType="begin"/>
      </w:r>
      <w:r w:rsidR="00EB2761">
        <w:instrText xml:space="preserve"> REF _Ref535418897 \h </w:instrText>
      </w:r>
      <w:r w:rsidR="00EB2761">
        <w:fldChar w:fldCharType="separate"/>
      </w:r>
      <w:r w:rsidR="00B177F5">
        <w:t xml:space="preserve">Figure </w:t>
      </w:r>
      <w:r w:rsidR="00B177F5">
        <w:rPr>
          <w:noProof/>
        </w:rPr>
        <w:t>13</w:t>
      </w:r>
      <w:r w:rsidR="00EB2761">
        <w:fldChar w:fldCharType="end"/>
      </w:r>
      <w:r>
        <w:t xml:space="preserve"> and Section</w:t>
      </w:r>
      <w:r w:rsidR="00D70513">
        <w:t xml:space="preserve"> </w:t>
      </w:r>
      <w:r w:rsidR="00D70513">
        <w:fldChar w:fldCharType="begin"/>
      </w:r>
      <w:r w:rsidR="00D70513">
        <w:instrText xml:space="preserve"> REF _Ref5787288 \r \h </w:instrText>
      </w:r>
      <w:r w:rsidR="00D70513">
        <w:fldChar w:fldCharType="separate"/>
      </w:r>
      <w:r w:rsidR="00B177F5">
        <w:t>3.4.3</w:t>
      </w:r>
      <w:r w:rsidR="00D70513">
        <w:fldChar w:fldCharType="end"/>
      </w:r>
      <w:r>
        <w:t xml:space="preserve">). Also, there are bores that draw groundwater from it </w:t>
      </w:r>
      <w:r w:rsidR="00EB2761">
        <w:fldChar w:fldCharType="begin"/>
      </w:r>
      <w:r w:rsidR="005D0C32">
        <w:instrText xml:space="preserve"> ADDIN EN.CITE &lt;EndNote&gt;&lt;Cite&gt;&lt;Author&gt;Zaar&lt;/Author&gt;&lt;Year&gt;2009&lt;/Year&gt;&lt;RecNum&gt;698&lt;/RecNum&gt;&lt;DisplayText&gt;(Zaar, 2009a)&lt;/DisplayText&gt;&lt;record&gt;&lt;rec-number&gt;698&lt;/rec-number&gt;&lt;foreign-keys&gt;&lt;key app="EN" db-id="wdf9tzzdhw2saee559kv0vezt0wfsta0zedv" timestamp="1545264526"&gt;698&lt;/key&gt;&lt;key app="ENWeb" db-id=""&gt;0&lt;/key&gt;&lt;/foreign-keys&gt;&lt;ref-type name="Report"&gt;27&lt;/ref-type&gt;&lt;contributors&gt;&lt;authors&gt;&lt;author&gt;Zaar, Ursula&lt;/author&gt;&lt;/authors&gt;&lt;tertiary-authors&gt;&lt;author&gt;Department of Natural Resources, Environment the Arts and Sport (NT)&lt;/author&gt;&lt;/tertiary-authors&gt;&lt;/contributors&gt;&lt;titles&gt;&lt;title&gt;Gulf water study: water resources of the Limmen Bight and the Macarthur Rivers region&lt;/title&gt;&lt;secondary-title&gt;Gulf Water Study&lt;/secondary-title&gt;&lt;/titles&gt;&lt;pages&gt;200&lt;/pages&gt;&lt;number&gt;17/2009D&lt;/number&gt;&lt;dates&gt;&lt;year&gt;2009&lt;/year&gt;&lt;/dates&gt;&lt;pub-location&gt;Darwin&lt;/pub-location&gt;&lt;publisher&gt;Department of Natural Resources, Environment the Arts and Sport (NT)&lt;/publisher&gt;&lt;isbn&gt;17/2009D&lt;/isbn&gt;&lt;urls&gt;&lt;related-urls&gt;&lt;url&gt;&lt;style face="underline" font="default" size="100%"&gt;http://www.territorystories.nt.gov.au/jspui/handle/10070/243633&lt;/style&gt;&lt;/url&gt;&lt;/related-urls&gt;&lt;/urls&gt;&lt;access-date&gt;28 November 2019&lt;/access-date&gt;&lt;/record&gt;&lt;/Cite&gt;&lt;/EndNote&gt;</w:instrText>
      </w:r>
      <w:r w:rsidR="00EB2761">
        <w:fldChar w:fldCharType="separate"/>
      </w:r>
      <w:r w:rsidR="005D0C32">
        <w:rPr>
          <w:noProof/>
        </w:rPr>
        <w:t>(Zaar, 2009a)</w:t>
      </w:r>
      <w:r w:rsidR="00EB2761">
        <w:fldChar w:fldCharType="end"/>
      </w:r>
      <w:r>
        <w:t>. For instance, at Borroloola located about 170 km east of the Beetaloo GBA region, sandstones in the Collara Subgroup (e.g. the Abner Sandstone) are tapped as the water supply for the township. Individual bore yields of up to 12 L/second have been recorded, and aquifer transmissivity is estimated to be between 34-85 m</w:t>
      </w:r>
      <w:r w:rsidRPr="37D398EC">
        <w:rPr>
          <w:rStyle w:val="Superscript"/>
        </w:rPr>
        <w:t>2</w:t>
      </w:r>
      <w:r>
        <w:t>/day with a storativity in an estimated range of 8.2 x 10</w:t>
      </w:r>
      <w:r w:rsidRPr="37D398EC">
        <w:rPr>
          <w:rStyle w:val="Superscript"/>
        </w:rPr>
        <w:t>-6</w:t>
      </w:r>
      <w:r>
        <w:t xml:space="preserve"> to 1.7 x 10</w:t>
      </w:r>
      <w:r w:rsidRPr="37D398EC">
        <w:rPr>
          <w:rStyle w:val="Superscript"/>
        </w:rPr>
        <w:t>-5</w:t>
      </w:r>
      <w:r>
        <w:t xml:space="preserve"> </w:t>
      </w:r>
      <w:r w:rsidR="00EB2761">
        <w:fldChar w:fldCharType="begin"/>
      </w:r>
      <w:r w:rsidR="00F76E0D">
        <w:instrText xml:space="preserve"> ADDIN EN.CITE &lt;EndNote&gt;&lt;Cite&gt;&lt;Author&gt;Woodford&lt;/Author&gt;&lt;Year&gt;1995&lt;/Year&gt;&lt;RecNum&gt;986&lt;/RecNum&gt;&lt;DisplayText&gt;(Woodford and Yin Foo, 1995)&lt;/DisplayText&gt;&lt;record&gt;&lt;rec-number&gt;986&lt;/rec-number&gt;&lt;foreign-keys&gt;&lt;key app="EN" db-id="wdf9tzzdhw2saee559kv0vezt0wfsta0zedv" timestamp="1557991359"&gt;986&lt;/key&gt;&lt;/foreign-keys&gt;&lt;ref-type name="Journal Article"&gt;17&lt;/ref-type&gt;&lt;contributors&gt;&lt;authors&gt;&lt;author&gt;Woodford, J.C.&lt;/author&gt;&lt;author&gt;Yin Foo, Des&lt;/author&gt;&lt;/authors&gt;&lt;/contributors&gt;&lt;titles&gt;&lt;title&gt;Borroloola Groundwater Investigations 1995.&lt;/title&gt;&lt;secondary-title&gt;Power and Water Authority, Water Resources Division, Technical Report No 59/1995D.&lt;/secondary-title&gt;&lt;/titles&gt;&lt;periodical&gt;&lt;full-title&gt;Power and Water Authority, Water Resources Division, Technical Report No 59/1995D.&lt;/full-title&gt;&lt;/periodical&gt;&lt;dates&gt;&lt;year&gt;1995&lt;/year&gt;&lt;/dates&gt;&lt;urls&gt;&lt;/urls&gt;&lt;/record&gt;&lt;/Cite&gt;&lt;/EndNote&gt;</w:instrText>
      </w:r>
      <w:r w:rsidR="00EB2761">
        <w:fldChar w:fldCharType="separate"/>
      </w:r>
      <w:r w:rsidRPr="37D398EC">
        <w:rPr>
          <w:noProof/>
        </w:rPr>
        <w:t>(Woodford and Yin Foo, 1995)</w:t>
      </w:r>
      <w:r w:rsidR="00EB2761">
        <w:fldChar w:fldCharType="end"/>
      </w:r>
      <w:r>
        <w:t>. Here permeability is attributed to the effects of weathering and dissolution of carbonate cements in the sandstone. In outcrop, the Abner Sandstone has been classified as a fractured rock and weathered rock aquifer with a local flow scale system and a likely yield range of 0.5</w:t>
      </w:r>
      <w:r w:rsidR="00C56524">
        <w:t xml:space="preserve"> to </w:t>
      </w:r>
      <w:r>
        <w:t xml:space="preserve">5 L/second </w:t>
      </w:r>
      <w:r w:rsidR="00EB2761">
        <w:fldChar w:fldCharType="begin"/>
      </w:r>
      <w:r w:rsidR="005D0C32">
        <w:instrText xml:space="preserve"> ADDIN EN.CITE &lt;EndNote&gt;&lt;Cite&gt;&lt;Author&gt;Zaar&lt;/Author&gt;&lt;Year&gt;2009&lt;/Year&gt;&lt;RecNum&gt;698&lt;/RecNum&gt;&lt;DisplayText&gt;(Zaar, 2009a)&lt;/DisplayText&gt;&lt;record&gt;&lt;rec-number&gt;698&lt;/rec-number&gt;&lt;foreign-keys&gt;&lt;key app="EN" db-id="wdf9tzzdhw2saee559kv0vezt0wfsta0zedv" timestamp="1545264526"&gt;698&lt;/key&gt;&lt;key app="ENWeb" db-id=""&gt;0&lt;/key&gt;&lt;/foreign-keys&gt;&lt;ref-type name="Report"&gt;27&lt;/ref-type&gt;&lt;contributors&gt;&lt;authors&gt;&lt;author&gt;Zaar, Ursula&lt;/author&gt;&lt;/authors&gt;&lt;tertiary-authors&gt;&lt;author&gt;Department of Natural Resources, Environment the Arts and Sport (NT)&lt;/author&gt;&lt;/tertiary-authors&gt;&lt;/contributors&gt;&lt;titles&gt;&lt;title&gt;Gulf water study: water resources of the Limmen Bight and the Macarthur Rivers region&lt;/title&gt;&lt;secondary-title&gt;Gulf Water Study&lt;/secondary-title&gt;&lt;/titles&gt;&lt;pages&gt;200&lt;/pages&gt;&lt;number&gt;17/2009D&lt;/number&gt;&lt;dates&gt;&lt;year&gt;2009&lt;/year&gt;&lt;/dates&gt;&lt;pub-location&gt;Darwin&lt;/pub-location&gt;&lt;publisher&gt;Department of Natural Resources, Environment the Arts and Sport (NT)&lt;/publisher&gt;&lt;isbn&gt;17/2009D&lt;/isbn&gt;&lt;urls&gt;&lt;related-urls&gt;&lt;url&gt;&lt;style face="underline" font="default" size="100%"&gt;http://www.territorystories.nt.gov.au/jspui/handle/10070/243633&lt;/style&gt;&lt;/url&gt;&lt;/related-urls&gt;&lt;/urls&gt;&lt;access-date&gt;28 November 2019&lt;/access-date&gt;&lt;/record&gt;&lt;/Cite&gt;&lt;/EndNote&gt;</w:instrText>
      </w:r>
      <w:r w:rsidR="00EB2761">
        <w:fldChar w:fldCharType="separate"/>
      </w:r>
      <w:r w:rsidR="005D0C32">
        <w:rPr>
          <w:noProof/>
        </w:rPr>
        <w:t>(Zaar, 2009a)</w:t>
      </w:r>
      <w:r w:rsidR="00EB2761">
        <w:fldChar w:fldCharType="end"/>
      </w:r>
      <w:r>
        <w:t xml:space="preserve">. </w:t>
      </w:r>
    </w:p>
    <w:p w14:paraId="4B14F777" w14:textId="4B4EF947" w:rsidR="00E32622" w:rsidRDefault="002C1EAD" w:rsidP="00C00F6D">
      <w:pPr>
        <w:pStyle w:val="Heading5"/>
      </w:pPr>
      <w:bookmarkStart w:id="364" w:name="_Ref5713110"/>
      <w:r>
        <w:t>Maiwok Subgroup</w:t>
      </w:r>
      <w:bookmarkEnd w:id="364"/>
    </w:p>
    <w:p w14:paraId="5A69FEB1" w14:textId="157ACF93" w:rsidR="00EB2761" w:rsidRDefault="00EB2761" w:rsidP="00EB2761">
      <w:r>
        <w:t>Petroleum</w:t>
      </w:r>
      <w:r w:rsidRPr="56C0EE13">
        <w:t xml:space="preserve"> drilling data </w:t>
      </w:r>
      <w:r w:rsidR="00B07275">
        <w:t xml:space="preserve">that is </w:t>
      </w:r>
      <w:r w:rsidR="00E713E9">
        <w:t>pertinent</w:t>
      </w:r>
      <w:r w:rsidR="00B07275">
        <w:t xml:space="preserve"> to understanding the hydrogeology of </w:t>
      </w:r>
      <w:r>
        <w:t>the Maiwok Subgroup</w:t>
      </w:r>
      <w:r w:rsidRPr="5E700D93">
        <w:t xml:space="preserve"> </w:t>
      </w:r>
      <w:r w:rsidR="00B07275">
        <w:t>are available and ha</w:t>
      </w:r>
      <w:r w:rsidR="000C76F6">
        <w:t>ve</w:t>
      </w:r>
      <w:r w:rsidR="00B07275">
        <w:t xml:space="preserve"> been compiled for this report </w:t>
      </w:r>
      <w:r>
        <w:t>(</w:t>
      </w:r>
      <w:r w:rsidR="00B07275">
        <w:t xml:space="preserve">See Section </w:t>
      </w:r>
      <w:r w:rsidR="00B07275">
        <w:fldChar w:fldCharType="begin"/>
      </w:r>
      <w:r w:rsidR="00B07275">
        <w:instrText xml:space="preserve"> REF _Ref535508890 \r \h </w:instrText>
      </w:r>
      <w:r w:rsidR="00B07275">
        <w:fldChar w:fldCharType="separate"/>
      </w:r>
      <w:r w:rsidR="00B177F5">
        <w:t>2.2</w:t>
      </w:r>
      <w:r w:rsidR="00B07275">
        <w:fldChar w:fldCharType="end"/>
      </w:r>
      <w:r w:rsidR="00B07275">
        <w:t xml:space="preserve">, </w:t>
      </w:r>
      <w:r>
        <w:fldChar w:fldCharType="begin"/>
      </w:r>
      <w:r>
        <w:instrText xml:space="preserve"> REF _Ref258744 \h </w:instrText>
      </w:r>
      <w:r>
        <w:fldChar w:fldCharType="separate"/>
      </w:r>
      <w:r w:rsidR="00B177F5">
        <w:t xml:space="preserve">Table </w:t>
      </w:r>
      <w:r w:rsidR="00B177F5">
        <w:rPr>
          <w:noProof/>
        </w:rPr>
        <w:t>1</w:t>
      </w:r>
      <w:r>
        <w:fldChar w:fldCharType="end"/>
      </w:r>
      <w:r w:rsidR="00F22A38">
        <w:t>,</w:t>
      </w:r>
      <w:r>
        <w:t xml:space="preserve"> </w:t>
      </w:r>
      <w:r>
        <w:fldChar w:fldCharType="begin"/>
      </w:r>
      <w:r>
        <w:instrText xml:space="preserve"> REF _Ref535416399 \h </w:instrText>
      </w:r>
      <w:r>
        <w:fldChar w:fldCharType="separate"/>
      </w:r>
      <w:r w:rsidR="00B177F5">
        <w:t xml:space="preserve">Table </w:t>
      </w:r>
      <w:r w:rsidR="00B177F5">
        <w:rPr>
          <w:noProof/>
        </w:rPr>
        <w:t>2</w:t>
      </w:r>
      <w:r>
        <w:fldChar w:fldCharType="end"/>
      </w:r>
      <w:r w:rsidR="00F22A38">
        <w:t xml:space="preserve">, </w:t>
      </w:r>
      <w:r w:rsidR="000A500C">
        <w:fldChar w:fldCharType="begin"/>
      </w:r>
      <w:r w:rsidR="000A500C">
        <w:instrText xml:space="preserve"> REF _Ref4664673 \h </w:instrText>
      </w:r>
      <w:r w:rsidR="000A500C">
        <w:fldChar w:fldCharType="separate"/>
      </w:r>
      <w:r w:rsidR="00B177F5">
        <w:t xml:space="preserve">Figure </w:t>
      </w:r>
      <w:r w:rsidR="00B177F5">
        <w:rPr>
          <w:noProof/>
        </w:rPr>
        <w:t>11</w:t>
      </w:r>
      <w:r w:rsidR="000A500C">
        <w:fldChar w:fldCharType="end"/>
      </w:r>
      <w:r w:rsidR="000A500C">
        <w:t xml:space="preserve"> and </w:t>
      </w:r>
      <w:r w:rsidR="000A500C">
        <w:fldChar w:fldCharType="begin"/>
      </w:r>
      <w:r w:rsidR="000A500C">
        <w:instrText xml:space="preserve"> REF _Ref267660 \h </w:instrText>
      </w:r>
      <w:r w:rsidR="000A500C">
        <w:fldChar w:fldCharType="separate"/>
      </w:r>
      <w:r w:rsidR="00B177F5">
        <w:t xml:space="preserve">Figure </w:t>
      </w:r>
      <w:r w:rsidR="00B177F5">
        <w:rPr>
          <w:noProof/>
        </w:rPr>
        <w:t>12</w:t>
      </w:r>
      <w:r w:rsidR="000A500C">
        <w:fldChar w:fldCharType="end"/>
      </w:r>
      <w:r>
        <w:t>)</w:t>
      </w:r>
      <w:r w:rsidRPr="5E700D93">
        <w:t>.</w:t>
      </w:r>
      <w:r>
        <w:t xml:space="preserve"> Outcrop of the Maiwok Subgroup occurs to the north and east of Beetaloo GBA region (</w:t>
      </w:r>
      <w:r>
        <w:fldChar w:fldCharType="begin"/>
      </w:r>
      <w:r>
        <w:instrText xml:space="preserve"> REF _Ref535418897 \h </w:instrText>
      </w:r>
      <w:r>
        <w:fldChar w:fldCharType="separate"/>
      </w:r>
      <w:r w:rsidR="00B177F5">
        <w:t xml:space="preserve">Figure </w:t>
      </w:r>
      <w:r w:rsidR="00B177F5">
        <w:rPr>
          <w:noProof/>
        </w:rPr>
        <w:t>13</w:t>
      </w:r>
      <w:r>
        <w:fldChar w:fldCharType="end"/>
      </w:r>
      <w:r w:rsidRPr="5E700D93">
        <w:t>)</w:t>
      </w:r>
      <w:r w:rsidR="000C76F6">
        <w:t>. As</w:t>
      </w:r>
      <w:r>
        <w:t xml:space="preserve"> was the case with the Collara </w:t>
      </w:r>
      <w:r w:rsidR="00332161">
        <w:t>S</w:t>
      </w:r>
      <w:r>
        <w:t xml:space="preserve">ubgroup, </w:t>
      </w:r>
      <w:r w:rsidR="000C76F6">
        <w:t>outside the Beetaloo GBA region the Maiwok Subgroup</w:t>
      </w:r>
      <w:r w:rsidR="00B07275">
        <w:t xml:space="preserve"> is locally used as aquifer and</w:t>
      </w:r>
      <w:r w:rsidR="008D7A92">
        <w:t xml:space="preserve"> may </w:t>
      </w:r>
      <w:r w:rsidR="000C76F6">
        <w:t xml:space="preserve">also </w:t>
      </w:r>
      <w:r w:rsidR="008D7A92">
        <w:t>be</w:t>
      </w:r>
      <w:r w:rsidR="00B07275">
        <w:t xml:space="preserve"> </w:t>
      </w:r>
      <w:r w:rsidR="008D7A92">
        <w:t xml:space="preserve">a </w:t>
      </w:r>
      <w:r w:rsidR="00B07275">
        <w:t>source aquifer</w:t>
      </w:r>
      <w:r w:rsidR="008D7A92">
        <w:t>(</w:t>
      </w:r>
      <w:r w:rsidR="00B07275">
        <w:t>s</w:t>
      </w:r>
      <w:r w:rsidR="008D7A92">
        <w:t>)</w:t>
      </w:r>
      <w:r w:rsidR="00B07275">
        <w:t xml:space="preserve"> for some springs</w:t>
      </w:r>
      <w:r>
        <w:t xml:space="preserve"> (Section</w:t>
      </w:r>
      <w:r w:rsidR="00D70513">
        <w:t xml:space="preserve"> </w:t>
      </w:r>
      <w:r w:rsidR="00D70513">
        <w:fldChar w:fldCharType="begin"/>
      </w:r>
      <w:r w:rsidR="00D70513">
        <w:instrText xml:space="preserve"> REF _Ref5787288 \r \h </w:instrText>
      </w:r>
      <w:r w:rsidR="00D70513">
        <w:fldChar w:fldCharType="separate"/>
      </w:r>
      <w:r w:rsidR="00B177F5">
        <w:t>3.4.3</w:t>
      </w:r>
      <w:r w:rsidR="00D70513">
        <w:fldChar w:fldCharType="end"/>
      </w:r>
      <w:r w:rsidRPr="5E700D93">
        <w:t>)</w:t>
      </w:r>
      <w:r w:rsidR="00BB77AD">
        <w:t xml:space="preserve">. </w:t>
      </w:r>
      <w:r w:rsidRPr="6899AF86">
        <w:t xml:space="preserve">In the </w:t>
      </w:r>
      <w:r>
        <w:t xml:space="preserve">Beetaloo GBA region the main </w:t>
      </w:r>
      <w:r w:rsidR="00B07275">
        <w:t>units</w:t>
      </w:r>
      <w:r>
        <w:t xml:space="preserve"> within the Maiwok Subgroup </w:t>
      </w:r>
      <w:r w:rsidR="00B07275">
        <w:t xml:space="preserve">that may </w:t>
      </w:r>
      <w:r w:rsidR="00455986">
        <w:t xml:space="preserve">potentially have some </w:t>
      </w:r>
      <w:r w:rsidR="00B07275">
        <w:t xml:space="preserve">aquifer properties (i.e. enough </w:t>
      </w:r>
      <w:r w:rsidR="00E713E9">
        <w:t>permeability</w:t>
      </w:r>
      <w:r w:rsidR="00B07275">
        <w:t xml:space="preserve"> to transmit reasonable </w:t>
      </w:r>
      <w:r w:rsidR="00E713E9">
        <w:t>quantities</w:t>
      </w:r>
      <w:r w:rsidR="00B07275">
        <w:t xml:space="preserve"> of groundwater) </w:t>
      </w:r>
      <w:r>
        <w:t>are the Moroak and Bessie Creek sandstones.</w:t>
      </w:r>
    </w:p>
    <w:p w14:paraId="2F5CC097" w14:textId="234EB800" w:rsidR="00EB2761" w:rsidRDefault="00EB2761" w:rsidP="002B2961">
      <w:pPr>
        <w:pStyle w:val="BodyText"/>
      </w:pPr>
      <w:r>
        <w:t xml:space="preserve">To date, the Bessie Creek Sandstone has only been intersected by a few wells </w:t>
      </w:r>
      <w:r w:rsidR="00A541ED">
        <w:fldChar w:fldCharType="begin"/>
      </w:r>
      <w:r w:rsidR="00F76E0D">
        <w:instrText xml:space="preserve"> ADDIN EN.CITE &lt;EndNote&gt;&lt;Cite&gt;&lt;Author&gt;Orr&lt;/Author&gt;&lt;Year&gt;2020&lt;/Year&gt;&lt;RecNum&gt;797&lt;/RecNum&gt;&lt;DisplayText&gt;(Orr et al., 2020)&lt;/DisplayText&gt;&lt;record&gt;&lt;rec-number&gt;797&lt;/rec-number&gt;&lt;foreign-keys&gt;&lt;key app="EN" db-id="wdf9tzzdhw2saee559kv0vezt0wfsta0zedv" timestamp="1552607511"&gt;797&lt;/key&gt;&lt;/foreign-keys&gt;&lt;ref-type name="Report"&gt;27&lt;/ref-type&gt;&lt;contributors&gt;&lt;authors&gt;&lt;author&gt;Orr, M.L.,&lt;/author&gt;&lt;author&gt;Bernardel, G.,&lt;/author&gt;&lt;author&gt;Owens, R.,&lt;/author&gt;&lt;author&gt;Hall,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A541ED">
        <w:fldChar w:fldCharType="separate"/>
      </w:r>
      <w:r w:rsidR="006456ED">
        <w:rPr>
          <w:noProof/>
        </w:rPr>
        <w:t>(Orr et al., 2020)</w:t>
      </w:r>
      <w:r w:rsidR="00A541ED">
        <w:fldChar w:fldCharType="end"/>
      </w:r>
      <w:r w:rsidR="00051E89">
        <w:t>.</w:t>
      </w:r>
      <w:r>
        <w:t xml:space="preserve"> Indications are that on structure, there may be </w:t>
      </w:r>
      <w:r w:rsidR="00A53E48">
        <w:t>some</w:t>
      </w:r>
      <w:r>
        <w:t xml:space="preserve"> porosity and permeability </w:t>
      </w:r>
      <w:r w:rsidR="00A541ED">
        <w:fldChar w:fldCharType="begin"/>
      </w:r>
      <w:r w:rsidR="00F76E0D">
        <w:instrText xml:space="preserve"> ADDIN EN.CITE &lt;EndNote&gt;&lt;Cite&gt;&lt;Author&gt;Silverman&lt;/Author&gt;&lt;Year&gt;2007&lt;/Year&gt;&lt;RecNum&gt;674&lt;/RecNum&gt;&lt;DisplayText&gt;(Silverman et al., 2007)&lt;/DisplayText&gt;&lt;record&gt;&lt;rec-number&gt;674&lt;/rec-number&gt;&lt;foreign-keys&gt;&lt;key app="EN" db-id="wdf9tzzdhw2saee559kv0vezt0wfsta0zedv" timestamp="1545264432"&gt;674&lt;/key&gt;&lt;key app="ENWeb" db-id=""&gt;0&lt;/key&gt;&lt;/foreign-keys&gt;&lt;ref-type name="Conference Paper"&gt;47&lt;/ref-type&gt;&lt;contributors&gt;&lt;authors&gt;&lt;author&gt;Silverman, M. R.&lt;/author&gt;&lt;author&gt;Landon, S. M.&lt;/author&gt;&lt;author&gt;Leaver, J. S.&lt;/author&gt;&lt;author&gt;Mather, T. J.&lt;/author&gt;&lt;author&gt;Berg, E.&lt;/author&gt;&lt;/authors&gt;&lt;/contributors&gt;&lt;titles&gt;&lt;title&gt;No fuel like an old fuel: proterozoic oil and gas potential in the Beetaloo Basin, Northern Territory, Australia&lt;/title&gt;&lt;secondary-title&gt;Proceedings of the Central Australian Basins Symposium (CABS), Northern Territory Geological Survey (NTGS) Special Publication 2&lt;/secondary-title&gt;&lt;/titles&gt;&lt;pages&gt;205–215&lt;/pages&gt;&lt;volume&gt;2&lt;/volume&gt;&lt;keywords&gt;&lt;keyword&gt;Northern Territory&lt;/keyword&gt;&lt;keyword&gt;Beetaloo Basin&lt;/keyword&gt;&lt;keyword&gt;Velkerri Formation&lt;/keyword&gt;&lt;keyword&gt;Kyalla Formation&lt;/keyword&gt;&lt;keyword&gt;Jamison Sandstone&lt;/keyword&gt;&lt;keyword&gt;Moroak Sandstone&lt;/keyword&gt;&lt;keyword&gt;Proterozoic&lt;/keyword&gt;&lt;keyword&gt;Hydrocarbons&lt;/keyword&gt;&lt;keyword&gt;Petroleum potential&lt;/keyword&gt;&lt;keyword&gt;Petroleum exploration&lt;/keyword&gt;&lt;keyword&gt;Petroleum geology&lt;/keyword&gt;&lt;keyword&gt;Beetaloo Sub-basin&lt;/keyword&gt;&lt;/keywords&gt;&lt;dates&gt;&lt;year&gt;2007&lt;/year&gt;&lt;pub-dates&gt;&lt;date&gt;16-18 August 2005&lt;/date&gt;&lt;/pub-dates&gt;&lt;/dates&gt;&lt;pub-location&gt;Alice Springs, Northern Territory&lt;/pub-location&gt;&lt;urls&gt;&lt;/urls&gt;&lt;/record&gt;&lt;/Cite&gt;&lt;/EndNote&gt;</w:instrText>
      </w:r>
      <w:r w:rsidR="00A541ED">
        <w:fldChar w:fldCharType="separate"/>
      </w:r>
      <w:r w:rsidR="00A541ED">
        <w:rPr>
          <w:noProof/>
        </w:rPr>
        <w:t>(Silverman et al., 2007)</w:t>
      </w:r>
      <w:r w:rsidR="00A541ED">
        <w:fldChar w:fldCharType="end"/>
      </w:r>
      <w:r w:rsidR="00B07275">
        <w:t>. There is also</w:t>
      </w:r>
      <w:r>
        <w:t xml:space="preserve"> potential for basin</w:t>
      </w:r>
      <w:r w:rsidR="00C756C2">
        <w:t>-</w:t>
      </w:r>
      <w:r w:rsidR="00A53E48">
        <w:t xml:space="preserve">centred tight gas </w:t>
      </w:r>
      <w:r w:rsidR="002B2961">
        <w:t xml:space="preserve">plays </w:t>
      </w:r>
      <w:r w:rsidR="002B2961">
        <w:fldChar w:fldCharType="begin"/>
      </w:r>
      <w:r w:rsidR="00F76E0D">
        <w:instrText xml:space="preserve"> ADDIN EN.CITE &lt;EndNote&gt;&lt;Cite&gt;&lt;Author&gt;Hall&lt;/Author&gt;&lt;Year&gt;2020&lt;/Year&gt;&lt;RecNum&gt;1190&lt;/RecNum&gt;&lt;DisplayText&gt;(Hall et al., 2020)&lt;/DisplayText&gt;&lt;record&gt;&lt;rec-number&gt;1190&lt;/rec-number&gt;&lt;foreign-keys&gt;&lt;key app="EN" db-id="wdf9tzzdhw2saee559kv0vezt0wfsta0zedv" timestamp="1563842478"&gt;1190&lt;/key&gt;&lt;/foreign-keys&gt;&lt;ref-type name="Report"&gt;27&lt;/ref-type&gt;&lt;contributors&gt;&lt;authors&gt;&lt;author&gt;Hall, L.S.,&lt;/author&gt;&lt;author&gt;Wang, L.,&lt;/author&gt;&lt;author&gt;Bailey, A.H.E.,&lt;/author&gt;&lt;author&gt;Orr, M.L.,&lt;/author&gt;&lt;author&gt;Owens, R.,&lt;/author&gt;&lt;author&gt;Jarrett, A.J.M.,&lt;/author&gt;&lt;author&gt;Lech, M.E.,&lt;/author&gt;&lt;author&gt;Skeers, N.,&lt;/author&gt;&lt;author&gt;Reese, B.,&lt;/author&gt;&lt;author&gt;Woods, M.,&lt;/author&gt;&lt;/authors&gt;&lt;/contributors&gt;&lt;titles&gt;&lt;title&gt;Petroleum prospectivity of the Beetaloo Sub-basin.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2B2961">
        <w:fldChar w:fldCharType="separate"/>
      </w:r>
      <w:r w:rsidR="00190334">
        <w:rPr>
          <w:noProof/>
        </w:rPr>
        <w:t>(Hall et al., 2020)</w:t>
      </w:r>
      <w:r w:rsidR="002B2961">
        <w:fldChar w:fldCharType="end"/>
      </w:r>
      <w:r w:rsidR="00C70750">
        <w:t>;</w:t>
      </w:r>
      <w:r w:rsidR="005A49F9">
        <w:t xml:space="preserve"> </w:t>
      </w:r>
      <w:r w:rsidR="00A541ED">
        <w:fldChar w:fldCharType="begin"/>
      </w:r>
      <w:r w:rsidR="00F76E0D">
        <w:instrText xml:space="preserve"> ADDIN EN.CITE &lt;EndNote&gt;&lt;Cite&gt;&lt;Author&gt;Silverman&lt;/Author&gt;&lt;Year&gt;2007&lt;/Year&gt;&lt;RecNum&gt;674&lt;/RecNum&gt;&lt;DisplayText&gt;(Silverman et al., 2007)&lt;/DisplayText&gt;&lt;record&gt;&lt;rec-number&gt;674&lt;/rec-number&gt;&lt;foreign-keys&gt;&lt;key app="EN" db-id="wdf9tzzdhw2saee559kv0vezt0wfsta0zedv" timestamp="1545264432"&gt;674&lt;/key&gt;&lt;key app="ENWeb" db-id=""&gt;0&lt;/key&gt;&lt;/foreign-keys&gt;&lt;ref-type name="Conference Paper"&gt;47&lt;/ref-type&gt;&lt;contributors&gt;&lt;authors&gt;&lt;author&gt;Silverman, M. R.&lt;/author&gt;&lt;author&gt;Landon, S. M.&lt;/author&gt;&lt;author&gt;Leaver, J. S.&lt;/author&gt;&lt;author&gt;Mather, T. J.&lt;/author&gt;&lt;author&gt;Berg, E.&lt;/author&gt;&lt;/authors&gt;&lt;/contributors&gt;&lt;titles&gt;&lt;title&gt;No fuel like an old fuel: proterozoic oil and gas potential in the Beetaloo Basin, Northern Territory, Australia&lt;/title&gt;&lt;secondary-title&gt;Proceedings of the Central Australian Basins Symposium (CABS), Northern Territory Geological Survey (NTGS) Special Publication 2&lt;/secondary-title&gt;&lt;/titles&gt;&lt;pages&gt;205–215&lt;/pages&gt;&lt;volume&gt;2&lt;/volume&gt;&lt;keywords&gt;&lt;keyword&gt;Northern Territory&lt;/keyword&gt;&lt;keyword&gt;Beetaloo Basin&lt;/keyword&gt;&lt;keyword&gt;Velkerri Formation&lt;/keyword&gt;&lt;keyword&gt;Kyalla Formation&lt;/keyword&gt;&lt;keyword&gt;Jamison Sandstone&lt;/keyword&gt;&lt;keyword&gt;Moroak Sandstone&lt;/keyword&gt;&lt;keyword&gt;Proterozoic&lt;/keyword&gt;&lt;keyword&gt;Hydrocarbons&lt;/keyword&gt;&lt;keyword&gt;Petroleum potential&lt;/keyword&gt;&lt;keyword&gt;Petroleum exploration&lt;/keyword&gt;&lt;keyword&gt;Petroleum geology&lt;/keyword&gt;&lt;keyword&gt;Beetaloo Sub-basin&lt;/keyword&gt;&lt;/keywords&gt;&lt;dates&gt;&lt;year&gt;2007&lt;/year&gt;&lt;pub-dates&gt;&lt;date&gt;16-18 August 2005&lt;/date&gt;&lt;/pub-dates&gt;&lt;/dates&gt;&lt;pub-location&gt;Alice Springs, Northern Territory&lt;/pub-location&gt;&lt;urls&gt;&lt;/urls&gt;&lt;/record&gt;&lt;/Cite&gt;&lt;/EndNote&gt;</w:instrText>
      </w:r>
      <w:r w:rsidR="00A541ED">
        <w:fldChar w:fldCharType="separate"/>
      </w:r>
      <w:r w:rsidR="005322C2">
        <w:rPr>
          <w:noProof/>
        </w:rPr>
        <w:t>(Silverman et al., 2007)</w:t>
      </w:r>
      <w:r w:rsidR="00A541ED">
        <w:fldChar w:fldCharType="end"/>
      </w:r>
      <w:r>
        <w:t xml:space="preserve">. These observations have bearing on its hydrodynamics, as at shallower levels, in discrete structural corridors, the unit may have enough permeability to act locally as an aquifer </w:t>
      </w:r>
      <w:r w:rsidR="00A541ED">
        <w:fldChar w:fldCharType="begin"/>
      </w:r>
      <w:r w:rsidR="008F30E0">
        <w:instrText xml:space="preserve"> ADDIN EN.CITE &lt;EndNote&gt;&lt;Cite&gt;&lt;Author&gt;Fulton&lt;/Author&gt;&lt;Year&gt;2015&lt;/Year&gt;&lt;RecNum&gt;671&lt;/RecNum&gt;&lt;DisplayText&gt;(Fulton and Knapton, 2015b)&lt;/DisplayText&gt;&lt;record&gt;&lt;rec-number&gt;671&lt;/rec-number&gt;&lt;foreign-keys&gt;&lt;key app="EN" db-id="wdf9tzzdhw2saee559kv0vezt0wfsta0zedv" timestamp="1545264407"&gt;671&lt;/key&gt;&lt;key app="ENWeb" db-id=""&gt;0&lt;/key&gt;&lt;/foreign-keys&gt;&lt;ref-type name="Report"&gt;27&lt;/ref-type&gt;&lt;contributors&gt;&lt;authors&gt;&lt;author&gt;Fulton, S.&lt;/author&gt;&lt;author&gt;Knapton, A.&lt;/author&gt;&lt;/authors&gt;&lt;/contributors&gt;&lt;titles&gt;&lt;title&gt;Beetaloo Basin hydrogeological assessment. Cloud GMS&lt;/title&gt;&lt;/titles&gt;&lt;pages&gt;70&lt;/pages&gt;&lt;dates&gt;&lt;year&gt;2015&lt;/year&gt;&lt;pub-dates&gt;&lt;date&gt;February 2015&lt;/date&gt;&lt;/pub-dates&gt;&lt;/dates&gt;&lt;publisher&gt;Origin Energy Report 1 for Fracking Enquiry NT&lt;/publisher&gt;&lt;urls&gt;&lt;related-urls&gt;&lt;url&gt;https://frackinginquiry.nt.gov.au/?a=410609&lt;/url&gt;&lt;/related-urls&gt;&lt;/urls&gt;&lt;access-date&gt;28 November 2019&lt;/access-date&gt;&lt;/record&gt;&lt;/Cite&gt;&lt;/EndNote&gt;</w:instrText>
      </w:r>
      <w:r w:rsidR="00A541ED">
        <w:fldChar w:fldCharType="separate"/>
      </w:r>
      <w:r w:rsidR="008F30E0">
        <w:rPr>
          <w:noProof/>
        </w:rPr>
        <w:t>(Fulton and Knapton, 2015b)</w:t>
      </w:r>
      <w:r w:rsidR="00A541ED">
        <w:fldChar w:fldCharType="end"/>
      </w:r>
      <w:r>
        <w:t>. However, where basin</w:t>
      </w:r>
      <w:r w:rsidR="00C756C2">
        <w:t>-</w:t>
      </w:r>
      <w:r>
        <w:t>c</w:t>
      </w:r>
      <w:r w:rsidR="002B2961">
        <w:t xml:space="preserve">entred tight gas plays prevail </w:t>
      </w:r>
      <w:r w:rsidR="002B2961">
        <w:fldChar w:fldCharType="begin"/>
      </w:r>
      <w:r w:rsidR="00F76E0D">
        <w:instrText xml:space="preserve"> ADDIN EN.CITE &lt;EndNote&gt;&lt;Cite&gt;&lt;Author&gt;Hall&lt;/Author&gt;&lt;Year&gt;2020&lt;/Year&gt;&lt;RecNum&gt;1190&lt;/RecNum&gt;&lt;DisplayText&gt;(Hall et al., 2020)&lt;/DisplayText&gt;&lt;record&gt;&lt;rec-number&gt;1190&lt;/rec-number&gt;&lt;foreign-keys&gt;&lt;key app="EN" db-id="wdf9tzzdhw2saee559kv0vezt0wfsta0zedv" timestamp="1563842478"&gt;1190&lt;/key&gt;&lt;/foreign-keys&gt;&lt;ref-type name="Report"&gt;27&lt;/ref-type&gt;&lt;contributors&gt;&lt;authors&gt;&lt;author&gt;Hall, L.S.,&lt;/author&gt;&lt;author&gt;Wang, L.,&lt;/author&gt;&lt;author&gt;Bailey, A.H.E.,&lt;/author&gt;&lt;author&gt;Orr, M.L.,&lt;/author&gt;&lt;author&gt;Owens, R.,&lt;/author&gt;&lt;author&gt;Jarrett, A.J.M.,&lt;/author&gt;&lt;author&gt;Lech, M.E.,&lt;/author&gt;&lt;author&gt;Skeers, N.,&lt;/author&gt;&lt;author&gt;Reese, B.,&lt;/author&gt;&lt;author&gt;Woods, M.,&lt;/author&gt;&lt;/authors&gt;&lt;/contributors&gt;&lt;titles&gt;&lt;title&gt;Petroleum prospectivity of the Beetaloo Sub-basin.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2B2961">
        <w:fldChar w:fldCharType="separate"/>
      </w:r>
      <w:r w:rsidR="00190334">
        <w:rPr>
          <w:noProof/>
        </w:rPr>
        <w:t>(Hall et al., 2020)</w:t>
      </w:r>
      <w:r w:rsidR="002B2961">
        <w:fldChar w:fldCharType="end"/>
      </w:r>
      <w:r>
        <w:t>, the sandstone would have low</w:t>
      </w:r>
      <w:r w:rsidR="00B07275">
        <w:t>er</w:t>
      </w:r>
      <w:r>
        <w:t xml:space="preserve"> permeability and</w:t>
      </w:r>
      <w:r w:rsidR="00B07275">
        <w:t xml:space="preserve"> porosity would </w:t>
      </w:r>
      <w:r>
        <w:t>be more likely to be gas saturated w</w:t>
      </w:r>
      <w:r w:rsidR="00B07275">
        <w:t>ith little groundwater. Thus, it is more likely to</w:t>
      </w:r>
      <w:r>
        <w:t xml:space="preserve"> act as an aquitard. </w:t>
      </w:r>
    </w:p>
    <w:p w14:paraId="7D7D8E6A" w14:textId="3CB4EAD2" w:rsidR="00EB2761" w:rsidRDefault="37D398EC" w:rsidP="50BA1442">
      <w:r>
        <w:t xml:space="preserve">The Moroak Sandstone is an extensive, basin-wide, sandstone dominated unit up to 498 m thick </w:t>
      </w:r>
      <w:r w:rsidR="00EB2761">
        <w:fldChar w:fldCharType="begin"/>
      </w:r>
      <w:r w:rsidR="00F76E0D">
        <w:instrText xml:space="preserve"> ADDIN EN.CITE &lt;EndNote&gt;&lt;Cite&gt;&lt;Author&gt;Orr&lt;/Author&gt;&lt;Year&gt;2020&lt;/Year&gt;&lt;RecNum&gt;797&lt;/RecNum&gt;&lt;DisplayText&gt;(Orr et al., 2020)&lt;/DisplayText&gt;&lt;record&gt;&lt;rec-number&gt;797&lt;/rec-number&gt;&lt;foreign-keys&gt;&lt;key app="EN" db-id="wdf9tzzdhw2saee559kv0vezt0wfsta0zedv" timestamp="1552607511"&gt;797&lt;/key&gt;&lt;/foreign-keys&gt;&lt;ref-type name="Report"&gt;27&lt;/ref-type&gt;&lt;contributors&gt;&lt;authors&gt;&lt;author&gt;Orr, M.L.,&lt;/author&gt;&lt;author&gt;Bernardel, G.,&lt;/author&gt;&lt;author&gt;Owens, R.,&lt;/author&gt;&lt;author&gt;Hall,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EB2761">
        <w:fldChar w:fldCharType="separate"/>
      </w:r>
      <w:r w:rsidRPr="37D398EC">
        <w:rPr>
          <w:noProof/>
        </w:rPr>
        <w:t>(Orr et al., 2020)</w:t>
      </w:r>
      <w:r w:rsidR="00EB2761">
        <w:fldChar w:fldCharType="end"/>
      </w:r>
      <w:r>
        <w:t xml:space="preserve">. It is confined by the underlying Velkerri Formation and the overlying Kyalla Formation. Porosity and permeability are predominantly secondary, derived mainly from fracturing </w:t>
      </w:r>
      <w:r w:rsidR="00EB2761">
        <w:fldChar w:fldCharType="begin"/>
      </w:r>
      <w:r w:rsidR="008F30E0">
        <w:instrText xml:space="preserve"> ADDIN EN.CITE &lt;EndNote&gt;&lt;Cite&gt;&lt;Author&gt;Fulton&lt;/Author&gt;&lt;Year&gt;2015&lt;/Year&gt;&lt;RecNum&gt;671&lt;/RecNum&gt;&lt;DisplayText&gt;(Fulton and Knapton, 2015b; RobSearch, 1997)&lt;/DisplayText&gt;&lt;record&gt;&lt;rec-number&gt;671&lt;/rec-number&gt;&lt;foreign-keys&gt;&lt;key app="EN" db-id="wdf9tzzdhw2saee559kv0vezt0wfsta0zedv" timestamp="1545264407"&gt;671&lt;/key&gt;&lt;key app="ENWeb" db-id=""&gt;0&lt;/key&gt;&lt;/foreign-keys&gt;&lt;ref-type name="Report"&gt;27&lt;/ref-type&gt;&lt;contributors&gt;&lt;authors&gt;&lt;author&gt;Fulton, S.&lt;/author&gt;&lt;author&gt;Knapton, A.&lt;/author&gt;&lt;/authors&gt;&lt;/contributors&gt;&lt;titles&gt;&lt;title&gt;Beetaloo Basin hydrogeological assessment. Cloud GMS&lt;/title&gt;&lt;/titles&gt;&lt;pages&gt;70&lt;/pages&gt;&lt;dates&gt;&lt;year&gt;2015&lt;/year&gt;&lt;pub-dates&gt;&lt;date&gt;February 2015&lt;/date&gt;&lt;/pub-dates&gt;&lt;/dates&gt;&lt;publisher&gt;Origin Energy Report 1 for Fracking Enquiry NT&lt;/publisher&gt;&lt;urls&gt;&lt;related-urls&gt;&lt;url&gt;https://frackinginquiry.nt.gov.au/?a=410609&lt;/url&gt;&lt;/related-urls&gt;&lt;/urls&gt;&lt;access-date&gt;28 November 2019&lt;/access-date&gt;&lt;/record&gt;&lt;/Cite&gt;&lt;Cite&gt;&lt;Author&gt;RobSearch&lt;/Author&gt;&lt;Year&gt;1997&lt;/Year&gt;&lt;RecNum&gt;699&lt;/RecNum&gt;&lt;record&gt;&lt;rec-number&gt;699&lt;/rec-number&gt;&lt;foreign-keys&gt;&lt;key app="EN" db-id="wdf9tzzdhw2saee559kv0vezt0wfsta0zedv" timestamp="1545264526"&gt;699&lt;/key&gt;&lt;/foreign-keys&gt;&lt;ref-type name="Report"&gt;27&lt;/ref-type&gt;&lt;contributors&gt;&lt;authors&gt;&lt;author&gt;RobSearch&lt;/author&gt;&lt;/authors&gt;&lt;/contributors&gt;&lt;titles&gt;&lt;title&gt;Technical review of EP 18 and EP(A) 70, Beetaloo Basin, Northern Territory, Australia, prepared for Mataranks Oil NL. Robsearch Project No. 3972.&lt;/title&gt;&lt;/titles&gt;&lt;dates&gt;&lt;year&gt;1997&lt;/year&gt;&lt;/dates&gt;&lt;isbn&gt;3972&lt;/isbn&gt;&lt;urls&gt;&lt;/urls&gt;&lt;/record&gt;&lt;/Cite&gt;&lt;/EndNote&gt;</w:instrText>
      </w:r>
      <w:r w:rsidR="00EB2761">
        <w:fldChar w:fldCharType="separate"/>
      </w:r>
      <w:r w:rsidR="008F30E0">
        <w:rPr>
          <w:noProof/>
        </w:rPr>
        <w:t>(Fulton and Knapton, 2015b; RobSearch, 1997)</w:t>
      </w:r>
      <w:r w:rsidR="00EB2761">
        <w:fldChar w:fldCharType="end"/>
      </w:r>
      <w:r>
        <w:t>. Core porosities generally range from 6</w:t>
      </w:r>
      <w:r w:rsidR="005A49F9">
        <w:t xml:space="preserve">% to </w:t>
      </w:r>
      <w:r>
        <w:t xml:space="preserve">15% and occasionally up to 19% at depths near 700 m. In Elliott-1, the unit has 57.9 m of sandstone greater than 10% (average 13.4%). Permeability values range from 0.01 </w:t>
      </w:r>
      <w:r w:rsidR="00EB2761">
        <w:fldChar w:fldCharType="begin"/>
      </w:r>
      <w:r w:rsidR="00F76E0D">
        <w:instrText xml:space="preserve"> ADDIN EN.CITE &lt;EndNote&gt;&lt;Cite&gt;&lt;Author&gt;Silverman&lt;/Author&gt;&lt;Year&gt;2011&lt;/Year&gt;&lt;RecNum&gt;670&lt;/RecNum&gt;&lt;DisplayText&gt;(Silverman and Ahlbrandt, 2011)&lt;/DisplayText&gt;&lt;record&gt;&lt;rec-number&gt;670&lt;/rec-number&gt;&lt;foreign-keys&gt;&lt;key app="EN" db-id="wdf9tzzdhw2saee559kv0vezt0wfsta0zedv" timestamp="1545264400"&gt;670&lt;/key&gt;&lt;key app="ENWeb" db-id=""&gt;0&lt;/key&gt;&lt;/foreign-keys&gt;&lt;ref-type name="Conference Paper"&gt;47&lt;/ref-type&gt;&lt;contributors&gt;&lt;authors&gt;&lt;author&gt;Silverman, Matthew R.&lt;/author&gt;&lt;author&gt;Ahlbrandt, Thomas&lt;/author&gt;&lt;/authors&gt;&lt;/contributors&gt;&lt;titles&gt;&lt;title&gt;Mesoproterozoic unconventional plays in the Beetaloo Basin, Australia: the world’s oldest petroleum systems&lt;/title&gt;&lt;secondary-title&gt;AAPG International Conference and Exhibition &lt;/secondary-title&gt;&lt;/titles&gt;&lt;dates&gt;&lt;year&gt;2011&lt;/year&gt;&lt;pub-dates&gt;&lt;date&gt;September 14, 2011&lt;/date&gt;&lt;/pub-dates&gt;&lt;/dates&gt;&lt;pub-location&gt;Calgary&lt;/pub-location&gt;&lt;urls&gt;&lt;related-urls&gt;&lt;url&gt;&lt;style face="underline" font="default" size="100%"&gt;www.searchanddiscovery.com/pdfz/documents/2011/10295silverman/ndx_silverman.pdf.html&lt;/style&gt;&lt;/url&gt;&lt;/related-urls&gt;&lt;/urls&gt;&lt;access-date&gt;12 November 2018&lt;/access-date&gt;&lt;/record&gt;&lt;/Cite&gt;&lt;/EndNote&gt;</w:instrText>
      </w:r>
      <w:r w:rsidR="00EB2761">
        <w:fldChar w:fldCharType="separate"/>
      </w:r>
      <w:r w:rsidRPr="37D398EC">
        <w:rPr>
          <w:noProof/>
        </w:rPr>
        <w:t>(Silverman and Ahlbrandt, 2011)</w:t>
      </w:r>
      <w:r w:rsidR="00EB2761">
        <w:fldChar w:fldCharType="end"/>
      </w:r>
      <w:r>
        <w:t xml:space="preserve"> to 55 to 274 millidarcys </w:t>
      </w:r>
      <w:r w:rsidR="00E31E78">
        <w:fldChar w:fldCharType="begin"/>
      </w:r>
      <w:r w:rsidR="00F76E0D">
        <w:instrText xml:space="preserve"> ADDIN EN.CITE &lt;EndNote&gt;&lt;Cite&gt;&lt;Author&gt;Tulloch&lt;/Author&gt;&lt;Year&gt;2015&lt;/Year&gt;&lt;RecNum&gt;1149&lt;/RecNum&gt;&lt;DisplayText&gt;(Tulloch et al., 2015)&lt;/DisplayText&gt;&lt;record&gt;&lt;rec-number&gt;1149&lt;/rec-number&gt;&lt;foreign-keys&gt;&lt;key app="EN" db-id="wdf9tzzdhw2saee559kv0vezt0wfsta0zedv" timestamp="1562804873"&gt;1149&lt;/key&gt;&lt;/foreign-keys&gt;&lt;ref-type name="Journal Article"&gt;17&lt;/ref-type&gt;&lt;contributors&gt;&lt;authors&gt;&lt;author&gt;Tulloch, AIT&lt;/author&gt;&lt;author&gt;Barnes, MD&lt;/author&gt;&lt;author&gt;Ringma, J&lt;/author&gt;&lt;author&gt;Fuller, RA&lt;/author&gt;&lt;author&gt;Watson, JEM&lt;/author&gt;&lt;/authors&gt;&lt;/contributors&gt;&lt;titles&gt;&lt;title&gt;Understanding the importance of small patches of habitat for conservation&lt;/title&gt;&lt;secondary-title&gt;Journal of Applied Ecology&lt;/secondary-title&gt;&lt;/titles&gt;&lt;periodical&gt;&lt;full-title&gt;Journal of Applied Ecology&lt;/full-title&gt;&lt;/periodical&gt;&lt;pages&gt;418-429&lt;/pages&gt;&lt;volume&gt;53&lt;/volume&gt;&lt;dates&gt;&lt;year&gt;2015&lt;/year&gt;&lt;/dates&gt;&lt;urls&gt;&lt;/urls&gt;&lt;/record&gt;&lt;/Cite&gt;&lt;/EndNote&gt;</w:instrText>
      </w:r>
      <w:r w:rsidR="00E31E78">
        <w:fldChar w:fldCharType="separate"/>
      </w:r>
      <w:r w:rsidR="00D272A5">
        <w:rPr>
          <w:noProof/>
        </w:rPr>
        <w:t>(Tulloch et al., 2015)</w:t>
      </w:r>
      <w:r w:rsidR="00E31E78">
        <w:fldChar w:fldCharType="end"/>
      </w:r>
      <w:r w:rsidR="00D272A5">
        <w:t>;</w:t>
      </w:r>
      <w:r w:rsidR="00EB2761">
        <w:fldChar w:fldCharType="begin"/>
      </w:r>
      <w:r w:rsidR="008F30E0">
        <w:instrText xml:space="preserve"> ADDIN EN.CITE &lt;EndNote&gt;&lt;Cite&gt;&lt;Author&gt;Fulton&lt;/Author&gt;&lt;Year&gt;2015&lt;/Year&gt;&lt;RecNum&gt;671&lt;/RecNum&gt;&lt;DisplayText&gt;(Fulton and Knapton, 2015b)&lt;/DisplayText&gt;&lt;record&gt;&lt;rec-number&gt;671&lt;/rec-number&gt;&lt;foreign-keys&gt;&lt;key app="EN" db-id="wdf9tzzdhw2saee559kv0vezt0wfsta0zedv" timestamp="1545264407"&gt;671&lt;/key&gt;&lt;key app="ENWeb" db-id=""&gt;0&lt;/key&gt;&lt;/foreign-keys&gt;&lt;ref-type name="Report"&gt;27&lt;/ref-type&gt;&lt;contributors&gt;&lt;authors&gt;&lt;author&gt;Fulton, S.&lt;/author&gt;&lt;author&gt;Knapton, A.&lt;/author&gt;&lt;/authors&gt;&lt;/contributors&gt;&lt;titles&gt;&lt;title&gt;Beetaloo Basin hydrogeological assessment. Cloud GMS&lt;/title&gt;&lt;/titles&gt;&lt;pages&gt;70&lt;/pages&gt;&lt;dates&gt;&lt;year&gt;2015&lt;/year&gt;&lt;pub-dates&gt;&lt;date&gt;February 2015&lt;/date&gt;&lt;/pub-dates&gt;&lt;/dates&gt;&lt;publisher&gt;Origin Energy Report 1 for Fracking Enquiry NT&lt;/publisher&gt;&lt;urls&gt;&lt;related-urls&gt;&lt;url&gt;https://frackinginquiry.nt.gov.au/?a=410609&lt;/url&gt;&lt;/related-urls&gt;&lt;/urls&gt;&lt;access-date&gt;28 November 2019&lt;/access-date&gt;&lt;/record&gt;&lt;/Cite&gt;&lt;/EndNote&gt;</w:instrText>
      </w:r>
      <w:r w:rsidR="00EB2761">
        <w:fldChar w:fldCharType="separate"/>
      </w:r>
      <w:r w:rsidR="008F30E0">
        <w:rPr>
          <w:noProof/>
        </w:rPr>
        <w:t>(Fulton and Knapton, 2015b)</w:t>
      </w:r>
      <w:r w:rsidR="00EB2761">
        <w:fldChar w:fldCharType="end"/>
      </w:r>
      <w:r>
        <w:t>, which equates to approximately 0.05</w:t>
      </w:r>
      <w:r w:rsidR="005A49F9">
        <w:t xml:space="preserve"> to </w:t>
      </w:r>
      <w:r>
        <w:t>0.23 m/day.</w:t>
      </w:r>
    </w:p>
    <w:p w14:paraId="242F968C" w14:textId="7764B3C5" w:rsidR="00EB2761" w:rsidRDefault="00EB2761" w:rsidP="00EB2761">
      <w:r>
        <w:t xml:space="preserve">Some </w:t>
      </w:r>
      <w:r w:rsidR="005A49F9">
        <w:t xml:space="preserve">water flows </w:t>
      </w:r>
      <w:r w:rsidR="00B07275">
        <w:t>of groundwater have been documented to occur from Moroak Sandstone to</w:t>
      </w:r>
      <w:r>
        <w:t xml:space="preserve"> petroleum wells (</w:t>
      </w:r>
      <w:r>
        <w:fldChar w:fldCharType="begin"/>
      </w:r>
      <w:r>
        <w:instrText xml:space="preserve"> REF _Ref535416399 \h </w:instrText>
      </w:r>
      <w:r>
        <w:fldChar w:fldCharType="separate"/>
      </w:r>
      <w:r w:rsidR="00B177F5">
        <w:t xml:space="preserve">Table </w:t>
      </w:r>
      <w:r w:rsidR="00B177F5">
        <w:rPr>
          <w:noProof/>
        </w:rPr>
        <w:t>2</w:t>
      </w:r>
      <w:r>
        <w:fldChar w:fldCharType="end"/>
      </w:r>
      <w:r>
        <w:t>)</w:t>
      </w:r>
      <w:r w:rsidR="00B07275">
        <w:t xml:space="preserve">. The wells outlined in </w:t>
      </w:r>
      <w:r w:rsidR="00B07275">
        <w:fldChar w:fldCharType="begin"/>
      </w:r>
      <w:r w:rsidR="00B07275">
        <w:instrText xml:space="preserve"> REF _Ref535416399 \h </w:instrText>
      </w:r>
      <w:r w:rsidR="00B07275">
        <w:fldChar w:fldCharType="separate"/>
      </w:r>
      <w:r w:rsidR="00B177F5">
        <w:t xml:space="preserve">Table </w:t>
      </w:r>
      <w:r w:rsidR="00B177F5">
        <w:rPr>
          <w:noProof/>
        </w:rPr>
        <w:t>2</w:t>
      </w:r>
      <w:r w:rsidR="00B07275">
        <w:fldChar w:fldCharType="end"/>
      </w:r>
      <w:r w:rsidRPr="4EC80525">
        <w:t xml:space="preserve"> </w:t>
      </w:r>
      <w:r>
        <w:t xml:space="preserve">are located in regions of higher permeability that are considered to exist </w:t>
      </w:r>
      <w:r w:rsidR="005A49F9">
        <w:t>‘</w:t>
      </w:r>
      <w:r>
        <w:t>on structure</w:t>
      </w:r>
      <w:r w:rsidR="005A49F9">
        <w:t>’</w:t>
      </w:r>
      <w:r w:rsidR="00DF42D0">
        <w:t xml:space="preserve"> (</w:t>
      </w:r>
      <w:r w:rsidR="009419EB">
        <w:t>s</w:t>
      </w:r>
      <w:r w:rsidR="00DF42D0">
        <w:t xml:space="preserve">ee Section </w:t>
      </w:r>
      <w:r w:rsidR="00DF42D0">
        <w:fldChar w:fldCharType="begin"/>
      </w:r>
      <w:r w:rsidR="00DF42D0">
        <w:instrText xml:space="preserve"> REF _Ref279671 \r \h </w:instrText>
      </w:r>
      <w:r w:rsidR="00DF42D0">
        <w:fldChar w:fldCharType="separate"/>
      </w:r>
      <w:r w:rsidR="00B177F5">
        <w:t>3.2.1</w:t>
      </w:r>
      <w:r w:rsidR="00DF42D0">
        <w:fldChar w:fldCharType="end"/>
      </w:r>
      <w:r w:rsidR="00DF42D0">
        <w:t xml:space="preserve"> for an explanation)</w:t>
      </w:r>
      <w:r>
        <w:t>. As an example</w:t>
      </w:r>
      <w:r w:rsidR="00DF42D0">
        <w:t>,</w:t>
      </w:r>
      <w:r>
        <w:t xml:space="preserve"> over the Arnold </w:t>
      </w:r>
      <w:r w:rsidR="00EE0AFD">
        <w:t>High</w:t>
      </w:r>
      <w:r w:rsidR="00DF42D0">
        <w:t xml:space="preserve"> (</w:t>
      </w:r>
      <w:r w:rsidR="00DF42D0">
        <w:fldChar w:fldCharType="begin"/>
      </w:r>
      <w:r w:rsidR="00DF42D0">
        <w:instrText xml:space="preserve"> REF _Ref21090047 \h </w:instrText>
      </w:r>
      <w:r w:rsidR="00DF42D0">
        <w:fldChar w:fldCharType="separate"/>
      </w:r>
      <w:r w:rsidR="00B177F5">
        <w:t xml:space="preserve">Figure </w:t>
      </w:r>
      <w:r w:rsidR="00B177F5">
        <w:rPr>
          <w:noProof/>
        </w:rPr>
        <w:t>5</w:t>
      </w:r>
      <w:r w:rsidR="00DF42D0">
        <w:fldChar w:fldCharType="end"/>
      </w:r>
      <w:r w:rsidR="00DF42D0">
        <w:t>)</w:t>
      </w:r>
      <w:r>
        <w:t>, rel</w:t>
      </w:r>
      <w:r w:rsidR="00DF42D0">
        <w:t>atively high water flows</w:t>
      </w:r>
      <w:r w:rsidR="007111D4">
        <w:t xml:space="preserve"> up to 7 </w:t>
      </w:r>
      <w:r w:rsidR="006B739D">
        <w:t>L/second</w:t>
      </w:r>
      <w:r w:rsidR="00DF42D0">
        <w:t xml:space="preserve">, occur </w:t>
      </w:r>
      <w:r>
        <w:t>at depths greater than 10</w:t>
      </w:r>
      <w:r w:rsidR="007111D4">
        <w:t>00 </w:t>
      </w:r>
      <w:r>
        <w:t>m (</w:t>
      </w:r>
      <w:r>
        <w:fldChar w:fldCharType="begin"/>
      </w:r>
      <w:r>
        <w:instrText xml:space="preserve"> REF _Ref535416399 \h </w:instrText>
      </w:r>
      <w:r>
        <w:fldChar w:fldCharType="separate"/>
      </w:r>
      <w:r w:rsidR="00B177F5">
        <w:t xml:space="preserve">Table </w:t>
      </w:r>
      <w:r w:rsidR="00B177F5">
        <w:rPr>
          <w:noProof/>
        </w:rPr>
        <w:t>2</w:t>
      </w:r>
      <w:r>
        <w:fldChar w:fldCharType="end"/>
      </w:r>
      <w:r w:rsidRPr="4EC80525">
        <w:t xml:space="preserve">) </w:t>
      </w:r>
      <w:r w:rsidR="00A541ED">
        <w:fldChar w:fldCharType="begin"/>
      </w:r>
      <w:r w:rsidR="008F30E0">
        <w:instrText xml:space="preserve"> ADDIN EN.CITE &lt;EndNote&gt;&lt;Cite&gt;&lt;Author&gt;Silverman&lt;/Author&gt;&lt;Year&gt;2011&lt;/Year&gt;&lt;RecNum&gt;670&lt;/RecNum&gt;&lt;DisplayText&gt;(Silverman and Ahlbrandt, 2011; Fulton and Knapton, 2015b)&lt;/DisplayText&gt;&lt;record&gt;&lt;rec-number&gt;670&lt;/rec-number&gt;&lt;foreign-keys&gt;&lt;key app="EN" db-id="wdf9tzzdhw2saee559kv0vezt0wfsta0zedv" timestamp="1545264400"&gt;670&lt;/key&gt;&lt;key app="ENWeb" db-id=""&gt;0&lt;/key&gt;&lt;/foreign-keys&gt;&lt;ref-type name="Conference Paper"&gt;47&lt;/ref-type&gt;&lt;contributors&gt;&lt;authors&gt;&lt;author&gt;Silverman, Matthew R.&lt;/author&gt;&lt;author&gt;Ahlbrandt, Thomas&lt;/author&gt;&lt;/authors&gt;&lt;/contributors&gt;&lt;titles&gt;&lt;title&gt;Mesoproterozoic unconventional plays in the Beetaloo Basin, Australia: the world’s oldest petroleum systems&lt;/title&gt;&lt;secondary-title&gt;AAPG International Conference and Exhibition &lt;/secondary-title&gt;&lt;/titles&gt;&lt;dates&gt;&lt;year&gt;2011&lt;/year&gt;&lt;pub-dates&gt;&lt;date&gt;September 14, 2011&lt;/date&gt;&lt;/pub-dates&gt;&lt;/dates&gt;&lt;pub-location&gt;Calgary&lt;/pub-location&gt;&lt;urls&gt;&lt;related-urls&gt;&lt;url&gt;&lt;style face="underline" font="default" size="100%"&gt;www.searchanddiscovery.com/pdfz/documents/2011/10295silverman/ndx_silverman.pdf.html&lt;/style&gt;&lt;/url&gt;&lt;/related-urls&gt;&lt;/urls&gt;&lt;access-date&gt;12 November 2018&lt;/access-date&gt;&lt;/record&gt;&lt;/Cite&gt;&lt;Cite&gt;&lt;Author&gt;Fulton&lt;/Author&gt;&lt;Year&gt;2015&lt;/Year&gt;&lt;RecNum&gt;671&lt;/RecNum&gt;&lt;record&gt;&lt;rec-number&gt;671&lt;/rec-number&gt;&lt;foreign-keys&gt;&lt;key app="EN" db-id="wdf9tzzdhw2saee559kv0vezt0wfsta0zedv" timestamp="1545264407"&gt;671&lt;/key&gt;&lt;key app="ENWeb" db-id=""&gt;0&lt;/key&gt;&lt;/foreign-keys&gt;&lt;ref-type name="Report"&gt;27&lt;/ref-type&gt;&lt;contributors&gt;&lt;authors&gt;&lt;author&gt;Fulton, S.&lt;/author&gt;&lt;author&gt;Knapton, A.&lt;/author&gt;&lt;/authors&gt;&lt;/contributors&gt;&lt;titles&gt;&lt;title&gt;Beetaloo Basin hydrogeological assessment. Cloud GMS&lt;/title&gt;&lt;/titles&gt;&lt;pages&gt;70&lt;/pages&gt;&lt;dates&gt;&lt;year&gt;2015&lt;/year&gt;&lt;pub-dates&gt;&lt;date&gt;February 2015&lt;/date&gt;&lt;/pub-dates&gt;&lt;/dates&gt;&lt;publisher&gt;Origin Energy Report 1 for Fracking Enquiry NT&lt;/publisher&gt;&lt;urls&gt;&lt;related-urls&gt;&lt;url&gt;https://frackinginquiry.nt.gov.au/?a=410609&lt;/url&gt;&lt;/related-urls&gt;&lt;/urls&gt;&lt;access-date&gt;28 November 2019&lt;/access-date&gt;&lt;/record&gt;&lt;/Cite&gt;&lt;/EndNote&gt;</w:instrText>
      </w:r>
      <w:r w:rsidR="00A541ED">
        <w:fldChar w:fldCharType="separate"/>
      </w:r>
      <w:r w:rsidR="008F30E0">
        <w:rPr>
          <w:noProof/>
        </w:rPr>
        <w:t>(Silverman and Ahlbrandt, 2011; Fulton and Knapton, 2015b)</w:t>
      </w:r>
      <w:r w:rsidR="00A541ED">
        <w:fldChar w:fldCharType="end"/>
      </w:r>
      <w:r w:rsidR="00891E63" w:rsidRPr="4EC80525">
        <w:t xml:space="preserve">. </w:t>
      </w:r>
      <w:r w:rsidR="00DF42D0">
        <w:t>These authors</w:t>
      </w:r>
      <w:r>
        <w:t xml:space="preserve"> </w:t>
      </w:r>
      <w:r w:rsidRPr="00DF42D0">
        <w:t xml:space="preserve">noted </w:t>
      </w:r>
      <w:r w:rsidR="00DF42D0" w:rsidRPr="00DF42D0">
        <w:t xml:space="preserve">there were </w:t>
      </w:r>
      <w:r w:rsidR="4EC80525" w:rsidRPr="00DF42D0">
        <w:t xml:space="preserve">water flows in wells </w:t>
      </w:r>
      <w:r w:rsidRPr="00DF42D0">
        <w:t>in</w:t>
      </w:r>
      <w:r>
        <w:t xml:space="preserve"> the vicinity of </w:t>
      </w:r>
      <w:r w:rsidR="00455986">
        <w:t xml:space="preserve">the </w:t>
      </w:r>
      <w:r>
        <w:t>Walton and Helen Springs Highs (</w:t>
      </w:r>
      <w:r w:rsidR="009419EB">
        <w:t>s</w:t>
      </w:r>
      <w:r>
        <w:t xml:space="preserve">ee </w:t>
      </w:r>
      <w:r w:rsidR="00DF42D0">
        <w:fldChar w:fldCharType="begin"/>
      </w:r>
      <w:r w:rsidR="00DF42D0">
        <w:instrText xml:space="preserve"> REF _Ref21090047 \h </w:instrText>
      </w:r>
      <w:r w:rsidR="00DF42D0">
        <w:fldChar w:fldCharType="separate"/>
      </w:r>
      <w:r w:rsidR="00B177F5">
        <w:t xml:space="preserve">Figure </w:t>
      </w:r>
      <w:r w:rsidR="00B177F5">
        <w:rPr>
          <w:noProof/>
        </w:rPr>
        <w:t>5</w:t>
      </w:r>
      <w:r w:rsidR="00DF42D0">
        <w:fldChar w:fldCharType="end"/>
      </w:r>
      <w:r w:rsidR="00DF42D0">
        <w:t xml:space="preserve"> </w:t>
      </w:r>
      <w:r>
        <w:t xml:space="preserve">for </w:t>
      </w:r>
      <w:r w:rsidR="00DF42D0">
        <w:t>location of structures</w:t>
      </w:r>
      <w:r>
        <w:t xml:space="preserve">). </w:t>
      </w:r>
      <w:r w:rsidR="00DF42D0">
        <w:t xml:space="preserve">Areas of higher permeability </w:t>
      </w:r>
      <w:r w:rsidR="00455986">
        <w:t>are</w:t>
      </w:r>
      <w:r w:rsidR="00DF42D0">
        <w:t xml:space="preserve"> inferred to exist </w:t>
      </w:r>
      <w:r>
        <w:t xml:space="preserve">in </w:t>
      </w:r>
      <w:r w:rsidR="00DF42D0">
        <w:t xml:space="preserve">other </w:t>
      </w:r>
      <w:r>
        <w:t>significantly structured areas, such as over the Daly River Arch. Cross</w:t>
      </w:r>
      <w:r w:rsidR="00C756C2" w:rsidRPr="4EC80525">
        <w:t>-</w:t>
      </w:r>
      <w:r>
        <w:t xml:space="preserve">sections outlined </w:t>
      </w:r>
      <w:r w:rsidR="005E5C6B">
        <w:t xml:space="preserve">in </w:t>
      </w:r>
      <w:r w:rsidR="00A541ED">
        <w:fldChar w:fldCharType="begin"/>
      </w:r>
      <w:r w:rsidR="008F30E0">
        <w:instrText xml:space="preserve"> ADDIN EN.CITE &lt;EndNote&gt;&lt;Cite AuthorYear="1"&gt;&lt;Author&gt;Fulton&lt;/Author&gt;&lt;Year&gt;2015&lt;/Year&gt;&lt;RecNum&gt;671&lt;/RecNum&gt;&lt;DisplayText&gt;Fulton and Knapton (2015b)&lt;/DisplayText&gt;&lt;record&gt;&lt;rec-number&gt;671&lt;/rec-number&gt;&lt;foreign-keys&gt;&lt;key app="EN" db-id="wdf9tzzdhw2saee559kv0vezt0wfsta0zedv" timestamp="1545264407"&gt;671&lt;/key&gt;&lt;key app="ENWeb" db-id=""&gt;0&lt;/key&gt;&lt;/foreign-keys&gt;&lt;ref-type name="Report"&gt;27&lt;/ref-type&gt;&lt;contributors&gt;&lt;authors&gt;&lt;author&gt;Fulton, S.&lt;/author&gt;&lt;author&gt;Knapton, A.&lt;/author&gt;&lt;/authors&gt;&lt;/contributors&gt;&lt;titles&gt;&lt;title&gt;Beetaloo Basin hydrogeological assessment. Cloud GMS&lt;/title&gt;&lt;/titles&gt;&lt;pages&gt;70&lt;/pages&gt;&lt;dates&gt;&lt;year&gt;2015&lt;/year&gt;&lt;pub-dates&gt;&lt;date&gt;February 2015&lt;/date&gt;&lt;/pub-dates&gt;&lt;/dates&gt;&lt;publisher&gt;Origin Energy Report 1 for Fracking Enquiry NT&lt;/publisher&gt;&lt;urls&gt;&lt;related-urls&gt;&lt;url&gt;https://frackinginquiry.nt.gov.au/?a=410609&lt;/url&gt;&lt;/related-urls&gt;&lt;/urls&gt;&lt;access-date&gt;28 November 2019&lt;/access-date&gt;&lt;/record&gt;&lt;/Cite&gt;&lt;/EndNote&gt;</w:instrText>
      </w:r>
      <w:r w:rsidR="00A541ED">
        <w:fldChar w:fldCharType="separate"/>
      </w:r>
      <w:r w:rsidR="008F30E0">
        <w:rPr>
          <w:noProof/>
        </w:rPr>
        <w:t>Fulton and Knapton (2015b)</w:t>
      </w:r>
      <w:r w:rsidR="00A541ED">
        <w:fldChar w:fldCharType="end"/>
      </w:r>
      <w:r w:rsidR="005E5C6B" w:rsidRPr="4EC80525">
        <w:t xml:space="preserve"> </w:t>
      </w:r>
      <w:r>
        <w:t>suggest that the Moroak Sandstone is significantly faulted in this region</w:t>
      </w:r>
      <w:r w:rsidR="005A49F9">
        <w:t>;</w:t>
      </w:r>
      <w:r>
        <w:t xml:space="preserve"> however, there is no drill data here to provide permeability estimates.</w:t>
      </w:r>
    </w:p>
    <w:p w14:paraId="50AF31E1" w14:textId="718F8156" w:rsidR="00EB2761" w:rsidRDefault="00455986" w:rsidP="00EB2761">
      <w:r>
        <w:t>Groundwater h</w:t>
      </w:r>
      <w:r w:rsidR="00EB2761">
        <w:t>ydraulic head calculated from DST shut-in pressures (</w:t>
      </w:r>
      <w:r>
        <w:fldChar w:fldCharType="begin"/>
      </w:r>
      <w:r>
        <w:instrText xml:space="preserve"> REF _Ref258744 \h </w:instrText>
      </w:r>
      <w:r>
        <w:fldChar w:fldCharType="separate"/>
      </w:r>
      <w:r w:rsidR="00B177F5">
        <w:t xml:space="preserve">Table </w:t>
      </w:r>
      <w:r w:rsidR="00B177F5">
        <w:rPr>
          <w:noProof/>
        </w:rPr>
        <w:t>1</w:t>
      </w:r>
      <w:r>
        <w:fldChar w:fldCharType="end"/>
      </w:r>
      <w:r w:rsidR="00EB2761">
        <w:t>) suggest</w:t>
      </w:r>
      <w:r>
        <w:t>s</w:t>
      </w:r>
      <w:r w:rsidR="00EB2761">
        <w:t xml:space="preserve"> that whil</w:t>
      </w:r>
      <w:r w:rsidR="00A00A2A">
        <w:t>e</w:t>
      </w:r>
      <w:r w:rsidR="00EB2761">
        <w:t xml:space="preserve"> pressures in the Moroak Sandstone at the well sites are sub-artesian, there is enough potential to lift water levels above </w:t>
      </w:r>
      <w:r w:rsidR="00C47A50">
        <w:t xml:space="preserve">level of </w:t>
      </w:r>
      <w:r w:rsidR="00EB2761">
        <w:t>the top of the Proterozoic unconformity. Hence</w:t>
      </w:r>
      <w:r w:rsidR="005A49F9">
        <w:t>,</w:t>
      </w:r>
      <w:r w:rsidR="00EB2761">
        <w:t xml:space="preserve"> in the vicinity of the well in which measurements were taken (</w:t>
      </w:r>
      <w:r>
        <w:fldChar w:fldCharType="begin"/>
      </w:r>
      <w:r>
        <w:instrText xml:space="preserve"> REF _Ref535418897 \h </w:instrText>
      </w:r>
      <w:r>
        <w:fldChar w:fldCharType="separate"/>
      </w:r>
      <w:r w:rsidR="00B177F5">
        <w:t xml:space="preserve">Figure </w:t>
      </w:r>
      <w:r w:rsidR="00B177F5">
        <w:rPr>
          <w:noProof/>
        </w:rPr>
        <w:t>13</w:t>
      </w:r>
      <w:r>
        <w:fldChar w:fldCharType="end"/>
      </w:r>
      <w:r w:rsidR="00EB2761">
        <w:t xml:space="preserve">), it is </w:t>
      </w:r>
      <w:r w:rsidR="77F5CA24">
        <w:t>possible</w:t>
      </w:r>
      <w:r w:rsidR="00EB2761">
        <w:t xml:space="preserve"> there </w:t>
      </w:r>
      <w:r w:rsidR="3BBE99B9">
        <w:t xml:space="preserve">in some areas there </w:t>
      </w:r>
      <w:r w:rsidR="00EB2761">
        <w:t>is enough potential for groundwater to flow vertically from Moroak Sandstone  upward</w:t>
      </w:r>
      <w:r w:rsidR="001F4D66">
        <w:t xml:space="preserve"> into overlying</w:t>
      </w:r>
      <w:r w:rsidR="00EB2761">
        <w:t xml:space="preserve"> aquifers, if a suitable connective pathway were to exist. Groundwater from </w:t>
      </w:r>
      <w:r>
        <w:t xml:space="preserve">the </w:t>
      </w:r>
      <w:r w:rsidR="00EB2761">
        <w:t xml:space="preserve">Moroak Sandstone is highly saline (see </w:t>
      </w:r>
      <w:r w:rsidR="00D272A5">
        <w:t>S</w:t>
      </w:r>
      <w:r w:rsidR="00EB2761">
        <w:t xml:space="preserve">ection </w:t>
      </w:r>
      <w:r>
        <w:fldChar w:fldCharType="begin"/>
      </w:r>
      <w:r>
        <w:instrText xml:space="preserve"> REF _Ref535418236 \r \h </w:instrText>
      </w:r>
      <w:r>
        <w:fldChar w:fldCharType="separate"/>
      </w:r>
      <w:r w:rsidR="00B177F5">
        <w:t>3.3.1</w:t>
      </w:r>
      <w:r>
        <w:fldChar w:fldCharType="end"/>
      </w:r>
      <w:r w:rsidR="00EB2761">
        <w:t xml:space="preserve"> and </w:t>
      </w:r>
      <w:r>
        <w:fldChar w:fldCharType="begin"/>
      </w:r>
      <w:r w:rsidR="008F30E0">
        <w:instrText xml:space="preserve"> ADDIN EN.CITE &lt;EndNote&gt;&lt;Cite AuthorYear="1"&gt;&lt;Author&gt;Fulton&lt;/Author&gt;&lt;Year&gt;2015&lt;/Year&gt;&lt;RecNum&gt;671&lt;/RecNum&gt;&lt;DisplayText&gt;Fulton and Knapton (2015b)&lt;/DisplayText&gt;&lt;record&gt;&lt;rec-number&gt;671&lt;/rec-number&gt;&lt;foreign-keys&gt;&lt;key app="EN" db-id="wdf9tzzdhw2saee559kv0vezt0wfsta0zedv" timestamp="1545264407"&gt;671&lt;/key&gt;&lt;key app="ENWeb" db-id=""&gt;0&lt;/key&gt;&lt;/foreign-keys&gt;&lt;ref-type name="Report"&gt;27&lt;/ref-type&gt;&lt;contributors&gt;&lt;authors&gt;&lt;author&gt;Fulton, S.&lt;/author&gt;&lt;author&gt;Knapton, A.&lt;/author&gt;&lt;/authors&gt;&lt;/contributors&gt;&lt;titles&gt;&lt;title&gt;Beetaloo Basin hydrogeological assessment. Cloud GMS&lt;/title&gt;&lt;/titles&gt;&lt;pages&gt;70&lt;/pages&gt;&lt;dates&gt;&lt;year&gt;2015&lt;/year&gt;&lt;pub-dates&gt;&lt;date&gt;February 2015&lt;/date&gt;&lt;/pub-dates&gt;&lt;/dates&gt;&lt;publisher&gt;Origin Energy Report 1 for Fracking Enquiry NT&lt;/publisher&gt;&lt;urls&gt;&lt;related-urls&gt;&lt;url&gt;https://frackinginquiry.nt.gov.au/?a=410609&lt;/url&gt;&lt;/related-urls&gt;&lt;/urls&gt;&lt;access-date&gt;28 November 2019&lt;/access-date&gt;&lt;/record&gt;&lt;/Cite&gt;&lt;/EndNote&gt;</w:instrText>
      </w:r>
      <w:r>
        <w:fldChar w:fldCharType="separate"/>
      </w:r>
      <w:r w:rsidR="008F30E0">
        <w:rPr>
          <w:noProof/>
        </w:rPr>
        <w:t>Fulton and Knapton (2015b)</w:t>
      </w:r>
      <w:r>
        <w:fldChar w:fldCharType="end"/>
      </w:r>
      <w:r w:rsidR="005E5C6B">
        <w:t xml:space="preserve"> </w:t>
      </w:r>
      <w:r w:rsidR="00C47A50">
        <w:t>with</w:t>
      </w:r>
      <w:r w:rsidR="00EB2761">
        <w:t xml:space="preserve"> temperatures in the order of 70</w:t>
      </w:r>
      <w:r w:rsidR="005A49F9">
        <w:t xml:space="preserve"> to </w:t>
      </w:r>
      <w:r w:rsidR="00EB2761">
        <w:t>90</w:t>
      </w:r>
      <w:r w:rsidR="005A49F9">
        <w:t xml:space="preserve"> </w:t>
      </w:r>
      <w:r w:rsidR="00EB2761">
        <w:t>°C (</w:t>
      </w:r>
      <w:r>
        <w:fldChar w:fldCharType="begin"/>
      </w:r>
      <w:r>
        <w:instrText xml:space="preserve"> REF _Ref267660 \h </w:instrText>
      </w:r>
      <w:r>
        <w:fldChar w:fldCharType="separate"/>
      </w:r>
      <w:r w:rsidR="00B177F5">
        <w:t xml:space="preserve">Figure </w:t>
      </w:r>
      <w:r w:rsidR="00B177F5">
        <w:rPr>
          <w:noProof/>
        </w:rPr>
        <w:t>12</w:t>
      </w:r>
      <w:r>
        <w:fldChar w:fldCharType="end"/>
      </w:r>
      <w:r w:rsidR="00EB2761">
        <w:t>) at depths of</w:t>
      </w:r>
      <w:r w:rsidR="007111D4">
        <w:t xml:space="preserve"> 1100</w:t>
      </w:r>
      <w:r w:rsidR="005A49F9">
        <w:t xml:space="preserve"> to </w:t>
      </w:r>
      <w:r w:rsidR="007111D4">
        <w:t>1700 </w:t>
      </w:r>
      <w:r w:rsidR="00EB2761">
        <w:t xml:space="preserve">m. </w:t>
      </w:r>
    </w:p>
    <w:p w14:paraId="6C196757" w14:textId="43EFC1EA" w:rsidR="00EB2761" w:rsidRDefault="00EB2761" w:rsidP="00EB2761">
      <w:r>
        <w:t xml:space="preserve">As with the Bessie Creek Sandstone, </w:t>
      </w:r>
      <w:r>
        <w:rPr>
          <w:rFonts w:eastAsiaTheme="minorHAnsi" w:cs="Calibri"/>
        </w:rPr>
        <w:t>the Moroak Sandstone may contain basin</w:t>
      </w:r>
      <w:r w:rsidR="00C756C2">
        <w:rPr>
          <w:rFonts w:eastAsiaTheme="minorHAnsi" w:cs="Calibri"/>
        </w:rPr>
        <w:t>-</w:t>
      </w:r>
      <w:r w:rsidR="007F0842">
        <w:rPr>
          <w:rFonts w:eastAsiaTheme="minorHAnsi" w:cs="Calibri"/>
        </w:rPr>
        <w:t xml:space="preserve">centred tight gas plays </w:t>
      </w:r>
      <w:r w:rsidR="007F0842">
        <w:rPr>
          <w:rFonts w:eastAsiaTheme="minorHAnsi" w:cs="Calibri"/>
        </w:rPr>
        <w:fldChar w:fldCharType="begin"/>
      </w:r>
      <w:r w:rsidR="00F76E0D">
        <w:rPr>
          <w:rFonts w:eastAsiaTheme="minorHAnsi" w:cs="Calibri"/>
        </w:rPr>
        <w:instrText xml:space="preserve"> ADDIN EN.CITE &lt;EndNote&gt;&lt;Cite&gt;&lt;Author&gt;Hall&lt;/Author&gt;&lt;Year&gt;2020&lt;/Year&gt;&lt;RecNum&gt;1190&lt;/RecNum&gt;&lt;DisplayText&gt;(Hall et al., 2020)&lt;/DisplayText&gt;&lt;record&gt;&lt;rec-number&gt;1190&lt;/rec-number&gt;&lt;foreign-keys&gt;&lt;key app="EN" db-id="wdf9tzzdhw2saee559kv0vezt0wfsta0zedv" timestamp="1563842478"&gt;1190&lt;/key&gt;&lt;/foreign-keys&gt;&lt;ref-type name="Report"&gt;27&lt;/ref-type&gt;&lt;contributors&gt;&lt;authors&gt;&lt;author&gt;Hall, L.S.,&lt;/author&gt;&lt;author&gt;Wang, L.,&lt;/author&gt;&lt;author&gt;Bailey, A.H.E.,&lt;/author&gt;&lt;author&gt;Orr, M.L.,&lt;/author&gt;&lt;author&gt;Owens, R.,&lt;/author&gt;&lt;author&gt;Jarrett, A.J.M.,&lt;/author&gt;&lt;author&gt;Lech, M.E.,&lt;/author&gt;&lt;author&gt;Skeers, N.,&lt;/author&gt;&lt;author&gt;Reese, B.,&lt;/author&gt;&lt;author&gt;Woods, M.,&lt;/author&gt;&lt;/authors&gt;&lt;/contributors&gt;&lt;titles&gt;&lt;title&gt;Petroleum prospectivity of the Beetaloo Sub-basin.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7F0842">
        <w:rPr>
          <w:rFonts w:eastAsiaTheme="minorHAnsi" w:cs="Calibri"/>
        </w:rPr>
        <w:fldChar w:fldCharType="separate"/>
      </w:r>
      <w:r w:rsidR="00190334">
        <w:rPr>
          <w:rFonts w:eastAsiaTheme="minorHAnsi" w:cs="Calibri"/>
          <w:noProof/>
        </w:rPr>
        <w:t>(Hall et al., 2020)</w:t>
      </w:r>
      <w:r w:rsidR="007F0842">
        <w:rPr>
          <w:rFonts w:eastAsiaTheme="minorHAnsi" w:cs="Calibri"/>
        </w:rPr>
        <w:fldChar w:fldCharType="end"/>
      </w:r>
      <w:r w:rsidR="009B527C">
        <w:rPr>
          <w:rFonts w:eastAsiaTheme="minorHAnsi" w:cs="Calibri"/>
        </w:rPr>
        <w:t>;</w:t>
      </w:r>
      <w:r w:rsidR="005A49F9">
        <w:rPr>
          <w:rFonts w:eastAsiaTheme="minorHAnsi" w:cs="Calibri"/>
        </w:rPr>
        <w:t xml:space="preserve"> </w:t>
      </w:r>
      <w:r w:rsidR="00A541ED">
        <w:rPr>
          <w:rFonts w:eastAsiaTheme="minorHAnsi" w:cs="Calibri"/>
        </w:rPr>
        <w:fldChar w:fldCharType="begin"/>
      </w:r>
      <w:r w:rsidR="00F76E0D">
        <w:rPr>
          <w:rFonts w:eastAsiaTheme="minorHAnsi" w:cs="Calibri"/>
        </w:rPr>
        <w:instrText xml:space="preserve"> ADDIN EN.CITE &lt;EndNote&gt;&lt;Cite&gt;&lt;Author&gt;Silverman&lt;/Author&gt;&lt;Year&gt;2007&lt;/Year&gt;&lt;RecNum&gt;674&lt;/RecNum&gt;&lt;DisplayText&gt;(Silverman et al., 2007)&lt;/DisplayText&gt;&lt;record&gt;&lt;rec-number&gt;674&lt;/rec-number&gt;&lt;foreign-keys&gt;&lt;key app="EN" db-id="wdf9tzzdhw2saee559kv0vezt0wfsta0zedv" timestamp="1545264432"&gt;674&lt;/key&gt;&lt;key app="ENWeb" db-id=""&gt;0&lt;/key&gt;&lt;/foreign-keys&gt;&lt;ref-type name="Conference Paper"&gt;47&lt;/ref-type&gt;&lt;contributors&gt;&lt;authors&gt;&lt;author&gt;Silverman, M. R.&lt;/author&gt;&lt;author&gt;Landon, S. M.&lt;/author&gt;&lt;author&gt;Leaver, J. S.&lt;/author&gt;&lt;author&gt;Mather, T. J.&lt;/author&gt;&lt;author&gt;Berg, E.&lt;/author&gt;&lt;/authors&gt;&lt;/contributors&gt;&lt;titles&gt;&lt;title&gt;No fuel like an old fuel: proterozoic oil and gas potential in the Beetaloo Basin, Northern Territory, Australia&lt;/title&gt;&lt;secondary-title&gt;Proceedings of the Central Australian Basins Symposium (CABS), Northern Territory Geological Survey (NTGS) Special Publication 2&lt;/secondary-title&gt;&lt;/titles&gt;&lt;pages&gt;205–215&lt;/pages&gt;&lt;volume&gt;2&lt;/volume&gt;&lt;keywords&gt;&lt;keyword&gt;Northern Territory&lt;/keyword&gt;&lt;keyword&gt;Beetaloo Basin&lt;/keyword&gt;&lt;keyword&gt;Velkerri Formation&lt;/keyword&gt;&lt;keyword&gt;Kyalla Formation&lt;/keyword&gt;&lt;keyword&gt;Jamison Sandstone&lt;/keyword&gt;&lt;keyword&gt;Moroak Sandstone&lt;/keyword&gt;&lt;keyword&gt;Proterozoic&lt;/keyword&gt;&lt;keyword&gt;Hydrocarbons&lt;/keyword&gt;&lt;keyword&gt;Petroleum potential&lt;/keyword&gt;&lt;keyword&gt;Petroleum exploration&lt;/keyword&gt;&lt;keyword&gt;Petroleum geology&lt;/keyword&gt;&lt;keyword&gt;Beetaloo Sub-basin&lt;/keyword&gt;&lt;/keywords&gt;&lt;dates&gt;&lt;year&gt;2007&lt;/year&gt;&lt;pub-dates&gt;&lt;date&gt;16-18 August 2005&lt;/date&gt;&lt;/pub-dates&gt;&lt;/dates&gt;&lt;pub-location&gt;Alice Springs, Northern Territory&lt;/pub-location&gt;&lt;urls&gt;&lt;/urls&gt;&lt;/record&gt;&lt;/Cite&gt;&lt;/EndNote&gt;</w:instrText>
      </w:r>
      <w:r w:rsidR="00A541ED">
        <w:rPr>
          <w:rFonts w:eastAsiaTheme="minorHAnsi" w:cs="Calibri"/>
        </w:rPr>
        <w:fldChar w:fldCharType="separate"/>
      </w:r>
      <w:r w:rsidR="008603AE">
        <w:rPr>
          <w:rFonts w:eastAsiaTheme="minorHAnsi" w:cs="Calibri"/>
          <w:noProof/>
        </w:rPr>
        <w:t>(Silverman et al., 2007)</w:t>
      </w:r>
      <w:r w:rsidR="00A541ED">
        <w:rPr>
          <w:rFonts w:eastAsiaTheme="minorHAnsi" w:cs="Calibri"/>
        </w:rPr>
        <w:fldChar w:fldCharType="end"/>
      </w:r>
      <w:r w:rsidR="00783675">
        <w:rPr>
          <w:rFonts w:eastAsiaTheme="minorHAnsi" w:cs="Calibri"/>
        </w:rPr>
        <w:t>)</w:t>
      </w:r>
      <w:r>
        <w:t xml:space="preserve">. Such plays would be characterised by low permeability, high gas saturation and no down-dip gas/water contact. Under such conditions they </w:t>
      </w:r>
      <w:r w:rsidR="00046A68">
        <w:t>are likely to</w:t>
      </w:r>
      <w:r w:rsidR="005D5F1C">
        <w:t xml:space="preserve"> </w:t>
      </w:r>
      <w:r>
        <w:t>contain minimal free groundwater and consequently act as an aquitard rather than an aquifer.</w:t>
      </w:r>
    </w:p>
    <w:p w14:paraId="2A6F3C16" w14:textId="5C1915C1" w:rsidR="00EB2761" w:rsidRDefault="00C415AE" w:rsidP="00EB2761">
      <w:r>
        <w:t>The Kyalla and</w:t>
      </w:r>
      <w:r w:rsidR="5B3F5A9C">
        <w:t xml:space="preserve"> </w:t>
      </w:r>
      <w:r w:rsidR="00832E7C">
        <w:t xml:space="preserve">Velkerri formations </w:t>
      </w:r>
      <w:r w:rsidR="5B3F5A9C">
        <w:t xml:space="preserve">are regional aquitards. With the high gas saturation in the Velkerri </w:t>
      </w:r>
      <w:r w:rsidR="00BB6D37">
        <w:t>F</w:t>
      </w:r>
      <w:r w:rsidR="5B3F5A9C">
        <w:t>ormation, any intra-formational sand/siltstone zones would likely have very low free water saturation and thus cannot really be considered in terms of an aquifer/aquitard concept. Compartmentalisation of the Velkerri Formation is also anticipated where</w:t>
      </w:r>
      <w:r w:rsidR="00735FDD">
        <w:t xml:space="preserve"> the Derim Derim Dolerite </w:t>
      </w:r>
      <w:r w:rsidR="5B3F5A9C">
        <w:t>(</w:t>
      </w:r>
      <w:r w:rsidR="00B1583D">
        <w:t xml:space="preserve">sills </w:t>
      </w:r>
      <w:r w:rsidR="5B3F5A9C">
        <w:t>and dykes) are present (</w:t>
      </w:r>
      <w:r w:rsidR="00BB6D37">
        <w:t>s</w:t>
      </w:r>
      <w:r w:rsidR="5B3F5A9C">
        <w:t>ee Figure 3</w:t>
      </w:r>
      <w:r w:rsidR="00A7402C">
        <w:t>0</w:t>
      </w:r>
      <w:r w:rsidR="5B3F5A9C">
        <w:t xml:space="preserve"> in </w:t>
      </w:r>
      <w:r w:rsidR="00A541ED">
        <w:fldChar w:fldCharType="begin"/>
      </w:r>
      <w:r w:rsidR="00F76E0D">
        <w:instrText xml:space="preserve"> ADDIN EN.CITE &lt;EndNote&gt;&lt;Cite&gt;&lt;Author&gt;Orr&lt;/Author&gt;&lt;Year&gt;2020&lt;/Year&gt;&lt;RecNum&gt;797&lt;/RecNum&gt;&lt;DisplayText&gt;(Orr et al., 2020)&lt;/DisplayText&gt;&lt;record&gt;&lt;rec-number&gt;797&lt;/rec-number&gt;&lt;foreign-keys&gt;&lt;key app="EN" db-id="wdf9tzzdhw2saee559kv0vezt0wfsta0zedv" timestamp="1552607511"&gt;797&lt;/key&gt;&lt;/foreign-keys&gt;&lt;ref-type name="Report"&gt;27&lt;/ref-type&gt;&lt;contributors&gt;&lt;authors&gt;&lt;author&gt;Orr, M.L.,&lt;/author&gt;&lt;author&gt;Bernardel, G.,&lt;/author&gt;&lt;author&gt;Owens, R.,&lt;/author&gt;&lt;author&gt;Hall,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A541ED">
        <w:fldChar w:fldCharType="separate"/>
      </w:r>
      <w:r w:rsidR="006456ED">
        <w:rPr>
          <w:noProof/>
        </w:rPr>
        <w:t>(Orr et al., 2020)</w:t>
      </w:r>
      <w:r w:rsidR="00A541ED">
        <w:fldChar w:fldCharType="end"/>
      </w:r>
      <w:r w:rsidR="00332161">
        <w:t>)</w:t>
      </w:r>
      <w:r w:rsidR="00A7402C">
        <w:t>.</w:t>
      </w:r>
      <w:r w:rsidR="007111D4">
        <w:t xml:space="preserve"> Whil</w:t>
      </w:r>
      <w:r w:rsidR="007C1CF7">
        <w:t>e</w:t>
      </w:r>
      <w:r w:rsidR="007111D4">
        <w:t xml:space="preserve"> in-situ temperature will naturally vary with depth, the Kyalla and Velkerri formations are generally around 60</w:t>
      </w:r>
      <w:r w:rsidR="005A49F9">
        <w:t xml:space="preserve"> </w:t>
      </w:r>
      <w:r w:rsidR="007111D4">
        <w:rPr>
          <w:rFonts w:cs="Calibri"/>
        </w:rPr>
        <w:t>°</w:t>
      </w:r>
      <w:r w:rsidR="007111D4">
        <w:t>C or hotter</w:t>
      </w:r>
      <w:r w:rsidR="005A49F9">
        <w:t xml:space="preserve"> below 1000 m</w:t>
      </w:r>
      <w:r w:rsidR="007111D4">
        <w:t>. T</w:t>
      </w:r>
      <w:r w:rsidR="00E713E9">
        <w:t>emperature</w:t>
      </w:r>
      <w:r w:rsidR="00455986">
        <w:t>s</w:t>
      </w:r>
      <w:r w:rsidR="007111D4">
        <w:t xml:space="preserve"> increase to 75</w:t>
      </w:r>
      <w:r w:rsidR="005A49F9">
        <w:t xml:space="preserve"> </w:t>
      </w:r>
      <w:r w:rsidR="007111D4">
        <w:rPr>
          <w:rFonts w:cs="Calibri"/>
        </w:rPr>
        <w:t>°</w:t>
      </w:r>
      <w:r w:rsidR="007111D4">
        <w:t xml:space="preserve">C and </w:t>
      </w:r>
      <w:r w:rsidR="004A0A22">
        <w:t>higher,</w:t>
      </w:r>
      <w:r w:rsidR="007111D4">
        <w:t xml:space="preserve"> below about 1200 m.</w:t>
      </w:r>
    </w:p>
    <w:p w14:paraId="6040C07F" w14:textId="03CB7FF5" w:rsidR="000A500C" w:rsidRPr="000726E8" w:rsidRDefault="00A12A19" w:rsidP="004C4CD4">
      <w:pPr>
        <w:pStyle w:val="Figures"/>
      </w:pPr>
      <w:r>
        <w:rPr>
          <w:noProof/>
        </w:rPr>
        <w:drawing>
          <wp:inline distT="0" distB="0" distL="0" distR="0" wp14:anchorId="6ED8599C" wp14:editId="4917FD60">
            <wp:extent cx="5715000" cy="4981574"/>
            <wp:effectExtent l="0" t="0" r="0" b="9525"/>
            <wp:docPr id="200332374" name="Picture 21" descr="\\prod.lan\active\proj\ba2\Stage2\3_Beetaloo\MapsAndFigures\Figures\PnP_Figures_Groundwater\PP-279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68">
                      <a:extLst>
                        <a:ext uri="{28A0092B-C50C-407E-A947-70E740481C1C}">
                          <a14:useLocalDpi xmlns:a14="http://schemas.microsoft.com/office/drawing/2010/main"/>
                        </a:ext>
                      </a:extLst>
                    </a:blip>
                    <a:stretch>
                      <a:fillRect/>
                    </a:stretch>
                  </pic:blipFill>
                  <pic:spPr>
                    <a:xfrm>
                      <a:off x="0" y="0"/>
                      <a:ext cx="5715000" cy="4981574"/>
                    </a:xfrm>
                    <a:prstGeom prst="rect">
                      <a:avLst/>
                    </a:prstGeom>
                  </pic:spPr>
                </pic:pic>
              </a:graphicData>
            </a:graphic>
          </wp:inline>
        </w:drawing>
      </w:r>
    </w:p>
    <w:p w14:paraId="5CE2BEBD" w14:textId="01F99551" w:rsidR="00E34A4C" w:rsidRDefault="000A500C" w:rsidP="000A500C">
      <w:pPr>
        <w:pStyle w:val="Caption"/>
        <w:contextualSpacing/>
      </w:pPr>
      <w:bookmarkStart w:id="365" w:name="_Ref4664673"/>
      <w:bookmarkStart w:id="366" w:name="_Toc4670948"/>
      <w:bookmarkStart w:id="367" w:name="_Toc4754368"/>
      <w:bookmarkStart w:id="368" w:name="_Toc5020753"/>
      <w:bookmarkStart w:id="369" w:name="_Toc5021560"/>
      <w:bookmarkStart w:id="370" w:name="_Toc5097086"/>
      <w:bookmarkStart w:id="371" w:name="_Toc5108478"/>
      <w:bookmarkStart w:id="372" w:name="_Toc5284143"/>
      <w:bookmarkStart w:id="373" w:name="_Toc5635357"/>
      <w:bookmarkStart w:id="374" w:name="_Toc5808316"/>
      <w:bookmarkStart w:id="375" w:name="_Toc5895008"/>
      <w:bookmarkStart w:id="376" w:name="_Toc6308897"/>
      <w:bookmarkStart w:id="377" w:name="_Toc6327562"/>
      <w:bookmarkStart w:id="378" w:name="_Toc38990465"/>
      <w:r>
        <w:t xml:space="preserve">Figure </w:t>
      </w:r>
      <w:r>
        <w:rPr>
          <w:noProof/>
        </w:rPr>
        <w:fldChar w:fldCharType="begin"/>
      </w:r>
      <w:r>
        <w:rPr>
          <w:noProof/>
        </w:rPr>
        <w:instrText xml:space="preserve"> SEQ Figure \* ARABIC </w:instrText>
      </w:r>
      <w:r>
        <w:rPr>
          <w:noProof/>
        </w:rPr>
        <w:fldChar w:fldCharType="separate"/>
      </w:r>
      <w:r w:rsidR="00B177F5">
        <w:rPr>
          <w:noProof/>
        </w:rPr>
        <w:t>11</w:t>
      </w:r>
      <w:r>
        <w:rPr>
          <w:noProof/>
        </w:rPr>
        <w:fldChar w:fldCharType="end"/>
      </w:r>
      <w:bookmarkEnd w:id="365"/>
      <w:r>
        <w:t xml:space="preserve"> </w:t>
      </w:r>
      <w:r w:rsidR="008C2C26">
        <w:t>P</w:t>
      </w:r>
      <w:r>
        <w:t>ressure</w:t>
      </w:r>
      <w:r w:rsidR="008C2C26">
        <w:t xml:space="preserve"> data</w:t>
      </w:r>
      <w:r>
        <w:t xml:space="preserve"> from Proterozoic</w:t>
      </w:r>
      <w:bookmarkEnd w:id="366"/>
      <w:bookmarkEnd w:id="367"/>
      <w:bookmarkEnd w:id="368"/>
      <w:bookmarkEnd w:id="369"/>
      <w:bookmarkEnd w:id="370"/>
      <w:bookmarkEnd w:id="371"/>
      <w:bookmarkEnd w:id="372"/>
      <w:bookmarkEnd w:id="373"/>
      <w:bookmarkEnd w:id="374"/>
      <w:bookmarkEnd w:id="375"/>
      <w:bookmarkEnd w:id="376"/>
      <w:bookmarkEnd w:id="377"/>
      <w:r w:rsidR="008C2C26">
        <w:t xml:space="preserve"> units </w:t>
      </w:r>
      <w:r w:rsidR="00455986">
        <w:t xml:space="preserve">compiled from petroleum </w:t>
      </w:r>
      <w:r w:rsidR="008C2C26">
        <w:t>exploration drilling</w:t>
      </w:r>
      <w:bookmarkEnd w:id="378"/>
    </w:p>
    <w:p w14:paraId="40607395" w14:textId="0581EECA" w:rsidR="00E34A4C" w:rsidRPr="00E34A4C" w:rsidRDefault="00E34A4C" w:rsidP="009B527C">
      <w:pPr>
        <w:pStyle w:val="SourceornoteforTableorFigure"/>
      </w:pPr>
      <w:r>
        <w:t xml:space="preserve">Data: </w:t>
      </w:r>
      <w:r w:rsidR="006B710B">
        <w:fldChar w:fldCharType="begin"/>
      </w:r>
      <w:r w:rsidR="008F30E0">
        <w:instrText xml:space="preserve"> ADDIN EN.CITE &lt;EndNote&gt;&lt;Cite AuthorYear="1"&gt;&lt;Author&gt;Geological and Bioregional Assessment Program&lt;/Author&gt;&lt;Year&gt;2019&lt;/Year&gt;&lt;RecNum&gt;1003&lt;/RecNum&gt;&lt;DisplayText&gt;Geological and Bioregional Assessment Program (2019f)&lt;/DisplayText&gt;&lt;record&gt;&lt;rec-number&gt;1003&lt;/rec-number&gt;&lt;foreign-keys&gt;&lt;key app="EN" db-id="wdf9tzzdhw2saee559kv0vezt0wfsta0zedv" timestamp="1559184265"&gt;1003&lt;/key&gt;&lt;/foreign-keys&gt;&lt;ref-type name="Dataset"&gt;59&lt;/ref-type&gt;&lt;contributors&gt;&lt;authors&gt;&lt;author&gt;Geological and Bioregional Assessment Program,&lt;/author&gt;&lt;/authors&gt;&lt;/contributors&gt;&lt;titles&gt;&lt;title&gt;Beetaloo formation pressure and temperature data compiled from petroleum well completion reports&lt;/title&gt;&lt;/titles&gt;&lt;dates&gt;&lt;year&gt;2019&lt;/year&gt;&lt;/dates&gt;&lt;label&gt;65CF9145-483A-45E5-9349-CC66647731F1&lt;/label&gt;&lt;urls&gt;&lt;related-urls&gt;&lt;url&gt;&lt;style face="underline" font="default" size="100%"&gt;https://repo.bioregionalassessments.gov.au/metadata/65CF9145-483A-45E5-9349-CC66647731F1&lt;/style&gt;&lt;/url&gt;&lt;/related-urls&gt;&lt;/urls&gt;&lt;access-date&gt;08 March 2019&lt;/access-date&gt;&lt;/record&gt;&lt;/Cite&gt;&lt;/EndNote&gt;</w:instrText>
      </w:r>
      <w:r w:rsidR="006B710B">
        <w:fldChar w:fldCharType="separate"/>
      </w:r>
      <w:r w:rsidR="008F30E0">
        <w:rPr>
          <w:noProof/>
        </w:rPr>
        <w:t>Geological and Bioregional Assessment Program (2019f)</w:t>
      </w:r>
      <w:r w:rsidR="006B710B">
        <w:fldChar w:fldCharType="end"/>
      </w:r>
      <w:r w:rsidR="005A49F9">
        <w:br/>
        <w:t>PSIG = PSI gauge pressure</w:t>
      </w:r>
      <w:r w:rsidR="009B527C">
        <w:br/>
      </w:r>
      <w:r>
        <w:t xml:space="preserve">Element: </w:t>
      </w:r>
      <w:r w:rsidR="00A15FBC" w:rsidRPr="00A15FBC">
        <w:t>GBA-BEE-2-3</w:t>
      </w:r>
      <w:r w:rsidR="007A35B8">
        <w:t>64</w:t>
      </w:r>
    </w:p>
    <w:p w14:paraId="1532BF11" w14:textId="6B289F37" w:rsidR="00E34A4C" w:rsidRPr="00696D57" w:rsidRDefault="00E34A4C" w:rsidP="00CF40AD">
      <w:pPr>
        <w:pStyle w:val="BodyText"/>
      </w:pPr>
    </w:p>
    <w:p w14:paraId="09D5D8C5" w14:textId="77777777" w:rsidR="000A500C" w:rsidRDefault="000A500C" w:rsidP="000A500C">
      <w:pPr>
        <w:pStyle w:val="BodyText"/>
      </w:pPr>
    </w:p>
    <w:p w14:paraId="6ED58904" w14:textId="19DAE525" w:rsidR="003D459D" w:rsidRDefault="00A12A19" w:rsidP="004C4CD4">
      <w:pPr>
        <w:pStyle w:val="Figures"/>
      </w:pPr>
      <w:r>
        <w:rPr>
          <w:noProof/>
        </w:rPr>
        <w:drawing>
          <wp:inline distT="0" distB="0" distL="0" distR="0" wp14:anchorId="09B648DB" wp14:editId="6B41B6D2">
            <wp:extent cx="5695948" cy="4591052"/>
            <wp:effectExtent l="0" t="0" r="0" b="0"/>
            <wp:docPr id="1380820993" name="Picture 2" descr="\\prod.lan\active\proj\ba2\Stage2\3_Beetaloo\MapsAndFigures\Figures\PnP_Figures_Groundwater\PP-279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69">
                      <a:extLst>
                        <a:ext uri="{28A0092B-C50C-407E-A947-70E740481C1C}">
                          <a14:useLocalDpi xmlns:a14="http://schemas.microsoft.com/office/drawing/2010/main"/>
                        </a:ext>
                      </a:extLst>
                    </a:blip>
                    <a:stretch>
                      <a:fillRect/>
                    </a:stretch>
                  </pic:blipFill>
                  <pic:spPr>
                    <a:xfrm>
                      <a:off x="0" y="0"/>
                      <a:ext cx="5695948" cy="4591052"/>
                    </a:xfrm>
                    <a:prstGeom prst="rect">
                      <a:avLst/>
                    </a:prstGeom>
                  </pic:spPr>
                </pic:pic>
              </a:graphicData>
            </a:graphic>
          </wp:inline>
        </w:drawing>
      </w:r>
    </w:p>
    <w:p w14:paraId="10F64615" w14:textId="637BE974" w:rsidR="003D459D" w:rsidRDefault="003D459D" w:rsidP="00C00F6D">
      <w:pPr>
        <w:pStyle w:val="Caption"/>
        <w:contextualSpacing/>
      </w:pPr>
      <w:bookmarkStart w:id="379" w:name="_Ref267660"/>
      <w:bookmarkStart w:id="380" w:name="_Toc4072436"/>
      <w:bookmarkStart w:id="381" w:name="_Toc4670949"/>
      <w:bookmarkStart w:id="382" w:name="_Toc4754369"/>
      <w:bookmarkStart w:id="383" w:name="_Toc5020754"/>
      <w:bookmarkStart w:id="384" w:name="_Toc5021561"/>
      <w:bookmarkStart w:id="385" w:name="_Toc5097087"/>
      <w:bookmarkStart w:id="386" w:name="_Toc5108479"/>
      <w:bookmarkStart w:id="387" w:name="_Toc5284144"/>
      <w:bookmarkStart w:id="388" w:name="_Toc5635358"/>
      <w:bookmarkStart w:id="389" w:name="_Toc5808317"/>
      <w:bookmarkStart w:id="390" w:name="_Toc5895009"/>
      <w:bookmarkStart w:id="391" w:name="_Toc6308898"/>
      <w:bookmarkStart w:id="392" w:name="_Toc6327563"/>
      <w:bookmarkStart w:id="393" w:name="_Toc38990466"/>
      <w:r>
        <w:t xml:space="preserve">Figure </w:t>
      </w:r>
      <w:r>
        <w:rPr>
          <w:noProof/>
        </w:rPr>
        <w:fldChar w:fldCharType="begin"/>
      </w:r>
      <w:r>
        <w:rPr>
          <w:noProof/>
        </w:rPr>
        <w:instrText xml:space="preserve"> SEQ Figure \* ARABIC </w:instrText>
      </w:r>
      <w:r>
        <w:rPr>
          <w:noProof/>
        </w:rPr>
        <w:fldChar w:fldCharType="separate"/>
      </w:r>
      <w:r w:rsidR="00B177F5">
        <w:rPr>
          <w:noProof/>
        </w:rPr>
        <w:t>12</w:t>
      </w:r>
      <w:r>
        <w:rPr>
          <w:noProof/>
        </w:rPr>
        <w:fldChar w:fldCharType="end"/>
      </w:r>
      <w:bookmarkEnd w:id="379"/>
      <w:r w:rsidR="00C47A50">
        <w:t xml:space="preserve"> Temperature data from petroleum wells </w:t>
      </w:r>
      <w:r w:rsidR="00CF01AA">
        <w:t xml:space="preserve">for </w:t>
      </w:r>
      <w:r>
        <w:t>Proterozoic</w:t>
      </w:r>
      <w:r w:rsidR="00CF01AA">
        <w:t xml:space="preserve"> sequences</w:t>
      </w:r>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p>
    <w:p w14:paraId="549B63CC" w14:textId="047547F5" w:rsidR="00E34A4C" w:rsidRPr="00C7607F" w:rsidRDefault="0027225A" w:rsidP="009B527C">
      <w:pPr>
        <w:pStyle w:val="SourceornoteforTableorFigure"/>
      </w:pPr>
      <w:r>
        <w:t xml:space="preserve">Temperature data </w:t>
      </w:r>
      <w:r w:rsidR="00E872E9">
        <w:t>are</w:t>
      </w:r>
      <w:r>
        <w:t xml:space="preserve"> </w:t>
      </w:r>
      <w:r w:rsidR="00AD013A">
        <w:t>‘</w:t>
      </w:r>
      <w:r>
        <w:t>as reported</w:t>
      </w:r>
      <w:r w:rsidR="00AD013A">
        <w:t>’</w:t>
      </w:r>
      <w:r>
        <w:t xml:space="preserve"> in well completion reports. Not all of it has been corrected for localised cooling effects due to circulating drilling fluids (</w:t>
      </w:r>
      <w:r w:rsidR="00AD013A">
        <w:t>s</w:t>
      </w:r>
      <w:r>
        <w:t xml:space="preserve">ee </w:t>
      </w:r>
      <w:r>
        <w:fldChar w:fldCharType="begin"/>
      </w:r>
      <w:r>
        <w:instrText xml:space="preserve"> REF _Ref4421980 \h </w:instrText>
      </w:r>
      <w:r>
        <w:fldChar w:fldCharType="separate"/>
      </w:r>
      <w:r w:rsidR="00B177F5">
        <w:t xml:space="preserve">Figure </w:t>
      </w:r>
      <w:r w:rsidR="00B177F5">
        <w:rPr>
          <w:noProof/>
        </w:rPr>
        <w:t>2</w:t>
      </w:r>
      <w:r>
        <w:fldChar w:fldCharType="end"/>
      </w:r>
      <w:r>
        <w:t>)</w:t>
      </w:r>
      <w:r>
        <w:br/>
      </w:r>
      <w:r w:rsidR="00E34A4C">
        <w:t xml:space="preserve">Data: </w:t>
      </w:r>
      <w:r w:rsidR="006B710B">
        <w:fldChar w:fldCharType="begin"/>
      </w:r>
      <w:r w:rsidR="008F30E0">
        <w:instrText xml:space="preserve"> ADDIN EN.CITE &lt;EndNote&gt;&lt;Cite AuthorYear="1"&gt;&lt;Author&gt;Geological and Bioregional Assessment Program&lt;/Author&gt;&lt;Year&gt;2019&lt;/Year&gt;&lt;RecNum&gt;1003&lt;/RecNum&gt;&lt;DisplayText&gt;Geological and Bioregional Assessment Program (2019f)&lt;/DisplayText&gt;&lt;record&gt;&lt;rec-number&gt;1003&lt;/rec-number&gt;&lt;foreign-keys&gt;&lt;key app="EN" db-id="wdf9tzzdhw2saee559kv0vezt0wfsta0zedv" timestamp="1559184265"&gt;1003&lt;/key&gt;&lt;/foreign-keys&gt;&lt;ref-type name="Dataset"&gt;59&lt;/ref-type&gt;&lt;contributors&gt;&lt;authors&gt;&lt;author&gt;Geological and Bioregional Assessment Program,&lt;/author&gt;&lt;/authors&gt;&lt;/contributors&gt;&lt;titles&gt;&lt;title&gt;Beetaloo formation pressure and temperature data compiled from petroleum well completion reports&lt;/title&gt;&lt;/titles&gt;&lt;dates&gt;&lt;year&gt;2019&lt;/year&gt;&lt;/dates&gt;&lt;label&gt;65CF9145-483A-45E5-9349-CC66647731F1&lt;/label&gt;&lt;urls&gt;&lt;related-urls&gt;&lt;url&gt;&lt;style face="underline" font="default" size="100%"&gt;https://repo.bioregionalassessments.gov.au/metadata/65CF9145-483A-45E5-9349-CC66647731F1&lt;/style&gt;&lt;/url&gt;&lt;/related-urls&gt;&lt;/urls&gt;&lt;access-date&gt;08 March 2019&lt;/access-date&gt;&lt;/record&gt;&lt;/Cite&gt;&lt;/EndNote&gt;</w:instrText>
      </w:r>
      <w:r w:rsidR="006B710B">
        <w:fldChar w:fldCharType="separate"/>
      </w:r>
      <w:r w:rsidR="008F30E0">
        <w:rPr>
          <w:noProof/>
        </w:rPr>
        <w:t>Geological and Bioregional Assessment Program (2019f)</w:t>
      </w:r>
      <w:r w:rsidR="006B710B">
        <w:fldChar w:fldCharType="end"/>
      </w:r>
      <w:r w:rsidR="009B527C">
        <w:br/>
      </w:r>
      <w:r w:rsidR="00E34A4C">
        <w:t xml:space="preserve">Element: </w:t>
      </w:r>
      <w:r w:rsidR="00A15FBC" w:rsidRPr="00A15FBC">
        <w:t>GBA-BEE-2-3</w:t>
      </w:r>
      <w:r w:rsidR="007A35B8">
        <w:t>65</w:t>
      </w:r>
    </w:p>
    <w:p w14:paraId="65ED7B88" w14:textId="5F1588C7" w:rsidR="00B3596F" w:rsidRDefault="00B3596F" w:rsidP="00AD36B8">
      <w:pPr>
        <w:pStyle w:val="Caption"/>
        <w:keepLines/>
      </w:pPr>
      <w:bookmarkStart w:id="394" w:name="_Ref535416399"/>
      <w:bookmarkStart w:id="395" w:name="_Toc4072424"/>
      <w:bookmarkStart w:id="396" w:name="_Toc4670936"/>
      <w:bookmarkStart w:id="397" w:name="_Toc4754356"/>
      <w:bookmarkStart w:id="398" w:name="_Toc5020741"/>
      <w:bookmarkStart w:id="399" w:name="_Toc5021548"/>
      <w:bookmarkStart w:id="400" w:name="_Toc5097074"/>
      <w:bookmarkStart w:id="401" w:name="_Toc5108466"/>
      <w:bookmarkStart w:id="402" w:name="_Toc5284130"/>
      <w:bookmarkStart w:id="403" w:name="_Toc5635345"/>
      <w:bookmarkStart w:id="404" w:name="_Toc5808304"/>
      <w:bookmarkStart w:id="405" w:name="_Toc5894907"/>
      <w:bookmarkStart w:id="406" w:name="_Toc5894996"/>
      <w:bookmarkStart w:id="407" w:name="_Toc6308885"/>
      <w:bookmarkStart w:id="408" w:name="_Toc6327550"/>
      <w:bookmarkStart w:id="409" w:name="_Toc38990502"/>
      <w:bookmarkStart w:id="410" w:name="_Hlk35339362"/>
      <w:r>
        <w:t xml:space="preserve">Table </w:t>
      </w:r>
      <w:r w:rsidR="00245560">
        <w:rPr>
          <w:noProof/>
        </w:rPr>
        <w:fldChar w:fldCharType="begin"/>
      </w:r>
      <w:r w:rsidR="00245560">
        <w:rPr>
          <w:noProof/>
        </w:rPr>
        <w:instrText xml:space="preserve"> SEQ Table \* ARABIC </w:instrText>
      </w:r>
      <w:r w:rsidR="00245560">
        <w:rPr>
          <w:noProof/>
        </w:rPr>
        <w:fldChar w:fldCharType="separate"/>
      </w:r>
      <w:r w:rsidR="00B177F5">
        <w:rPr>
          <w:noProof/>
        </w:rPr>
        <w:t>2</w:t>
      </w:r>
      <w:r w:rsidR="00245560">
        <w:rPr>
          <w:noProof/>
        </w:rPr>
        <w:fldChar w:fldCharType="end"/>
      </w:r>
      <w:bookmarkEnd w:id="394"/>
      <w:r w:rsidR="00245560">
        <w:rPr>
          <w:noProof/>
        </w:rPr>
        <w:t xml:space="preserve"> Water flows recorded in</w:t>
      </w:r>
      <w:r w:rsidR="00CF40AD">
        <w:rPr>
          <w:noProof/>
        </w:rPr>
        <w:t>to</w:t>
      </w:r>
      <w:r w:rsidR="00245560">
        <w:rPr>
          <w:noProof/>
        </w:rPr>
        <w:t xml:space="preserve"> </w:t>
      </w:r>
      <w:r w:rsidR="004E5137">
        <w:rPr>
          <w:noProof/>
        </w:rPr>
        <w:t>p</w:t>
      </w:r>
      <w:r w:rsidR="00245560">
        <w:rPr>
          <w:noProof/>
        </w:rPr>
        <w:t>etroleum wells</w:t>
      </w:r>
      <w:r w:rsidR="00D31C5D">
        <w:rPr>
          <w:noProof/>
        </w:rPr>
        <w:t xml:space="preserve"> for </w:t>
      </w:r>
      <w:r w:rsidR="001F2D14">
        <w:rPr>
          <w:noProof/>
        </w:rPr>
        <w:t xml:space="preserve">the </w:t>
      </w:r>
      <w:r w:rsidR="00D31C5D">
        <w:rPr>
          <w:noProof/>
        </w:rPr>
        <w:t>Proterozoic</w:t>
      </w:r>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r w:rsidR="00CF40AD">
        <w:rPr>
          <w:noProof/>
        </w:rPr>
        <w:t xml:space="preserve"> units</w:t>
      </w:r>
      <w:bookmarkEnd w:id="409"/>
    </w:p>
    <w:tbl>
      <w:tblPr>
        <w:tblStyle w:val="TableBAHeaderRow"/>
        <w:tblW w:w="0" w:type="auto"/>
        <w:tblLook w:val="04A0" w:firstRow="1" w:lastRow="0" w:firstColumn="1" w:lastColumn="0" w:noHBand="0" w:noVBand="1"/>
      </w:tblPr>
      <w:tblGrid>
        <w:gridCol w:w="1196"/>
        <w:gridCol w:w="815"/>
        <w:gridCol w:w="810"/>
        <w:gridCol w:w="810"/>
        <w:gridCol w:w="1260"/>
        <w:gridCol w:w="723"/>
        <w:gridCol w:w="1260"/>
        <w:gridCol w:w="2707"/>
      </w:tblGrid>
      <w:tr w:rsidR="00F75685" w14:paraId="451C3FC7" w14:textId="77777777" w:rsidTr="008C63A6">
        <w:trPr>
          <w:cnfStyle w:val="100000000000" w:firstRow="1" w:lastRow="0" w:firstColumn="0" w:lastColumn="0" w:oddVBand="0" w:evenVBand="0" w:oddHBand="0" w:evenHBand="0" w:firstRowFirstColumn="0" w:firstRowLastColumn="0" w:lastRowFirstColumn="0" w:lastRowLastColumn="0"/>
          <w:tblHeader/>
        </w:trPr>
        <w:tc>
          <w:tcPr>
            <w:tcW w:w="1197" w:type="dxa"/>
          </w:tcPr>
          <w:p w14:paraId="65F887AB" w14:textId="518624F6" w:rsidR="00F75685" w:rsidRDefault="008C63A6" w:rsidP="00AD36B8">
            <w:pPr>
              <w:pStyle w:val="TableText"/>
              <w:keepNext/>
              <w:keepLines/>
            </w:pPr>
            <w:r>
              <w:t>W</w:t>
            </w:r>
            <w:r w:rsidR="00F75685" w:rsidRPr="00F63A4D">
              <w:t>ell</w:t>
            </w:r>
          </w:p>
        </w:tc>
        <w:tc>
          <w:tcPr>
            <w:tcW w:w="816" w:type="dxa"/>
          </w:tcPr>
          <w:p w14:paraId="59C579F4" w14:textId="77777777" w:rsidR="00F75685" w:rsidRDefault="00F75685" w:rsidP="00AD36B8">
            <w:pPr>
              <w:pStyle w:val="TableTextCentred"/>
              <w:keepNext/>
              <w:keepLines/>
            </w:pPr>
            <w:r w:rsidRPr="00F63A4D">
              <w:t>From</w:t>
            </w:r>
          </w:p>
          <w:p w14:paraId="0A7993F3" w14:textId="07E47417" w:rsidR="00F75685" w:rsidRDefault="00F75685" w:rsidP="00AD36B8">
            <w:pPr>
              <w:pStyle w:val="TableTextCentred"/>
              <w:keepNext/>
              <w:keepLines/>
            </w:pPr>
            <w:r>
              <w:t>(m)</w:t>
            </w:r>
          </w:p>
        </w:tc>
        <w:tc>
          <w:tcPr>
            <w:tcW w:w="810" w:type="dxa"/>
          </w:tcPr>
          <w:p w14:paraId="62463FCA" w14:textId="77777777" w:rsidR="00F75685" w:rsidRDefault="00F75685" w:rsidP="00AD36B8">
            <w:pPr>
              <w:pStyle w:val="TableTextCentred"/>
              <w:keepNext/>
              <w:keepLines/>
            </w:pPr>
            <w:r w:rsidRPr="00F63A4D">
              <w:t>To</w:t>
            </w:r>
          </w:p>
          <w:p w14:paraId="752D892C" w14:textId="3C0A1362" w:rsidR="00F75685" w:rsidRDefault="00F75685" w:rsidP="00AD36B8">
            <w:pPr>
              <w:pStyle w:val="TableTextCentred"/>
              <w:keepNext/>
              <w:keepLines/>
            </w:pPr>
            <w:r>
              <w:t>(m)</w:t>
            </w:r>
          </w:p>
        </w:tc>
        <w:tc>
          <w:tcPr>
            <w:tcW w:w="810" w:type="dxa"/>
          </w:tcPr>
          <w:p w14:paraId="6EF44A27" w14:textId="185C79CE" w:rsidR="00F75685" w:rsidRDefault="008C63A6" w:rsidP="00AD36B8">
            <w:pPr>
              <w:pStyle w:val="TableTextCentred"/>
              <w:keepNext/>
              <w:keepLines/>
            </w:pPr>
            <w:r>
              <w:t>F</w:t>
            </w:r>
            <w:r w:rsidR="00F75685" w:rsidRPr="00F63A4D">
              <w:t>low</w:t>
            </w:r>
          </w:p>
        </w:tc>
        <w:tc>
          <w:tcPr>
            <w:tcW w:w="1260" w:type="dxa"/>
          </w:tcPr>
          <w:p w14:paraId="2CCDAD09" w14:textId="47D81997" w:rsidR="00F75685" w:rsidRDefault="00F75685" w:rsidP="00AD36B8">
            <w:pPr>
              <w:pStyle w:val="TableText"/>
              <w:keepNext/>
              <w:keepLines/>
            </w:pPr>
            <w:r>
              <w:t>Flow u</w:t>
            </w:r>
            <w:r w:rsidRPr="00F63A4D">
              <w:t>nit</w:t>
            </w:r>
            <w:r>
              <w:t xml:space="preserve"> (as reported in WCR)</w:t>
            </w:r>
          </w:p>
        </w:tc>
        <w:tc>
          <w:tcPr>
            <w:tcW w:w="723" w:type="dxa"/>
          </w:tcPr>
          <w:p w14:paraId="6973F747" w14:textId="7DC7E9AA" w:rsidR="00F75685" w:rsidRDefault="00F75685" w:rsidP="00AD36B8">
            <w:pPr>
              <w:pStyle w:val="TableTextCentred"/>
              <w:keepNext/>
              <w:keepLines/>
            </w:pPr>
            <w:r>
              <w:t>Flow (</w:t>
            </w:r>
            <w:r w:rsidR="00332161">
              <w:t>L</w:t>
            </w:r>
            <w:r w:rsidRPr="00F63A4D">
              <w:t>/sec</w:t>
            </w:r>
            <w:r>
              <w:t>)</w:t>
            </w:r>
          </w:p>
        </w:tc>
        <w:tc>
          <w:tcPr>
            <w:tcW w:w="1260" w:type="dxa"/>
          </w:tcPr>
          <w:p w14:paraId="20E243CC" w14:textId="54E5B5BB" w:rsidR="00F75685" w:rsidRDefault="00F75685" w:rsidP="00AD36B8">
            <w:pPr>
              <w:pStyle w:val="TableText"/>
              <w:keepNext/>
              <w:keepLines/>
            </w:pPr>
            <w:r w:rsidRPr="00F63A4D">
              <w:t>Formation</w:t>
            </w:r>
          </w:p>
        </w:tc>
        <w:tc>
          <w:tcPr>
            <w:tcW w:w="2708" w:type="dxa"/>
          </w:tcPr>
          <w:p w14:paraId="234FBD42" w14:textId="5E1F069A" w:rsidR="00F75685" w:rsidRDefault="008C63A6" w:rsidP="00AD36B8">
            <w:pPr>
              <w:pStyle w:val="TableText"/>
              <w:keepNext/>
              <w:keepLines/>
            </w:pPr>
            <w:r>
              <w:t>C</w:t>
            </w:r>
            <w:r w:rsidR="00F75685" w:rsidRPr="00F63A4D">
              <w:t>omment</w:t>
            </w:r>
          </w:p>
        </w:tc>
      </w:tr>
      <w:tr w:rsidR="002C3465" w14:paraId="784534E6" w14:textId="77777777" w:rsidTr="3C583D25">
        <w:trPr>
          <w:cnfStyle w:val="000000100000" w:firstRow="0" w:lastRow="0" w:firstColumn="0" w:lastColumn="0" w:oddVBand="0" w:evenVBand="0" w:oddHBand="1" w:evenHBand="0" w:firstRowFirstColumn="0" w:firstRowLastColumn="0" w:lastRowFirstColumn="0" w:lastRowLastColumn="0"/>
        </w:trPr>
        <w:tc>
          <w:tcPr>
            <w:tcW w:w="1197" w:type="dxa"/>
          </w:tcPr>
          <w:p w14:paraId="51915562" w14:textId="73F484CE" w:rsidR="002C3465" w:rsidRDefault="002C3465" w:rsidP="00AD36B8">
            <w:pPr>
              <w:pStyle w:val="TableText"/>
              <w:keepNext/>
              <w:keepLines/>
            </w:pPr>
            <w:r w:rsidRPr="00F63A4D">
              <w:t>Amungee NW 1</w:t>
            </w:r>
          </w:p>
        </w:tc>
        <w:tc>
          <w:tcPr>
            <w:tcW w:w="816" w:type="dxa"/>
          </w:tcPr>
          <w:p w14:paraId="4F857B13" w14:textId="0697C076" w:rsidR="002C3465" w:rsidRDefault="002C3465" w:rsidP="00AD36B8">
            <w:pPr>
              <w:pStyle w:val="TableTextRight"/>
              <w:keepNext/>
              <w:keepLines/>
            </w:pPr>
            <w:r w:rsidRPr="00F63A4D">
              <w:t>1499</w:t>
            </w:r>
          </w:p>
        </w:tc>
        <w:tc>
          <w:tcPr>
            <w:tcW w:w="810" w:type="dxa"/>
          </w:tcPr>
          <w:p w14:paraId="4ECF6603" w14:textId="77777777" w:rsidR="002C3465" w:rsidRDefault="002C3465" w:rsidP="00AD36B8">
            <w:pPr>
              <w:pStyle w:val="TableTextRight"/>
              <w:keepNext/>
              <w:keepLines/>
            </w:pPr>
          </w:p>
        </w:tc>
        <w:tc>
          <w:tcPr>
            <w:tcW w:w="810" w:type="dxa"/>
          </w:tcPr>
          <w:p w14:paraId="05896054" w14:textId="06BF1875" w:rsidR="002C3465" w:rsidRDefault="002C3465" w:rsidP="00AD36B8">
            <w:pPr>
              <w:pStyle w:val="TableTextRight"/>
              <w:keepNext/>
              <w:keepLines/>
            </w:pPr>
            <w:r w:rsidRPr="00F63A4D">
              <w:t>30</w:t>
            </w:r>
          </w:p>
        </w:tc>
        <w:tc>
          <w:tcPr>
            <w:tcW w:w="1260" w:type="dxa"/>
          </w:tcPr>
          <w:p w14:paraId="024124D3" w14:textId="184F845F" w:rsidR="002C3465" w:rsidRDefault="002C3465" w:rsidP="00AD36B8">
            <w:pPr>
              <w:pStyle w:val="TableText"/>
              <w:keepNext/>
              <w:keepLines/>
            </w:pPr>
            <w:r>
              <w:t>barrels</w:t>
            </w:r>
            <w:r w:rsidRPr="00F63A4D">
              <w:t>/h</w:t>
            </w:r>
            <w:r w:rsidR="00AD013A">
              <w:t>ou</w:t>
            </w:r>
            <w:r w:rsidRPr="00F63A4D">
              <w:t>r</w:t>
            </w:r>
          </w:p>
        </w:tc>
        <w:tc>
          <w:tcPr>
            <w:tcW w:w="723" w:type="dxa"/>
          </w:tcPr>
          <w:p w14:paraId="182E6FDF" w14:textId="399AE267" w:rsidR="002C3465" w:rsidRDefault="002C3465" w:rsidP="00AD36B8">
            <w:pPr>
              <w:pStyle w:val="TableTextRight"/>
              <w:keepNext/>
              <w:keepLines/>
            </w:pPr>
            <w:r w:rsidRPr="00F63A4D">
              <w:t>1</w:t>
            </w:r>
          </w:p>
        </w:tc>
        <w:tc>
          <w:tcPr>
            <w:tcW w:w="1260" w:type="dxa"/>
          </w:tcPr>
          <w:p w14:paraId="488680DA" w14:textId="5FD5E4F8" w:rsidR="002C3465" w:rsidRDefault="002C3465" w:rsidP="00AD36B8">
            <w:pPr>
              <w:pStyle w:val="TableText"/>
              <w:keepNext/>
              <w:keepLines/>
            </w:pPr>
            <w:r w:rsidRPr="00F63A4D">
              <w:t>Moroak Sst</w:t>
            </w:r>
          </w:p>
        </w:tc>
        <w:tc>
          <w:tcPr>
            <w:tcW w:w="2708" w:type="dxa"/>
          </w:tcPr>
          <w:p w14:paraId="6B09F692" w14:textId="77777777" w:rsidR="002C3465" w:rsidRDefault="002C3465" w:rsidP="00AD36B8">
            <w:pPr>
              <w:pStyle w:val="TableText"/>
              <w:keepNext/>
              <w:keepLines/>
            </w:pPr>
          </w:p>
        </w:tc>
      </w:tr>
      <w:tr w:rsidR="002C3465" w14:paraId="0F363670" w14:textId="77777777" w:rsidTr="3C583D25">
        <w:trPr>
          <w:cnfStyle w:val="000000010000" w:firstRow="0" w:lastRow="0" w:firstColumn="0" w:lastColumn="0" w:oddVBand="0" w:evenVBand="0" w:oddHBand="0" w:evenHBand="1" w:firstRowFirstColumn="0" w:firstRowLastColumn="0" w:lastRowFirstColumn="0" w:lastRowLastColumn="0"/>
        </w:trPr>
        <w:tc>
          <w:tcPr>
            <w:tcW w:w="1197" w:type="dxa"/>
          </w:tcPr>
          <w:p w14:paraId="120B511F" w14:textId="554493B4" w:rsidR="002C3465" w:rsidRDefault="002C3465" w:rsidP="00AD36B8">
            <w:pPr>
              <w:pStyle w:val="TableText"/>
              <w:keepNext/>
              <w:keepLines/>
            </w:pPr>
            <w:r w:rsidRPr="00F63A4D">
              <w:t>Amungee NW 1</w:t>
            </w:r>
          </w:p>
        </w:tc>
        <w:tc>
          <w:tcPr>
            <w:tcW w:w="816" w:type="dxa"/>
          </w:tcPr>
          <w:p w14:paraId="5733C596" w14:textId="42E34AB7" w:rsidR="002C3465" w:rsidRDefault="002C3465" w:rsidP="00AD36B8">
            <w:pPr>
              <w:pStyle w:val="TableTextRight"/>
              <w:keepNext/>
              <w:keepLines/>
            </w:pPr>
            <w:r w:rsidRPr="00F63A4D">
              <w:t>1512</w:t>
            </w:r>
          </w:p>
        </w:tc>
        <w:tc>
          <w:tcPr>
            <w:tcW w:w="810" w:type="dxa"/>
          </w:tcPr>
          <w:p w14:paraId="782FF596" w14:textId="77777777" w:rsidR="002C3465" w:rsidRDefault="002C3465" w:rsidP="00AD36B8">
            <w:pPr>
              <w:pStyle w:val="TableTextRight"/>
              <w:keepNext/>
              <w:keepLines/>
            </w:pPr>
          </w:p>
        </w:tc>
        <w:tc>
          <w:tcPr>
            <w:tcW w:w="810" w:type="dxa"/>
          </w:tcPr>
          <w:p w14:paraId="62ED837C" w14:textId="24B61EA8" w:rsidR="002C3465" w:rsidRDefault="002C3465" w:rsidP="00AD36B8">
            <w:pPr>
              <w:pStyle w:val="TableTextRight"/>
              <w:keepNext/>
              <w:keepLines/>
            </w:pPr>
            <w:r w:rsidRPr="00F63A4D">
              <w:t>112</w:t>
            </w:r>
          </w:p>
        </w:tc>
        <w:tc>
          <w:tcPr>
            <w:tcW w:w="1260" w:type="dxa"/>
          </w:tcPr>
          <w:p w14:paraId="4CDA1FF6" w14:textId="004EFF1C" w:rsidR="002C3465" w:rsidRDefault="002C3465" w:rsidP="00AD36B8">
            <w:pPr>
              <w:pStyle w:val="TableText"/>
              <w:keepNext/>
              <w:keepLines/>
            </w:pPr>
            <w:r>
              <w:t>barrels</w:t>
            </w:r>
            <w:r w:rsidRPr="00F63A4D">
              <w:t>/h</w:t>
            </w:r>
            <w:r w:rsidR="00AD013A">
              <w:t>ou</w:t>
            </w:r>
            <w:r w:rsidRPr="00F63A4D">
              <w:t>r</w:t>
            </w:r>
          </w:p>
        </w:tc>
        <w:tc>
          <w:tcPr>
            <w:tcW w:w="723" w:type="dxa"/>
          </w:tcPr>
          <w:p w14:paraId="6708FA21" w14:textId="4251635C" w:rsidR="002C3465" w:rsidRDefault="002C3465" w:rsidP="00AD36B8">
            <w:pPr>
              <w:pStyle w:val="TableTextRight"/>
              <w:keepNext/>
              <w:keepLines/>
            </w:pPr>
            <w:r w:rsidRPr="00F63A4D">
              <w:t>5</w:t>
            </w:r>
          </w:p>
        </w:tc>
        <w:tc>
          <w:tcPr>
            <w:tcW w:w="1260" w:type="dxa"/>
          </w:tcPr>
          <w:p w14:paraId="5E70B50E" w14:textId="2DAFD662" w:rsidR="002C3465" w:rsidRDefault="002C3465" w:rsidP="00AD36B8">
            <w:pPr>
              <w:pStyle w:val="TableText"/>
              <w:keepNext/>
              <w:keepLines/>
            </w:pPr>
            <w:r w:rsidRPr="00F63A4D">
              <w:t xml:space="preserve">Moroak </w:t>
            </w:r>
            <w:r w:rsidR="00CF40AD" w:rsidRPr="0091167B">
              <w:t>Sst</w:t>
            </w:r>
          </w:p>
        </w:tc>
        <w:tc>
          <w:tcPr>
            <w:tcW w:w="2708" w:type="dxa"/>
          </w:tcPr>
          <w:p w14:paraId="24DEB799" w14:textId="77777777" w:rsidR="002C3465" w:rsidRDefault="002C3465" w:rsidP="00AD36B8">
            <w:pPr>
              <w:pStyle w:val="TableText"/>
              <w:keepNext/>
              <w:keepLines/>
            </w:pPr>
          </w:p>
        </w:tc>
      </w:tr>
      <w:tr w:rsidR="002C3465" w14:paraId="2151176C" w14:textId="77777777" w:rsidTr="3C583D25">
        <w:trPr>
          <w:cnfStyle w:val="000000100000" w:firstRow="0" w:lastRow="0" w:firstColumn="0" w:lastColumn="0" w:oddVBand="0" w:evenVBand="0" w:oddHBand="1" w:evenHBand="0" w:firstRowFirstColumn="0" w:firstRowLastColumn="0" w:lastRowFirstColumn="0" w:lastRowLastColumn="0"/>
        </w:trPr>
        <w:tc>
          <w:tcPr>
            <w:tcW w:w="1197" w:type="dxa"/>
          </w:tcPr>
          <w:p w14:paraId="2DD30F9A" w14:textId="6F77B10A" w:rsidR="002C3465" w:rsidRDefault="002C3465" w:rsidP="00AD36B8">
            <w:pPr>
              <w:pStyle w:val="TableText"/>
              <w:keepNext/>
              <w:keepLines/>
            </w:pPr>
            <w:r w:rsidRPr="00F63A4D">
              <w:t>Burdo 1</w:t>
            </w:r>
          </w:p>
        </w:tc>
        <w:tc>
          <w:tcPr>
            <w:tcW w:w="816" w:type="dxa"/>
          </w:tcPr>
          <w:p w14:paraId="150A412B" w14:textId="77777777" w:rsidR="002C3465" w:rsidRDefault="002C3465" w:rsidP="00AD36B8">
            <w:pPr>
              <w:pStyle w:val="TableTextRight"/>
              <w:keepNext/>
              <w:keepLines/>
            </w:pPr>
          </w:p>
        </w:tc>
        <w:tc>
          <w:tcPr>
            <w:tcW w:w="810" w:type="dxa"/>
          </w:tcPr>
          <w:p w14:paraId="4572C744" w14:textId="77777777" w:rsidR="002C3465" w:rsidRDefault="002C3465" w:rsidP="00AD36B8">
            <w:pPr>
              <w:pStyle w:val="TableTextRight"/>
              <w:keepNext/>
              <w:keepLines/>
            </w:pPr>
          </w:p>
        </w:tc>
        <w:tc>
          <w:tcPr>
            <w:tcW w:w="810" w:type="dxa"/>
          </w:tcPr>
          <w:p w14:paraId="5F5361D4" w14:textId="77777777" w:rsidR="002C3465" w:rsidRDefault="002C3465" w:rsidP="00AD36B8">
            <w:pPr>
              <w:pStyle w:val="TableTextRight"/>
              <w:keepNext/>
              <w:keepLines/>
            </w:pPr>
          </w:p>
        </w:tc>
        <w:tc>
          <w:tcPr>
            <w:tcW w:w="1260" w:type="dxa"/>
          </w:tcPr>
          <w:p w14:paraId="1CDCF1F6" w14:textId="77777777" w:rsidR="002C3465" w:rsidRDefault="002C3465" w:rsidP="00AD36B8">
            <w:pPr>
              <w:pStyle w:val="TableText"/>
              <w:keepNext/>
              <w:keepLines/>
            </w:pPr>
          </w:p>
        </w:tc>
        <w:tc>
          <w:tcPr>
            <w:tcW w:w="723" w:type="dxa"/>
          </w:tcPr>
          <w:p w14:paraId="633B2C14" w14:textId="77777777" w:rsidR="002C3465" w:rsidRDefault="002C3465" w:rsidP="00AD36B8">
            <w:pPr>
              <w:pStyle w:val="TableTextRight"/>
              <w:keepNext/>
              <w:keepLines/>
            </w:pPr>
          </w:p>
        </w:tc>
        <w:tc>
          <w:tcPr>
            <w:tcW w:w="1260" w:type="dxa"/>
          </w:tcPr>
          <w:p w14:paraId="7016E091" w14:textId="64F7666B" w:rsidR="002C3465" w:rsidRDefault="002C3465" w:rsidP="00AD36B8">
            <w:pPr>
              <w:pStyle w:val="TableText"/>
              <w:keepNext/>
              <w:keepLines/>
            </w:pPr>
            <w:r w:rsidRPr="00F63A4D">
              <w:t xml:space="preserve">Moroak </w:t>
            </w:r>
            <w:r w:rsidR="00CF40AD" w:rsidRPr="0091167B">
              <w:t>Sst</w:t>
            </w:r>
          </w:p>
        </w:tc>
        <w:tc>
          <w:tcPr>
            <w:tcW w:w="2708" w:type="dxa"/>
          </w:tcPr>
          <w:p w14:paraId="38B20AB2" w14:textId="34F48CE3" w:rsidR="002C3465" w:rsidRDefault="009B527C" w:rsidP="00AD36B8">
            <w:pPr>
              <w:pStyle w:val="TableText"/>
              <w:keepNext/>
              <w:keepLines/>
            </w:pPr>
            <w:r>
              <w:t>Significant water flows of very h</w:t>
            </w:r>
            <w:r w:rsidR="002C3465" w:rsidRPr="00F63A4D">
              <w:t>igh sal</w:t>
            </w:r>
            <w:r>
              <w:t>inity water</w:t>
            </w:r>
          </w:p>
        </w:tc>
      </w:tr>
      <w:tr w:rsidR="002C3465" w14:paraId="10ED37AE" w14:textId="77777777" w:rsidTr="3C583D25">
        <w:trPr>
          <w:cnfStyle w:val="000000010000" w:firstRow="0" w:lastRow="0" w:firstColumn="0" w:lastColumn="0" w:oddVBand="0" w:evenVBand="0" w:oddHBand="0" w:evenHBand="1" w:firstRowFirstColumn="0" w:firstRowLastColumn="0" w:lastRowFirstColumn="0" w:lastRowLastColumn="0"/>
        </w:trPr>
        <w:tc>
          <w:tcPr>
            <w:tcW w:w="1197" w:type="dxa"/>
          </w:tcPr>
          <w:p w14:paraId="3EFC4C06" w14:textId="53CE3E78" w:rsidR="002C3465" w:rsidRDefault="002C3465" w:rsidP="00AD36B8">
            <w:pPr>
              <w:pStyle w:val="TableText"/>
              <w:keepNext/>
              <w:keepLines/>
            </w:pPr>
            <w:r>
              <w:t>C</w:t>
            </w:r>
            <w:r w:rsidRPr="00F63A4D">
              <w:t>hanin 1</w:t>
            </w:r>
          </w:p>
        </w:tc>
        <w:tc>
          <w:tcPr>
            <w:tcW w:w="816" w:type="dxa"/>
          </w:tcPr>
          <w:p w14:paraId="6FFD4816" w14:textId="0B6F86ED" w:rsidR="002C3465" w:rsidRDefault="002C3465" w:rsidP="00AD36B8">
            <w:pPr>
              <w:pStyle w:val="TableTextRight"/>
              <w:keepNext/>
              <w:keepLines/>
            </w:pPr>
            <w:r w:rsidRPr="00F63A4D">
              <w:t>1328</w:t>
            </w:r>
          </w:p>
        </w:tc>
        <w:tc>
          <w:tcPr>
            <w:tcW w:w="810" w:type="dxa"/>
          </w:tcPr>
          <w:p w14:paraId="62C35FE3" w14:textId="77777777" w:rsidR="002C3465" w:rsidRDefault="002C3465" w:rsidP="00AD36B8">
            <w:pPr>
              <w:pStyle w:val="TableTextRight"/>
              <w:keepNext/>
              <w:keepLines/>
            </w:pPr>
          </w:p>
        </w:tc>
        <w:tc>
          <w:tcPr>
            <w:tcW w:w="810" w:type="dxa"/>
          </w:tcPr>
          <w:p w14:paraId="7C4276E1" w14:textId="77777777" w:rsidR="002C3465" w:rsidRDefault="002C3465" w:rsidP="00AD36B8">
            <w:pPr>
              <w:pStyle w:val="TableTextRight"/>
              <w:keepNext/>
              <w:keepLines/>
            </w:pPr>
          </w:p>
        </w:tc>
        <w:tc>
          <w:tcPr>
            <w:tcW w:w="1260" w:type="dxa"/>
          </w:tcPr>
          <w:p w14:paraId="1CD799C4" w14:textId="77777777" w:rsidR="002C3465" w:rsidRDefault="002C3465" w:rsidP="00AD36B8">
            <w:pPr>
              <w:pStyle w:val="TableText"/>
              <w:keepNext/>
              <w:keepLines/>
            </w:pPr>
          </w:p>
        </w:tc>
        <w:tc>
          <w:tcPr>
            <w:tcW w:w="723" w:type="dxa"/>
          </w:tcPr>
          <w:p w14:paraId="1632A9C8" w14:textId="77777777" w:rsidR="002C3465" w:rsidRDefault="002C3465" w:rsidP="00AD36B8">
            <w:pPr>
              <w:pStyle w:val="TableTextRight"/>
              <w:keepNext/>
              <w:keepLines/>
            </w:pPr>
          </w:p>
        </w:tc>
        <w:tc>
          <w:tcPr>
            <w:tcW w:w="1260" w:type="dxa"/>
          </w:tcPr>
          <w:p w14:paraId="30A80C43" w14:textId="0A394F72" w:rsidR="002C3465" w:rsidRDefault="002C3465" w:rsidP="00AD36B8">
            <w:pPr>
              <w:pStyle w:val="TableText"/>
              <w:keepNext/>
              <w:keepLines/>
            </w:pPr>
            <w:r w:rsidRPr="00F63A4D">
              <w:t xml:space="preserve">Moroak </w:t>
            </w:r>
            <w:r w:rsidR="00CF40AD" w:rsidRPr="00234BAD">
              <w:t>Sst</w:t>
            </w:r>
          </w:p>
        </w:tc>
        <w:tc>
          <w:tcPr>
            <w:tcW w:w="2708" w:type="dxa"/>
          </w:tcPr>
          <w:p w14:paraId="39EB3F6E" w14:textId="368F7FBF" w:rsidR="002C3465" w:rsidRDefault="002C3465" w:rsidP="00AD36B8">
            <w:pPr>
              <w:pStyle w:val="TableText"/>
              <w:keepNext/>
              <w:keepLines/>
            </w:pPr>
            <w:r w:rsidRPr="00F63A4D">
              <w:t>Initially significant w</w:t>
            </w:r>
            <w:r w:rsidR="009B527C">
              <w:t>ater flows produced at top of formation</w:t>
            </w:r>
            <w:r w:rsidRPr="00F63A4D">
              <w:t xml:space="preserve"> until </w:t>
            </w:r>
            <w:r w:rsidR="009B527C">
              <w:t xml:space="preserve">the </w:t>
            </w:r>
            <w:r>
              <w:t xml:space="preserve">well was </w:t>
            </w:r>
            <w:r w:rsidRPr="00F63A4D">
              <w:t>filled with mud</w:t>
            </w:r>
          </w:p>
        </w:tc>
      </w:tr>
      <w:tr w:rsidR="002C3465" w14:paraId="57844DF3" w14:textId="77777777" w:rsidTr="3C583D25">
        <w:trPr>
          <w:cnfStyle w:val="000000100000" w:firstRow="0" w:lastRow="0" w:firstColumn="0" w:lastColumn="0" w:oddVBand="0" w:evenVBand="0" w:oddHBand="1" w:evenHBand="0" w:firstRowFirstColumn="0" w:firstRowLastColumn="0" w:lastRowFirstColumn="0" w:lastRowLastColumn="0"/>
        </w:trPr>
        <w:tc>
          <w:tcPr>
            <w:tcW w:w="1197" w:type="dxa"/>
          </w:tcPr>
          <w:p w14:paraId="777DC415" w14:textId="017123EC" w:rsidR="002C3465" w:rsidRDefault="002C3465" w:rsidP="00AD36B8">
            <w:pPr>
              <w:pStyle w:val="TableText"/>
              <w:keepNext/>
              <w:keepLines/>
            </w:pPr>
            <w:r>
              <w:t>Elliott 1</w:t>
            </w:r>
          </w:p>
        </w:tc>
        <w:tc>
          <w:tcPr>
            <w:tcW w:w="816" w:type="dxa"/>
          </w:tcPr>
          <w:p w14:paraId="2ED84A79" w14:textId="0B4DB697" w:rsidR="002C3465" w:rsidRDefault="002C3465" w:rsidP="00AD36B8">
            <w:pPr>
              <w:pStyle w:val="TableTextRight"/>
              <w:keepNext/>
              <w:keepLines/>
            </w:pPr>
            <w:r>
              <w:t>1333</w:t>
            </w:r>
          </w:p>
        </w:tc>
        <w:tc>
          <w:tcPr>
            <w:tcW w:w="810" w:type="dxa"/>
          </w:tcPr>
          <w:p w14:paraId="3AADCCB7" w14:textId="77777777" w:rsidR="002C3465" w:rsidRDefault="002C3465" w:rsidP="00AD36B8">
            <w:pPr>
              <w:pStyle w:val="TableTextRight"/>
              <w:keepNext/>
              <w:keepLines/>
            </w:pPr>
          </w:p>
        </w:tc>
        <w:tc>
          <w:tcPr>
            <w:tcW w:w="810" w:type="dxa"/>
          </w:tcPr>
          <w:p w14:paraId="38934A45" w14:textId="2810A80C" w:rsidR="002C3465" w:rsidRDefault="002C3465" w:rsidP="00AD36B8">
            <w:pPr>
              <w:pStyle w:val="TableTextRight"/>
              <w:keepNext/>
              <w:keepLines/>
            </w:pPr>
            <w:r w:rsidRPr="00F63A4D">
              <w:t>5200</w:t>
            </w:r>
          </w:p>
        </w:tc>
        <w:tc>
          <w:tcPr>
            <w:tcW w:w="1260" w:type="dxa"/>
          </w:tcPr>
          <w:p w14:paraId="0594FEFA" w14:textId="2F70F18B" w:rsidR="002C3465" w:rsidRDefault="002C3465" w:rsidP="00AD36B8">
            <w:pPr>
              <w:pStyle w:val="TableText"/>
              <w:keepNext/>
              <w:keepLines/>
            </w:pPr>
            <w:r w:rsidRPr="00F63A4D">
              <w:t>L in 98</w:t>
            </w:r>
            <w:r w:rsidR="00AD013A">
              <w:t> </w:t>
            </w:r>
            <w:r w:rsidRPr="00F63A4D">
              <w:t>minutes</w:t>
            </w:r>
          </w:p>
        </w:tc>
        <w:tc>
          <w:tcPr>
            <w:tcW w:w="723" w:type="dxa"/>
          </w:tcPr>
          <w:p w14:paraId="4006825B" w14:textId="33F5F9E9" w:rsidR="002C3465" w:rsidRDefault="002C3465" w:rsidP="00AD36B8">
            <w:pPr>
              <w:pStyle w:val="TableTextRight"/>
              <w:keepNext/>
              <w:keepLines/>
            </w:pPr>
            <w:r w:rsidRPr="00F63A4D">
              <w:t>1</w:t>
            </w:r>
          </w:p>
        </w:tc>
        <w:tc>
          <w:tcPr>
            <w:tcW w:w="1260" w:type="dxa"/>
          </w:tcPr>
          <w:p w14:paraId="54C3A61D" w14:textId="270896C1" w:rsidR="002C3465" w:rsidRDefault="002C3465" w:rsidP="00AD36B8">
            <w:pPr>
              <w:pStyle w:val="TableText"/>
              <w:keepNext/>
              <w:keepLines/>
            </w:pPr>
            <w:r w:rsidRPr="00F63A4D">
              <w:t xml:space="preserve">Moroak </w:t>
            </w:r>
            <w:r w:rsidR="00CF40AD" w:rsidRPr="00234BAD">
              <w:t>Sst</w:t>
            </w:r>
          </w:p>
        </w:tc>
        <w:tc>
          <w:tcPr>
            <w:tcW w:w="2708" w:type="dxa"/>
          </w:tcPr>
          <w:p w14:paraId="70C88431" w14:textId="700D27E7" w:rsidR="002C3465" w:rsidRDefault="00AD013A" w:rsidP="00AD36B8">
            <w:pPr>
              <w:pStyle w:val="TableText"/>
              <w:keepNext/>
              <w:keepLines/>
            </w:pPr>
            <w:r>
              <w:t>‘</w:t>
            </w:r>
            <w:r w:rsidR="002C3465" w:rsidRPr="00F63A4D">
              <w:t>encouraging potential for flow from secondary fractures</w:t>
            </w:r>
            <w:r>
              <w:t>’</w:t>
            </w:r>
            <w:r w:rsidR="002C3465" w:rsidRPr="00F63A4D">
              <w:t xml:space="preserve"> (p</w:t>
            </w:r>
            <w:r w:rsidR="00BB6D37">
              <w:t>. </w:t>
            </w:r>
            <w:r w:rsidR="002C3465" w:rsidRPr="00F63A4D">
              <w:t xml:space="preserve">16 </w:t>
            </w:r>
            <w:r w:rsidR="13A53C45">
              <w:t>of well completion report</w:t>
            </w:r>
            <w:r>
              <w:t>)</w:t>
            </w:r>
          </w:p>
        </w:tc>
      </w:tr>
      <w:tr w:rsidR="002C3465" w14:paraId="3152B353" w14:textId="77777777" w:rsidTr="3C583D25">
        <w:trPr>
          <w:cnfStyle w:val="000000010000" w:firstRow="0" w:lastRow="0" w:firstColumn="0" w:lastColumn="0" w:oddVBand="0" w:evenVBand="0" w:oddHBand="0" w:evenHBand="1" w:firstRowFirstColumn="0" w:firstRowLastColumn="0" w:lastRowFirstColumn="0" w:lastRowLastColumn="0"/>
        </w:trPr>
        <w:tc>
          <w:tcPr>
            <w:tcW w:w="1197" w:type="dxa"/>
          </w:tcPr>
          <w:p w14:paraId="09AF50C0" w14:textId="3AEF451B" w:rsidR="002C3465" w:rsidRDefault="002C3465" w:rsidP="00AD36B8">
            <w:pPr>
              <w:pStyle w:val="TableText"/>
              <w:keepNext/>
              <w:keepLines/>
            </w:pPr>
            <w:r w:rsidRPr="00F63A4D">
              <w:t>Kalala 1</w:t>
            </w:r>
          </w:p>
        </w:tc>
        <w:tc>
          <w:tcPr>
            <w:tcW w:w="816" w:type="dxa"/>
          </w:tcPr>
          <w:p w14:paraId="25B997B0" w14:textId="083ADE60" w:rsidR="002C3465" w:rsidRDefault="002C3465" w:rsidP="00AD36B8">
            <w:pPr>
              <w:pStyle w:val="TableTextRight"/>
              <w:keepNext/>
              <w:keepLines/>
            </w:pPr>
            <w:r w:rsidRPr="00F63A4D">
              <w:t>1558</w:t>
            </w:r>
          </w:p>
        </w:tc>
        <w:tc>
          <w:tcPr>
            <w:tcW w:w="810" w:type="dxa"/>
          </w:tcPr>
          <w:p w14:paraId="5BFD0EC8" w14:textId="77777777" w:rsidR="002C3465" w:rsidRDefault="002C3465" w:rsidP="00AD36B8">
            <w:pPr>
              <w:pStyle w:val="TableTextRight"/>
              <w:keepNext/>
              <w:keepLines/>
            </w:pPr>
          </w:p>
        </w:tc>
        <w:tc>
          <w:tcPr>
            <w:tcW w:w="810" w:type="dxa"/>
          </w:tcPr>
          <w:p w14:paraId="162CF250" w14:textId="5571B9E1" w:rsidR="002C3465" w:rsidRDefault="002C3465" w:rsidP="00AD36B8">
            <w:pPr>
              <w:pStyle w:val="TableTextRight"/>
              <w:keepNext/>
              <w:keepLines/>
            </w:pPr>
            <w:r w:rsidRPr="00F63A4D">
              <w:t>397</w:t>
            </w:r>
          </w:p>
        </w:tc>
        <w:tc>
          <w:tcPr>
            <w:tcW w:w="1260" w:type="dxa"/>
          </w:tcPr>
          <w:p w14:paraId="5558B0DE" w14:textId="5D632A4B" w:rsidR="002C3465" w:rsidRDefault="00CF40AD" w:rsidP="00AD36B8">
            <w:pPr>
              <w:pStyle w:val="TableText"/>
              <w:keepNext/>
              <w:keepLines/>
            </w:pPr>
            <w:r>
              <w:t>L</w:t>
            </w:r>
            <w:r w:rsidR="002C3465" w:rsidRPr="00F63A4D">
              <w:t>/min</w:t>
            </w:r>
          </w:p>
        </w:tc>
        <w:tc>
          <w:tcPr>
            <w:tcW w:w="723" w:type="dxa"/>
          </w:tcPr>
          <w:p w14:paraId="46860B44" w14:textId="76423B25" w:rsidR="002C3465" w:rsidRDefault="002C3465" w:rsidP="00AD36B8">
            <w:pPr>
              <w:pStyle w:val="TableTextRight"/>
              <w:keepNext/>
              <w:keepLines/>
            </w:pPr>
            <w:r w:rsidRPr="00F63A4D">
              <w:t>7</w:t>
            </w:r>
          </w:p>
        </w:tc>
        <w:tc>
          <w:tcPr>
            <w:tcW w:w="1260" w:type="dxa"/>
          </w:tcPr>
          <w:p w14:paraId="1F6B08A5" w14:textId="1B49E1C2" w:rsidR="002C3465" w:rsidRDefault="002C3465" w:rsidP="00AD36B8">
            <w:pPr>
              <w:pStyle w:val="TableText"/>
              <w:keepNext/>
              <w:keepLines/>
            </w:pPr>
            <w:r w:rsidRPr="00F63A4D">
              <w:t>Moroak Sst</w:t>
            </w:r>
          </w:p>
        </w:tc>
        <w:tc>
          <w:tcPr>
            <w:tcW w:w="2708" w:type="dxa"/>
          </w:tcPr>
          <w:p w14:paraId="68376CB8" w14:textId="0C1AAB67" w:rsidR="002C3465" w:rsidRDefault="002C3465" w:rsidP="00AD36B8">
            <w:pPr>
              <w:pStyle w:val="TableText"/>
              <w:keepNext/>
              <w:keepLines/>
            </w:pPr>
            <w:r w:rsidRPr="00F63A4D">
              <w:t>Calculated water inflow for open hole section from 1305</w:t>
            </w:r>
            <w:r w:rsidR="00CF40AD">
              <w:t>–</w:t>
            </w:r>
            <w:r w:rsidRPr="00F63A4D">
              <w:t>1558</w:t>
            </w:r>
            <w:r>
              <w:t xml:space="preserve"> </w:t>
            </w:r>
            <w:r w:rsidRPr="00F63A4D">
              <w:t>m.</w:t>
            </w:r>
          </w:p>
        </w:tc>
      </w:tr>
      <w:tr w:rsidR="002C3465" w14:paraId="7BF3F401" w14:textId="77777777" w:rsidTr="3C583D25">
        <w:trPr>
          <w:cnfStyle w:val="000000100000" w:firstRow="0" w:lastRow="0" w:firstColumn="0" w:lastColumn="0" w:oddVBand="0" w:evenVBand="0" w:oddHBand="1" w:evenHBand="0" w:firstRowFirstColumn="0" w:firstRowLastColumn="0" w:lastRowFirstColumn="0" w:lastRowLastColumn="0"/>
        </w:trPr>
        <w:tc>
          <w:tcPr>
            <w:tcW w:w="1197" w:type="dxa"/>
          </w:tcPr>
          <w:p w14:paraId="4CB640E2" w14:textId="727B8712" w:rsidR="002C3465" w:rsidRPr="00397E63" w:rsidRDefault="002C3465" w:rsidP="00AD36B8">
            <w:pPr>
              <w:pStyle w:val="TableText"/>
              <w:keepNext/>
              <w:keepLines/>
            </w:pPr>
            <w:r w:rsidRPr="00397E63">
              <w:t>Ronald 1</w:t>
            </w:r>
          </w:p>
        </w:tc>
        <w:tc>
          <w:tcPr>
            <w:tcW w:w="816" w:type="dxa"/>
          </w:tcPr>
          <w:p w14:paraId="06E3EDC1" w14:textId="07F9AC49" w:rsidR="002C3465" w:rsidRPr="00397E63" w:rsidRDefault="002C3465" w:rsidP="00AD36B8">
            <w:pPr>
              <w:pStyle w:val="TableText"/>
              <w:keepNext/>
              <w:keepLines/>
            </w:pPr>
            <w:r w:rsidRPr="00397E63">
              <w:t>1047</w:t>
            </w:r>
          </w:p>
        </w:tc>
        <w:tc>
          <w:tcPr>
            <w:tcW w:w="810" w:type="dxa"/>
          </w:tcPr>
          <w:p w14:paraId="7124BBCF" w14:textId="105331FB" w:rsidR="002C3465" w:rsidRPr="00397E63" w:rsidRDefault="002C3465" w:rsidP="00AD36B8">
            <w:pPr>
              <w:pStyle w:val="TableText"/>
              <w:keepNext/>
              <w:keepLines/>
            </w:pPr>
            <w:r w:rsidRPr="00397E63">
              <w:t>1069</w:t>
            </w:r>
          </w:p>
        </w:tc>
        <w:tc>
          <w:tcPr>
            <w:tcW w:w="810" w:type="dxa"/>
          </w:tcPr>
          <w:p w14:paraId="2945E4F8" w14:textId="62B12C45" w:rsidR="002C3465" w:rsidRPr="00397E63" w:rsidRDefault="002C3465" w:rsidP="00AD36B8">
            <w:pPr>
              <w:pStyle w:val="TableText"/>
              <w:keepNext/>
              <w:keepLines/>
            </w:pPr>
            <w:r w:rsidRPr="00397E63">
              <w:t>3000</w:t>
            </w:r>
          </w:p>
        </w:tc>
        <w:tc>
          <w:tcPr>
            <w:tcW w:w="1260" w:type="dxa"/>
          </w:tcPr>
          <w:p w14:paraId="796DBFCD" w14:textId="445DA90F" w:rsidR="002C3465" w:rsidRPr="00397E63" w:rsidRDefault="002C3465" w:rsidP="00AD36B8">
            <w:pPr>
              <w:pStyle w:val="TableText"/>
              <w:keepNext/>
              <w:keepLines/>
            </w:pPr>
            <w:r w:rsidRPr="00397E63">
              <w:t>barrels/day</w:t>
            </w:r>
          </w:p>
        </w:tc>
        <w:tc>
          <w:tcPr>
            <w:tcW w:w="723" w:type="dxa"/>
          </w:tcPr>
          <w:p w14:paraId="02642725" w14:textId="03844440" w:rsidR="002C3465" w:rsidRPr="00397E63" w:rsidRDefault="002C3465" w:rsidP="00AD36B8">
            <w:pPr>
              <w:pStyle w:val="TableText"/>
              <w:keepNext/>
              <w:keepLines/>
            </w:pPr>
            <w:r w:rsidRPr="00397E63">
              <w:t>6</w:t>
            </w:r>
          </w:p>
        </w:tc>
        <w:tc>
          <w:tcPr>
            <w:tcW w:w="1260" w:type="dxa"/>
          </w:tcPr>
          <w:p w14:paraId="573E59BB" w14:textId="3C693B59" w:rsidR="002C3465" w:rsidRPr="00397E63" w:rsidRDefault="002C3465" w:rsidP="00AD36B8">
            <w:pPr>
              <w:pStyle w:val="TableText"/>
              <w:keepNext/>
              <w:keepLines/>
            </w:pPr>
            <w:r w:rsidRPr="00397E63">
              <w:t>Moroak Sst</w:t>
            </w:r>
          </w:p>
        </w:tc>
        <w:tc>
          <w:tcPr>
            <w:tcW w:w="2708" w:type="dxa"/>
          </w:tcPr>
          <w:p w14:paraId="0E0549FC" w14:textId="102A995F" w:rsidR="002C3465" w:rsidRPr="00397E63" w:rsidRDefault="002C3465" w:rsidP="00AD36B8">
            <w:pPr>
              <w:pStyle w:val="TableText"/>
              <w:keepNext/>
              <w:keepLines/>
            </w:pPr>
            <w:r w:rsidRPr="00397E63">
              <w:t xml:space="preserve">Large volumes of water inflow encountered below 1045 m. Flow into well would </w:t>
            </w:r>
            <w:r w:rsidR="00AD013A">
              <w:t>‘</w:t>
            </w:r>
            <w:r w:rsidRPr="00397E63">
              <w:t>kill itself</w:t>
            </w:r>
            <w:r w:rsidR="00AD013A">
              <w:t>’</w:t>
            </w:r>
            <w:r w:rsidRPr="00397E63">
              <w:t xml:space="preserve"> </w:t>
            </w:r>
            <w:r w:rsidR="00AD013A">
              <w:t>(</w:t>
            </w:r>
            <w:r w:rsidRPr="00397E63">
              <w:t>i.e. essentially stopped flowing in</w:t>
            </w:r>
            <w:r w:rsidR="00AD013A">
              <w:t>)</w:t>
            </w:r>
            <w:r w:rsidRPr="00397E63">
              <w:t xml:space="preserve"> when water level in well reached about 180</w:t>
            </w:r>
            <w:r>
              <w:t xml:space="preserve"> </w:t>
            </w:r>
            <w:r w:rsidRPr="00397E63">
              <w:t>m below Kelly bush (equates to 176</w:t>
            </w:r>
            <w:r>
              <w:t xml:space="preserve"> </w:t>
            </w:r>
            <w:r w:rsidRPr="00397E63">
              <w:t>m below ground level)</w:t>
            </w:r>
          </w:p>
        </w:tc>
      </w:tr>
    </w:tbl>
    <w:bookmarkEnd w:id="410"/>
    <w:p w14:paraId="3C0DBF32" w14:textId="2CCC7FD0" w:rsidR="00104F31" w:rsidRDefault="00016964" w:rsidP="00AD36B8">
      <w:pPr>
        <w:pStyle w:val="SourceornoteforTableorFigure"/>
        <w:keepNext/>
        <w:keepLines/>
      </w:pPr>
      <w:r>
        <w:t>1 barrel = 159 litres</w:t>
      </w:r>
      <w:r w:rsidR="00E10DA7">
        <w:t xml:space="preserve"> </w:t>
      </w:r>
      <w:r w:rsidR="00E10DA7">
        <w:br/>
      </w:r>
      <w:r w:rsidR="00104F31">
        <w:t>Sst = Sandstone</w:t>
      </w:r>
      <w:r w:rsidR="00AD013A">
        <w:t>; WCR = well completion report</w:t>
      </w:r>
      <w:r w:rsidR="00667CED">
        <w:br/>
      </w:r>
      <w:r w:rsidR="00667CED" w:rsidRPr="00E34A4C">
        <w:t xml:space="preserve">Whether an inflow to a petroleum well occurs </w:t>
      </w:r>
      <w:r w:rsidR="00667CED">
        <w:t xml:space="preserve">or not </w:t>
      </w:r>
      <w:r w:rsidR="00667CED" w:rsidRPr="00E34A4C">
        <w:t>is in part dependent on drilling method and condition of the hole at time of drilling. For instance, in a well where no inflow</w:t>
      </w:r>
      <w:r w:rsidR="00667CED">
        <w:t>s</w:t>
      </w:r>
      <w:r w:rsidR="00667CED" w:rsidRPr="00E34A4C">
        <w:t xml:space="preserve"> </w:t>
      </w:r>
      <w:r w:rsidR="00667CED">
        <w:t>are</w:t>
      </w:r>
      <w:r w:rsidR="00667CED" w:rsidRPr="00E34A4C">
        <w:t xml:space="preserve"> recorded, the drilling mud densit</w:t>
      </w:r>
      <w:r w:rsidR="00667CED">
        <w:t>y</w:t>
      </w:r>
      <w:r w:rsidR="00667CED" w:rsidRPr="00E34A4C">
        <w:t xml:space="preserve"> </w:t>
      </w:r>
      <w:r w:rsidR="00B4647B">
        <w:t>could</w:t>
      </w:r>
      <w:r w:rsidR="00667CED" w:rsidRPr="00E34A4C">
        <w:t xml:space="preserve"> have been </w:t>
      </w:r>
      <w:r w:rsidR="00667CED">
        <w:t>have been high enough to</w:t>
      </w:r>
      <w:r w:rsidR="00667CED" w:rsidRPr="00E34A4C">
        <w:t xml:space="preserve"> impede</w:t>
      </w:r>
      <w:r w:rsidR="00667CED">
        <w:t xml:space="preserve"> inflows</w:t>
      </w:r>
      <w:r w:rsidR="00667CED" w:rsidRPr="00E34A4C">
        <w:t xml:space="preserve">, or alternatively the formation </w:t>
      </w:r>
      <w:r w:rsidR="00667CED">
        <w:t xml:space="preserve">was naturally </w:t>
      </w:r>
      <w:r w:rsidR="00667CED" w:rsidRPr="00E34A4C">
        <w:t xml:space="preserve">tight with low permeability, </w:t>
      </w:r>
      <w:r w:rsidR="00667CED">
        <w:t xml:space="preserve">which </w:t>
      </w:r>
      <w:r w:rsidR="00667CED" w:rsidRPr="00E34A4C">
        <w:t>reduc</w:t>
      </w:r>
      <w:r w:rsidR="00667CED">
        <w:t>es</w:t>
      </w:r>
      <w:r w:rsidR="00667CED" w:rsidRPr="00E34A4C">
        <w:t xml:space="preserve"> the ability </w:t>
      </w:r>
      <w:r w:rsidR="00AD013A">
        <w:t>of</w:t>
      </w:r>
      <w:r w:rsidR="00667CED" w:rsidRPr="00E34A4C">
        <w:t xml:space="preserve"> groundwater to flow</w:t>
      </w:r>
      <w:r w:rsidR="00667CED">
        <w:t xml:space="preserve"> at a noticeable rate</w:t>
      </w:r>
      <w:r w:rsidR="00667CED" w:rsidRPr="00E34A4C">
        <w:t>.</w:t>
      </w:r>
      <w:r w:rsidR="00667CED">
        <w:br/>
      </w:r>
      <w:r w:rsidR="00FE54F3">
        <w:t xml:space="preserve">Data: </w:t>
      </w:r>
      <w:r w:rsidR="00FE54F3">
        <w:fldChar w:fldCharType="begin"/>
      </w:r>
      <w:r w:rsidR="008F30E0">
        <w:instrText xml:space="preserve"> ADDIN EN.CITE &lt;EndNote&gt;&lt;Cite AuthorYear="1"&gt;&lt;Author&gt;Geological and Bioregional Assessment Program&lt;/Author&gt;&lt;Year&gt;2019&lt;/Year&gt;&lt;RecNum&gt;1003&lt;/RecNum&gt;&lt;DisplayText&gt;Geological and Bioregional Assessment Program (2019f)&lt;/DisplayText&gt;&lt;record&gt;&lt;rec-number&gt;1003&lt;/rec-number&gt;&lt;foreign-keys&gt;&lt;key app="EN" db-id="wdf9tzzdhw2saee559kv0vezt0wfsta0zedv" timestamp="1559184265"&gt;1003&lt;/key&gt;&lt;/foreign-keys&gt;&lt;ref-type name="Dataset"&gt;59&lt;/ref-type&gt;&lt;contributors&gt;&lt;authors&gt;&lt;author&gt;Geological and Bioregional Assessment Program,&lt;/author&gt;&lt;/authors&gt;&lt;/contributors&gt;&lt;titles&gt;&lt;title&gt;Beetaloo formation pressure and temperature data compiled from petroleum well completion reports&lt;/title&gt;&lt;/titles&gt;&lt;dates&gt;&lt;year&gt;2019&lt;/year&gt;&lt;/dates&gt;&lt;label&gt;65CF9145-483A-45E5-9349-CC66647731F1&lt;/label&gt;&lt;urls&gt;&lt;related-urls&gt;&lt;url&gt;&lt;style face="underline" font="default" size="100%"&gt;https://repo.bioregionalassessments.gov.au/metadata/65CF9145-483A-45E5-9349-CC66647731F1&lt;/style&gt;&lt;/url&gt;&lt;/related-urls&gt;&lt;/urls&gt;&lt;access-date&gt;08 March 2019&lt;/access-date&gt;&lt;/record&gt;&lt;/Cite&gt;&lt;/EndNote&gt;</w:instrText>
      </w:r>
      <w:r w:rsidR="00FE54F3">
        <w:fldChar w:fldCharType="separate"/>
      </w:r>
      <w:r w:rsidR="008F30E0">
        <w:rPr>
          <w:noProof/>
        </w:rPr>
        <w:t>Geological and Bioregional Assessment Program (2019f)</w:t>
      </w:r>
      <w:r w:rsidR="00FE54F3">
        <w:fldChar w:fldCharType="end"/>
      </w:r>
    </w:p>
    <w:p w14:paraId="417A5F65" w14:textId="6598AA3C" w:rsidR="000D678B" w:rsidRDefault="007A35B8" w:rsidP="005C67B8">
      <w:pPr>
        <w:pStyle w:val="Figures"/>
      </w:pPr>
      <w:r>
        <w:rPr>
          <w:noProof/>
        </w:rPr>
        <w:drawing>
          <wp:inline distT="0" distB="0" distL="0" distR="0" wp14:anchorId="1B144F77" wp14:editId="2704E096">
            <wp:extent cx="6115050" cy="6115050"/>
            <wp:effectExtent l="0" t="0" r="0" b="0"/>
            <wp:docPr id="1969529418" name="Picture 21" descr="T:\proj\ba2\Stage2\3_Beetaloo\MapsAndFigures\Figures\GBA-BEE-2-363_moroak_h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70">
                      <a:extLst>
                        <a:ext uri="{28A0092B-C50C-407E-A947-70E740481C1C}">
                          <a14:useLocalDpi xmlns:a14="http://schemas.microsoft.com/office/drawing/2010/main" val="0"/>
                        </a:ext>
                      </a:extLst>
                    </a:blip>
                    <a:stretch>
                      <a:fillRect/>
                    </a:stretch>
                  </pic:blipFill>
                  <pic:spPr>
                    <a:xfrm>
                      <a:off x="0" y="0"/>
                      <a:ext cx="6115050" cy="6115050"/>
                    </a:xfrm>
                    <a:prstGeom prst="rect">
                      <a:avLst/>
                    </a:prstGeom>
                  </pic:spPr>
                </pic:pic>
              </a:graphicData>
            </a:graphic>
          </wp:inline>
        </w:drawing>
      </w:r>
    </w:p>
    <w:p w14:paraId="19262001" w14:textId="707C506D" w:rsidR="000D678B" w:rsidRDefault="000D678B" w:rsidP="1C8FA629">
      <w:pPr>
        <w:pStyle w:val="Caption"/>
      </w:pPr>
      <w:bookmarkStart w:id="411" w:name="_Ref535418897"/>
      <w:bookmarkStart w:id="412" w:name="_Toc4072437"/>
      <w:bookmarkStart w:id="413" w:name="_Toc4670950"/>
      <w:bookmarkStart w:id="414" w:name="_Toc4754370"/>
      <w:bookmarkStart w:id="415" w:name="_Toc5020755"/>
      <w:bookmarkStart w:id="416" w:name="_Toc5021562"/>
      <w:bookmarkStart w:id="417" w:name="_Toc5097088"/>
      <w:bookmarkStart w:id="418" w:name="_Toc5108480"/>
      <w:bookmarkStart w:id="419" w:name="_Toc5284145"/>
      <w:bookmarkStart w:id="420" w:name="_Toc5635359"/>
      <w:bookmarkStart w:id="421" w:name="_Toc5808318"/>
      <w:bookmarkStart w:id="422" w:name="_Toc5895010"/>
      <w:bookmarkStart w:id="423" w:name="_Toc6308899"/>
      <w:bookmarkStart w:id="424" w:name="_Toc6327564"/>
      <w:bookmarkStart w:id="425" w:name="_Toc38990467"/>
      <w:r>
        <w:t xml:space="preserve">Figure </w:t>
      </w:r>
      <w:r w:rsidRPr="00CF40AD">
        <w:fldChar w:fldCharType="begin"/>
      </w:r>
      <w:r>
        <w:rPr>
          <w:noProof/>
        </w:rPr>
        <w:instrText xml:space="preserve"> SEQ Figure \* ARABIC </w:instrText>
      </w:r>
      <w:r w:rsidRPr="00CF40AD">
        <w:rPr>
          <w:noProof/>
        </w:rPr>
        <w:fldChar w:fldCharType="separate"/>
      </w:r>
      <w:r w:rsidR="00B177F5">
        <w:rPr>
          <w:noProof/>
        </w:rPr>
        <w:t>13</w:t>
      </w:r>
      <w:r w:rsidRPr="00CF40AD">
        <w:fldChar w:fldCharType="end"/>
      </w:r>
      <w:bookmarkEnd w:id="411"/>
      <w:r w:rsidRPr="1C8FA629">
        <w:t xml:space="preserve"> </w:t>
      </w:r>
      <w:r w:rsidR="00D31C5D">
        <w:t>G</w:t>
      </w:r>
      <w:r>
        <w:t>roundwater inflows to petroleum wells</w:t>
      </w:r>
      <w:r w:rsidR="00D31C5D">
        <w:t xml:space="preserve"> from </w:t>
      </w:r>
      <w:r w:rsidR="7BAE687A">
        <w:t>Roper Group</w:t>
      </w:r>
      <w:r w:rsidR="00D31C5D">
        <w:t xml:space="preserve">, and </w:t>
      </w:r>
      <w:r w:rsidR="7BAE687A">
        <w:t>calcu</w:t>
      </w:r>
      <w:r w:rsidR="3F04A839">
        <w:t xml:space="preserve">lated </w:t>
      </w:r>
      <w:r w:rsidR="00D31C5D">
        <w:t xml:space="preserve">hydraulic head levels derived from </w:t>
      </w:r>
      <w:r w:rsidR="00AD013A">
        <w:t>drill stem test</w:t>
      </w:r>
      <w:r w:rsidR="00D31C5D">
        <w:t xml:space="preserve"> pressure data</w:t>
      </w:r>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r w:rsidR="00D31C5D" w:rsidRPr="1C8FA629">
        <w:t xml:space="preserve"> </w:t>
      </w:r>
    </w:p>
    <w:p w14:paraId="4A3EABC9" w14:textId="2E58455E" w:rsidR="00E34A4C" w:rsidRPr="00C7607F" w:rsidRDefault="00AD013A" w:rsidP="00312BA1">
      <w:pPr>
        <w:pStyle w:val="SourceornoteforTableorFigure"/>
      </w:pPr>
      <w:r>
        <w:t>AHD = Australian Height Datum; MSL = metres above sea level</w:t>
      </w:r>
      <w:r>
        <w:br/>
      </w:r>
      <w:r w:rsidR="00E34A4C" w:rsidRPr="00E34A4C">
        <w:t xml:space="preserve">Whether an inflow to a petroleum well occurs </w:t>
      </w:r>
      <w:r w:rsidR="00391D91">
        <w:t xml:space="preserve">or not </w:t>
      </w:r>
      <w:r w:rsidR="00E34A4C" w:rsidRPr="00E34A4C">
        <w:t>is in part dependent on drilling method and condition of the hole at time of drilling. For instance, in a well where no inflow</w:t>
      </w:r>
      <w:r w:rsidR="00391D91">
        <w:t>s</w:t>
      </w:r>
      <w:r w:rsidR="00E34A4C" w:rsidRPr="00E34A4C">
        <w:t xml:space="preserve"> </w:t>
      </w:r>
      <w:r w:rsidR="00391D91">
        <w:t>are</w:t>
      </w:r>
      <w:r w:rsidR="00E34A4C" w:rsidRPr="00E34A4C">
        <w:t xml:space="preserve"> recorded, the drilling mud densit</w:t>
      </w:r>
      <w:r w:rsidR="00391D91">
        <w:t>y</w:t>
      </w:r>
      <w:r w:rsidR="00E34A4C" w:rsidRPr="00E34A4C">
        <w:t xml:space="preserve"> </w:t>
      </w:r>
      <w:r w:rsidR="00B4647B">
        <w:t>could</w:t>
      </w:r>
      <w:r w:rsidR="00E34A4C" w:rsidRPr="00E34A4C">
        <w:t xml:space="preserve"> have been </w:t>
      </w:r>
      <w:r w:rsidR="00391D91">
        <w:t>have been high enough to</w:t>
      </w:r>
      <w:r w:rsidR="00E34A4C" w:rsidRPr="00E34A4C">
        <w:t xml:space="preserve"> impede</w:t>
      </w:r>
      <w:r w:rsidR="00391D91">
        <w:t xml:space="preserve"> inflows</w:t>
      </w:r>
      <w:r w:rsidR="00E34A4C" w:rsidRPr="00E34A4C">
        <w:t xml:space="preserve">, or alternatively the formation </w:t>
      </w:r>
      <w:r w:rsidR="00391D91">
        <w:t xml:space="preserve">was naturally </w:t>
      </w:r>
      <w:r w:rsidR="00E34A4C" w:rsidRPr="00E34A4C">
        <w:t xml:space="preserve">tight with low permeability, </w:t>
      </w:r>
      <w:r w:rsidR="00391D91">
        <w:t xml:space="preserve">which </w:t>
      </w:r>
      <w:r w:rsidR="00E34A4C" w:rsidRPr="00E34A4C">
        <w:t>reduc</w:t>
      </w:r>
      <w:r w:rsidR="00391D91">
        <w:t>es</w:t>
      </w:r>
      <w:r w:rsidR="00E34A4C" w:rsidRPr="00E34A4C">
        <w:t xml:space="preserve"> the ability for groundwater to flow</w:t>
      </w:r>
      <w:r w:rsidR="00391D91">
        <w:t xml:space="preserve"> at a noticeable rate</w:t>
      </w:r>
      <w:r w:rsidR="00E34A4C" w:rsidRPr="00E34A4C">
        <w:t>.</w:t>
      </w:r>
      <w:r w:rsidR="00E34A4C">
        <w:br/>
      </w:r>
      <w:r w:rsidR="00E34A4C" w:rsidRPr="00E34A4C">
        <w:t xml:space="preserve">Data: </w:t>
      </w:r>
      <w:r>
        <w:t>g</w:t>
      </w:r>
      <w:r w:rsidR="00E34A4C" w:rsidRPr="00CF40AD">
        <w:t xml:space="preserve">roundwater inflows: </w:t>
      </w:r>
      <w:r w:rsidR="006B710B">
        <w:fldChar w:fldCharType="begin"/>
      </w:r>
      <w:r w:rsidR="008F30E0">
        <w:instrText xml:space="preserve"> ADDIN EN.CITE &lt;EndNote&gt;&lt;Cite&gt;&lt;Author&gt;Geological and Bioregional Assessment Program&lt;/Author&gt;&lt;Year&gt;2019&lt;/Year&gt;&lt;RecNum&gt;1003&lt;/RecNum&gt;&lt;DisplayText&gt;(Geological and Bioregional Assessment Program, 2019f)&lt;/DisplayText&gt;&lt;record&gt;&lt;rec-number&gt;1003&lt;/rec-number&gt;&lt;foreign-keys&gt;&lt;key app="EN" db-id="wdf9tzzdhw2saee559kv0vezt0wfsta0zedv" timestamp="1559184265"&gt;1003&lt;/key&gt;&lt;/foreign-keys&gt;&lt;ref-type name="Dataset"&gt;59&lt;/ref-type&gt;&lt;contributors&gt;&lt;authors&gt;&lt;author&gt;Geological and Bioregional Assessment Program,&lt;/author&gt;&lt;/authors&gt;&lt;/contributors&gt;&lt;titles&gt;&lt;title&gt;Beetaloo formation pressure and temperature data compiled from petroleum well completion reports&lt;/title&gt;&lt;/titles&gt;&lt;dates&gt;&lt;year&gt;2019&lt;/year&gt;&lt;/dates&gt;&lt;label&gt;65CF9145-483A-45E5-9349-CC66647731F1&lt;/label&gt;&lt;urls&gt;&lt;related-urls&gt;&lt;url&gt;&lt;style face="underline" font="default" size="100%"&gt;https://repo.bioregionalassessments.gov.au/metadata/65CF9145-483A-45E5-9349-CC66647731F1&lt;/style&gt;&lt;/url&gt;&lt;/related-urls&gt;&lt;/urls&gt;&lt;access-date&gt;08 March 2019&lt;/access-date&gt;&lt;/record&gt;&lt;/Cite&gt;&lt;/EndNote&gt;</w:instrText>
      </w:r>
      <w:r w:rsidR="006B710B">
        <w:fldChar w:fldCharType="separate"/>
      </w:r>
      <w:r w:rsidR="008F30E0">
        <w:rPr>
          <w:noProof/>
        </w:rPr>
        <w:t>(Geological and Bioregional Assessment Program, 2019f)</w:t>
      </w:r>
      <w:r w:rsidR="006B710B">
        <w:fldChar w:fldCharType="end"/>
      </w:r>
      <w:r w:rsidR="00E34A4C">
        <w:t>,</w:t>
      </w:r>
      <w:r w:rsidR="00EB21B1" w:rsidRPr="00EB21B1">
        <w:t xml:space="preserve"> </w:t>
      </w:r>
      <w:r>
        <w:t>t</w:t>
      </w:r>
      <w:r w:rsidR="00EB21B1">
        <w:t xml:space="preserve">op of Moroak Sandstone </w:t>
      </w:r>
      <w:r w:rsidR="00EB21B1">
        <w:fldChar w:fldCharType="begin"/>
      </w:r>
      <w:r w:rsidR="005D0C32">
        <w:instrText xml:space="preserve"> ADDIN EN.CITE &lt;EndNote&gt;&lt;Cite&gt;&lt;Author&gt;Geological and Bioregional Assessment Program&lt;/Author&gt;&lt;Year&gt;2019&lt;/Year&gt;&lt;RecNum&gt;1205&lt;/RecNum&gt;&lt;DisplayText&gt;(Geological and Bioregional Assessment Program, 2019a)&lt;/DisplayText&gt;&lt;record&gt;&lt;rec-number&gt;1205&lt;/rec-number&gt;&lt;foreign-keys&gt;&lt;key app="EN" db-id="wdf9tzzdhw2saee559kv0vezt0wfsta0zedv" timestamp="1564717374"&gt;1205&lt;/key&gt;&lt;/foreign-keys&gt;&lt;ref-type name="Dataset"&gt;59&lt;/ref-type&gt;&lt;contributors&gt;&lt;authors&gt;&lt;author&gt;Geological and Bioregional Assessment Program,&lt;/author&gt;&lt;/authors&gt;&lt;secondary-authors&gt;&lt;author&gt;CSIRO,&lt;/author&gt;&lt;/secondary-authors&gt;&lt;/contributors&gt;&lt;titles&gt;&lt;title&gt;Impact Modes and Effects Analysis: Shale gas, tight gas and shale oil Beetaloo Sub-basin&lt;/title&gt;&lt;/titles&gt;&lt;keywords&gt;&lt;keyword&gt;IMPACT ANALYSIS&lt;/keyword&gt;&lt;/keywords&gt;&lt;dates&gt;&lt;year&gt;2019&lt;/year&gt;&lt;/dates&gt;&lt;pub-location&gt;Canberra&lt;/pub-location&gt;&lt;label&gt;B7C9EE99-5A13-4312-89DA-794C082F8345&lt;/label&gt;&lt;urls&gt;&lt;related-urls&gt;&lt;url&gt;https://repo.bioregionalassessments.gov.au/metadata/B7C9EE99-5A13-4312-89DA-794C082F8345&lt;/url&gt;&lt;/related-urls&gt;&lt;/urls&gt;&lt;custom2&gt;unit of observation&lt;/custom2&gt;&lt;custom3&gt;tabular&lt;/custom3&gt;&lt;custom4&gt;dataset&lt;/custom4&gt;&lt;access-date&gt;05 April 2019&lt;/access-date&gt;&lt;/record&gt;&lt;/Cite&gt;&lt;/EndNote&gt;</w:instrText>
      </w:r>
      <w:r w:rsidR="00EB21B1">
        <w:fldChar w:fldCharType="separate"/>
      </w:r>
      <w:r w:rsidR="005D0C32">
        <w:rPr>
          <w:noProof/>
        </w:rPr>
        <w:t>(Geological and Bioregional Assessment Program, 2019a)</w:t>
      </w:r>
      <w:r w:rsidR="00EB21B1">
        <w:fldChar w:fldCharType="end"/>
      </w:r>
      <w:r w:rsidR="00312BA1">
        <w:br/>
      </w:r>
      <w:r w:rsidR="00E34A4C" w:rsidRPr="00E34A4C">
        <w:t>Element: GBA-BEE-2-</w:t>
      </w:r>
      <w:r w:rsidR="004C65B2">
        <w:t>363</w:t>
      </w:r>
    </w:p>
    <w:p w14:paraId="00B9B617" w14:textId="7284700D" w:rsidR="00833C61" w:rsidRDefault="00833C61" w:rsidP="00C761B1">
      <w:pPr>
        <w:pStyle w:val="Heading4"/>
        <w:numPr>
          <w:ilvl w:val="2"/>
          <w:numId w:val="13"/>
        </w:numPr>
      </w:pPr>
      <w:bookmarkStart w:id="426" w:name="_Ref14786602"/>
      <w:r>
        <w:t xml:space="preserve">Jamison </w:t>
      </w:r>
      <w:r w:rsidR="00EB49C9">
        <w:t>s</w:t>
      </w:r>
      <w:r>
        <w:t>andstone, Hayfield mudstone and Kiana Group</w:t>
      </w:r>
      <w:bookmarkEnd w:id="426"/>
    </w:p>
    <w:p w14:paraId="50CFAB85" w14:textId="542700F6" w:rsidR="00201B1A" w:rsidRDefault="00350D4F" w:rsidP="00370C93">
      <w:r>
        <w:t xml:space="preserve">Available temperature and formation pressure data for the Jamison </w:t>
      </w:r>
      <w:r w:rsidR="00D631A3">
        <w:t>s</w:t>
      </w:r>
      <w:r>
        <w:t xml:space="preserve">andstone and Hayfield mudstone </w:t>
      </w:r>
      <w:r w:rsidR="008D7A92">
        <w:t>are</w:t>
      </w:r>
      <w:r>
        <w:t xml:space="preserve"> outlined in </w:t>
      </w:r>
      <w:r>
        <w:fldChar w:fldCharType="begin"/>
      </w:r>
      <w:r>
        <w:instrText xml:space="preserve"> REF _Ref4664673 \h </w:instrText>
      </w:r>
      <w:r>
        <w:fldChar w:fldCharType="separate"/>
      </w:r>
      <w:r w:rsidR="00B177F5">
        <w:t xml:space="preserve">Figure </w:t>
      </w:r>
      <w:r w:rsidR="00B177F5">
        <w:rPr>
          <w:noProof/>
        </w:rPr>
        <w:t>11</w:t>
      </w:r>
      <w:r>
        <w:fldChar w:fldCharType="end"/>
      </w:r>
      <w:r>
        <w:t xml:space="preserve"> and </w:t>
      </w:r>
      <w:r>
        <w:fldChar w:fldCharType="begin"/>
      </w:r>
      <w:r>
        <w:instrText xml:space="preserve"> REF _Ref267660 \h </w:instrText>
      </w:r>
      <w:r>
        <w:fldChar w:fldCharType="separate"/>
      </w:r>
      <w:r w:rsidR="00B177F5">
        <w:t xml:space="preserve">Figure </w:t>
      </w:r>
      <w:r w:rsidR="00B177F5">
        <w:rPr>
          <w:noProof/>
        </w:rPr>
        <w:t>12</w:t>
      </w:r>
      <w:r>
        <w:fldChar w:fldCharType="end"/>
      </w:r>
      <w:r>
        <w:t xml:space="preserve">. </w:t>
      </w:r>
      <w:r w:rsidR="00201B1A">
        <w:t xml:space="preserve">From </w:t>
      </w:r>
      <w:r w:rsidR="00201B1A">
        <w:fldChar w:fldCharType="begin"/>
      </w:r>
      <w:r w:rsidR="00201B1A">
        <w:instrText xml:space="preserve"> REF _Ref267660 \h </w:instrText>
      </w:r>
      <w:r w:rsidR="00201B1A">
        <w:fldChar w:fldCharType="separate"/>
      </w:r>
      <w:r w:rsidR="00B177F5">
        <w:t xml:space="preserve">Figure </w:t>
      </w:r>
      <w:r w:rsidR="00B177F5">
        <w:rPr>
          <w:noProof/>
        </w:rPr>
        <w:t>12</w:t>
      </w:r>
      <w:r w:rsidR="00201B1A">
        <w:fldChar w:fldCharType="end"/>
      </w:r>
      <w:r w:rsidR="00391D91">
        <w:t>,</w:t>
      </w:r>
      <w:r w:rsidR="00201B1A">
        <w:t xml:space="preserve"> </w:t>
      </w:r>
      <w:r w:rsidR="00AD013A">
        <w:t xml:space="preserve">for </w:t>
      </w:r>
      <w:r w:rsidR="00201B1A">
        <w:t>temperatures</w:t>
      </w:r>
      <w:r w:rsidR="00201B1A" w:rsidRPr="00201B1A">
        <w:t xml:space="preserve"> </w:t>
      </w:r>
      <w:r w:rsidR="00066A2F">
        <w:t>between 500</w:t>
      </w:r>
      <w:r w:rsidR="00AD013A">
        <w:t xml:space="preserve"> to </w:t>
      </w:r>
      <w:r w:rsidR="00201B1A">
        <w:t xml:space="preserve">1000 m, the temperatures of the Jamison sandstone and Hayfield mudstone </w:t>
      </w:r>
      <w:r w:rsidR="00066A2F">
        <w:t xml:space="preserve">are </w:t>
      </w:r>
      <w:r w:rsidR="00391D91">
        <w:t xml:space="preserve">in </w:t>
      </w:r>
      <w:r w:rsidR="00066A2F">
        <w:t>the order of 50</w:t>
      </w:r>
      <w:r w:rsidR="00AD013A">
        <w:t xml:space="preserve"> to </w:t>
      </w:r>
      <w:r w:rsidR="00201B1A">
        <w:t>60</w:t>
      </w:r>
      <w:r w:rsidR="00201B1A">
        <w:rPr>
          <w:rFonts w:cs="Calibri"/>
        </w:rPr>
        <w:t>°C</w:t>
      </w:r>
      <w:r w:rsidR="00201B1A">
        <w:t>.</w:t>
      </w:r>
    </w:p>
    <w:p w14:paraId="05DE57D7" w14:textId="177BFEF0" w:rsidR="00370C93" w:rsidRDefault="00370C93" w:rsidP="00370C93">
      <w:r>
        <w:t>The Jamison</w:t>
      </w:r>
      <w:r w:rsidR="3C583D25">
        <w:t xml:space="preserve"> s</w:t>
      </w:r>
      <w:r>
        <w:t>andstone</w:t>
      </w:r>
      <w:r w:rsidDel="00350D4F">
        <w:t xml:space="preserve"> </w:t>
      </w:r>
      <w:r w:rsidR="00350D4F">
        <w:t xml:space="preserve">occurs </w:t>
      </w:r>
      <w:r>
        <w:t xml:space="preserve">across much of the Beetaloo </w:t>
      </w:r>
      <w:r w:rsidR="002E7DCA">
        <w:t xml:space="preserve">GBA </w:t>
      </w:r>
      <w:r w:rsidR="00350D4F">
        <w:t>region</w:t>
      </w:r>
      <w:r>
        <w:t xml:space="preserve">. </w:t>
      </w:r>
      <w:r w:rsidR="00466751">
        <w:t>I</w:t>
      </w:r>
      <w:r>
        <w:t xml:space="preserve">t is </w:t>
      </w:r>
      <w:r w:rsidR="00350D4F">
        <w:t xml:space="preserve">usually </w:t>
      </w:r>
      <w:r>
        <w:t xml:space="preserve">confined between the overlying Hayfield mudstone and underlying Kyalla Formation. </w:t>
      </w:r>
      <w:r w:rsidR="00350D4F">
        <w:t>An</w:t>
      </w:r>
      <w:r w:rsidDel="002E7DCA">
        <w:t xml:space="preserve"> </w:t>
      </w:r>
      <w:r>
        <w:t xml:space="preserve">exception </w:t>
      </w:r>
      <w:r w:rsidR="002E7DCA">
        <w:t>though is where</w:t>
      </w:r>
      <w:r w:rsidDel="002E7DCA">
        <w:t xml:space="preserve"> it </w:t>
      </w:r>
      <w:r>
        <w:t xml:space="preserve">unconformably overlies the Moroak Sandstone in southern parts of the eastern sub-basin towards the Helen Springs </w:t>
      </w:r>
      <w:r w:rsidR="00BB6D37">
        <w:t>H</w:t>
      </w:r>
      <w:r>
        <w:t xml:space="preserve">igh, where it is in direct contact with either the Antrim Plateau Volcanics and/or the </w:t>
      </w:r>
      <w:r w:rsidR="004F2EA2">
        <w:t>Gum Ridge Formation and equivalents</w:t>
      </w:r>
      <w:r>
        <w:t xml:space="preserve"> </w:t>
      </w:r>
      <w:r w:rsidR="004F2EA2">
        <w:t>(</w:t>
      </w:r>
      <w:r w:rsidR="00A541ED">
        <w:fldChar w:fldCharType="begin"/>
      </w:r>
      <w:r w:rsidR="008F30E0">
        <w:instrText xml:space="preserve"> ADDIN EN.CITE &lt;EndNote&gt;&lt;Cite&gt;&lt;Author&gt;Fulton&lt;/Author&gt;&lt;Year&gt;2015&lt;/Year&gt;&lt;RecNum&gt;671&lt;/RecNum&gt;&lt;DisplayText&gt;(Fulton and Knapton, 2015b)&lt;/DisplayText&gt;&lt;record&gt;&lt;rec-number&gt;671&lt;/rec-number&gt;&lt;foreign-keys&gt;&lt;key app="EN" db-id="wdf9tzzdhw2saee559kv0vezt0wfsta0zedv" timestamp="1545264407"&gt;671&lt;/key&gt;&lt;key app="ENWeb" db-id=""&gt;0&lt;/key&gt;&lt;/foreign-keys&gt;&lt;ref-type name="Report"&gt;27&lt;/ref-type&gt;&lt;contributors&gt;&lt;authors&gt;&lt;author&gt;Fulton, S.&lt;/author&gt;&lt;author&gt;Knapton, A.&lt;/author&gt;&lt;/authors&gt;&lt;/contributors&gt;&lt;titles&gt;&lt;title&gt;Beetaloo Basin hydrogeological assessment. Cloud GMS&lt;/title&gt;&lt;/titles&gt;&lt;pages&gt;70&lt;/pages&gt;&lt;dates&gt;&lt;year&gt;2015&lt;/year&gt;&lt;pub-dates&gt;&lt;date&gt;February 2015&lt;/date&gt;&lt;/pub-dates&gt;&lt;/dates&gt;&lt;publisher&gt;Origin Energy Report 1 for Fracking Enquiry NT&lt;/publisher&gt;&lt;urls&gt;&lt;related-urls&gt;&lt;url&gt;https://frackinginquiry.nt.gov.au/?a=410609&lt;/url&gt;&lt;/related-urls&gt;&lt;/urls&gt;&lt;access-date&gt;28 November 2019&lt;/access-date&gt;&lt;/record&gt;&lt;/Cite&gt;&lt;/EndNote&gt;</w:instrText>
      </w:r>
      <w:r w:rsidR="00A541ED">
        <w:fldChar w:fldCharType="separate"/>
      </w:r>
      <w:r w:rsidR="008F30E0">
        <w:rPr>
          <w:noProof/>
        </w:rPr>
        <w:t>(Fulton and Knapton, 2015b)</w:t>
      </w:r>
      <w:r w:rsidR="00A541ED">
        <w:fldChar w:fldCharType="end"/>
      </w:r>
      <w:r w:rsidR="00FD3CBE">
        <w:t xml:space="preserve"> </w:t>
      </w:r>
      <w:r>
        <w:t xml:space="preserve">and </w:t>
      </w:r>
      <w:r w:rsidR="007F0842">
        <w:fldChar w:fldCharType="begin"/>
      </w:r>
      <w:r w:rsidR="00F76E0D">
        <w:instrText xml:space="preserve"> ADDIN EN.CITE &lt;EndNote&gt;&lt;Cite&gt;&lt;Author&gt;Hall&lt;/Author&gt;&lt;Year&gt;2020&lt;/Year&gt;&lt;RecNum&gt;1190&lt;/RecNum&gt;&lt;DisplayText&gt;(Hall et al., 2020)&lt;/DisplayText&gt;&lt;record&gt;&lt;rec-number&gt;1190&lt;/rec-number&gt;&lt;foreign-keys&gt;&lt;key app="EN" db-id="wdf9tzzdhw2saee559kv0vezt0wfsta0zedv" timestamp="1563842478"&gt;1190&lt;/key&gt;&lt;/foreign-keys&gt;&lt;ref-type name="Report"&gt;27&lt;/ref-type&gt;&lt;contributors&gt;&lt;authors&gt;&lt;author&gt;Hall, L.S.,&lt;/author&gt;&lt;author&gt;Wang, L.,&lt;/author&gt;&lt;author&gt;Bailey, A.H.E.,&lt;/author&gt;&lt;author&gt;Orr, M.L.,&lt;/author&gt;&lt;author&gt;Owens, R.,&lt;/author&gt;&lt;author&gt;Jarrett, A.J.M.,&lt;/author&gt;&lt;author&gt;Lech, M.E.,&lt;/author&gt;&lt;author&gt;Skeers, N.,&lt;/author&gt;&lt;author&gt;Reese, B.,&lt;/author&gt;&lt;author&gt;Woods, M.,&lt;/author&gt;&lt;/authors&gt;&lt;/contributors&gt;&lt;titles&gt;&lt;title&gt;Petroleum prospectivity of the Beetaloo Sub-basin.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7F0842">
        <w:fldChar w:fldCharType="separate"/>
      </w:r>
      <w:r w:rsidR="00190334">
        <w:rPr>
          <w:noProof/>
        </w:rPr>
        <w:t>(Hall et al., 2020)</w:t>
      </w:r>
      <w:r w:rsidR="007F0842">
        <w:fldChar w:fldCharType="end"/>
      </w:r>
      <w:r>
        <w:t>). It is also in direct contact with Antrim Plateau Volcanics around the northern margin. In such areas there is potential for connectivity between the Jamison and Moroak sandstone aquifers and shallower aquifers of the Georgina Basin (</w:t>
      </w:r>
      <w:r w:rsidR="00D67885">
        <w:fldChar w:fldCharType="begin"/>
      </w:r>
      <w:r w:rsidR="00D67885">
        <w:instrText xml:space="preserve"> REF _Ref795947 \h </w:instrText>
      </w:r>
      <w:r w:rsidR="00D67885">
        <w:fldChar w:fldCharType="separate"/>
      </w:r>
      <w:r w:rsidR="00B177F5">
        <w:t xml:space="preserve">Figure </w:t>
      </w:r>
      <w:r w:rsidR="00B177F5">
        <w:rPr>
          <w:noProof/>
        </w:rPr>
        <w:t>6</w:t>
      </w:r>
      <w:r w:rsidR="00D67885">
        <w:fldChar w:fldCharType="end"/>
      </w:r>
      <w:r>
        <w:t>).</w:t>
      </w:r>
      <w:r w:rsidRPr="00304DC8">
        <w:t xml:space="preserve"> </w:t>
      </w:r>
      <w:r>
        <w:t xml:space="preserve">It could </w:t>
      </w:r>
      <w:r w:rsidR="00350D4F">
        <w:t xml:space="preserve">be </w:t>
      </w:r>
      <w:r>
        <w:t>prospective as a water supply for future drilling operations</w:t>
      </w:r>
      <w:r w:rsidR="00B67EC8">
        <w:t>.</w:t>
      </w:r>
    </w:p>
    <w:p w14:paraId="3DDC74E6" w14:textId="75975D3B" w:rsidR="00370C93" w:rsidRDefault="00370C93" w:rsidP="00370C93">
      <w:r>
        <w:t xml:space="preserve">Porosity </w:t>
      </w:r>
      <w:r w:rsidR="004A0A22">
        <w:t>versus depth and porosity versus</w:t>
      </w:r>
      <w:r>
        <w:t xml:space="preserve"> permeability plots for the Jamison </w:t>
      </w:r>
      <w:r w:rsidR="00D631A3">
        <w:t>s</w:t>
      </w:r>
      <w:r>
        <w:t xml:space="preserve">andstone suggest that most </w:t>
      </w:r>
      <w:r w:rsidR="004A0A22">
        <w:t xml:space="preserve">of the </w:t>
      </w:r>
      <w:r>
        <w:t xml:space="preserve">porosity is secondary in nature </w:t>
      </w:r>
      <w:r w:rsidR="00A541ED">
        <w:fldChar w:fldCharType="begin"/>
      </w:r>
      <w:r w:rsidR="008F30E0">
        <w:instrText xml:space="preserve"> ADDIN EN.CITE &lt;EndNote&gt;&lt;Cite&gt;&lt;Author&gt;Fulton&lt;/Author&gt;&lt;Year&gt;2015&lt;/Year&gt;&lt;RecNum&gt;671&lt;/RecNum&gt;&lt;DisplayText&gt;(Fulton and Knapton, 2015b)&lt;/DisplayText&gt;&lt;record&gt;&lt;rec-number&gt;671&lt;/rec-number&gt;&lt;foreign-keys&gt;&lt;key app="EN" db-id="wdf9tzzdhw2saee559kv0vezt0wfsta0zedv" timestamp="1545264407"&gt;671&lt;/key&gt;&lt;key app="ENWeb" db-id=""&gt;0&lt;/key&gt;&lt;/foreign-keys&gt;&lt;ref-type name="Report"&gt;27&lt;/ref-type&gt;&lt;contributors&gt;&lt;authors&gt;&lt;author&gt;Fulton, S.&lt;/author&gt;&lt;author&gt;Knapton, A.&lt;/author&gt;&lt;/authors&gt;&lt;/contributors&gt;&lt;titles&gt;&lt;title&gt;Beetaloo Basin hydrogeological assessment. Cloud GMS&lt;/title&gt;&lt;/titles&gt;&lt;pages&gt;70&lt;/pages&gt;&lt;dates&gt;&lt;year&gt;2015&lt;/year&gt;&lt;pub-dates&gt;&lt;date&gt;February 2015&lt;/date&gt;&lt;/pub-dates&gt;&lt;/dates&gt;&lt;publisher&gt;Origin Energy Report 1 for Fracking Enquiry NT&lt;/publisher&gt;&lt;urls&gt;&lt;related-urls&gt;&lt;url&gt;https://frackinginquiry.nt.gov.au/?a=410609&lt;/url&gt;&lt;/related-urls&gt;&lt;/urls&gt;&lt;access-date&gt;28 November 2019&lt;/access-date&gt;&lt;/record&gt;&lt;/Cite&gt;&lt;/EndNote&gt;</w:instrText>
      </w:r>
      <w:r w:rsidR="00A541ED">
        <w:fldChar w:fldCharType="separate"/>
      </w:r>
      <w:r w:rsidR="008F30E0">
        <w:rPr>
          <w:noProof/>
        </w:rPr>
        <w:t>(Fulton and Knapton, 2015b)</w:t>
      </w:r>
      <w:r w:rsidR="00A541ED">
        <w:fldChar w:fldCharType="end"/>
      </w:r>
      <w:r w:rsidR="00195BC4">
        <w:t>; however,</w:t>
      </w:r>
      <w:r>
        <w:t xml:space="preserve"> in trap situations where hydrocarbon accumulation preceded potential occlusion by silica and carbonate cements, existing early porosity has been preserved. Porosities generally range from 6</w:t>
      </w:r>
      <w:r w:rsidR="00195BC4">
        <w:t xml:space="preserve">% to </w:t>
      </w:r>
      <w:r>
        <w:t xml:space="preserve">18% with occasional samples to 21%. The upper section of the formation has </w:t>
      </w:r>
      <w:r w:rsidR="00195BC4">
        <w:t xml:space="preserve">the </w:t>
      </w:r>
      <w:r>
        <w:t>best aquifer/reservoir properties where 53.5 m of sandstone has porosity &gt;10% (average 12.6%) in Elliott</w:t>
      </w:r>
      <w:r w:rsidR="004F2EA2">
        <w:t>-1</w:t>
      </w:r>
      <w:r>
        <w:t xml:space="preserve"> </w:t>
      </w:r>
      <w:r w:rsidR="00A541ED">
        <w:fldChar w:fldCharType="begin"/>
      </w:r>
      <w:r w:rsidR="00F76E0D">
        <w:instrText xml:space="preserve"> ADDIN EN.CITE &lt;EndNote&gt;&lt;Cite&gt;&lt;Author&gt;Silverman&lt;/Author&gt;&lt;Year&gt;2007&lt;/Year&gt;&lt;RecNum&gt;674&lt;/RecNum&gt;&lt;DisplayText&gt;(Silverman et al., 2007)&lt;/DisplayText&gt;&lt;record&gt;&lt;rec-number&gt;674&lt;/rec-number&gt;&lt;foreign-keys&gt;&lt;key app="EN" db-id="wdf9tzzdhw2saee559kv0vezt0wfsta0zedv" timestamp="1545264432"&gt;674&lt;/key&gt;&lt;key app="ENWeb" db-id=""&gt;0&lt;/key&gt;&lt;/foreign-keys&gt;&lt;ref-type name="Conference Paper"&gt;47&lt;/ref-type&gt;&lt;contributors&gt;&lt;authors&gt;&lt;author&gt;Silverman, M. R.&lt;/author&gt;&lt;author&gt;Landon, S. M.&lt;/author&gt;&lt;author&gt;Leaver, J. S.&lt;/author&gt;&lt;author&gt;Mather, T. J.&lt;/author&gt;&lt;author&gt;Berg, E.&lt;/author&gt;&lt;/authors&gt;&lt;/contributors&gt;&lt;titles&gt;&lt;title&gt;No fuel like an old fuel: proterozoic oil and gas potential in the Beetaloo Basin, Northern Territory, Australia&lt;/title&gt;&lt;secondary-title&gt;Proceedings of the Central Australian Basins Symposium (CABS), Northern Territory Geological Survey (NTGS) Special Publication 2&lt;/secondary-title&gt;&lt;/titles&gt;&lt;pages&gt;205–215&lt;/pages&gt;&lt;volume&gt;2&lt;/volume&gt;&lt;keywords&gt;&lt;keyword&gt;Northern Territory&lt;/keyword&gt;&lt;keyword&gt;Beetaloo Basin&lt;/keyword&gt;&lt;keyword&gt;Velkerri Formation&lt;/keyword&gt;&lt;keyword&gt;Kyalla Formation&lt;/keyword&gt;&lt;keyword&gt;Jamison Sandstone&lt;/keyword&gt;&lt;keyword&gt;Moroak Sandstone&lt;/keyword&gt;&lt;keyword&gt;Proterozoic&lt;/keyword&gt;&lt;keyword&gt;Hydrocarbons&lt;/keyword&gt;&lt;keyword&gt;Petroleum potential&lt;/keyword&gt;&lt;keyword&gt;Petroleum exploration&lt;/keyword&gt;&lt;keyword&gt;Petroleum geology&lt;/keyword&gt;&lt;keyword&gt;Beetaloo Sub-basin&lt;/keyword&gt;&lt;/keywords&gt;&lt;dates&gt;&lt;year&gt;2007&lt;/year&gt;&lt;pub-dates&gt;&lt;date&gt;16-18 August 2005&lt;/date&gt;&lt;/pub-dates&gt;&lt;/dates&gt;&lt;pub-location&gt;Alice Springs, Northern Territory&lt;/pub-location&gt;&lt;urls&gt;&lt;/urls&gt;&lt;/record&gt;&lt;/Cite&gt;&lt;/EndNote&gt;</w:instrText>
      </w:r>
      <w:r w:rsidR="00A541ED">
        <w:fldChar w:fldCharType="separate"/>
      </w:r>
      <w:r w:rsidR="00A541ED">
        <w:rPr>
          <w:noProof/>
        </w:rPr>
        <w:t>(Silverman et al., 2007)</w:t>
      </w:r>
      <w:r w:rsidR="00A541ED">
        <w:fldChar w:fldCharType="end"/>
      </w:r>
      <w:r>
        <w:t>. Permeability is usually less than a few millidarcys but can reach 124 mD (0.1 m/</w:t>
      </w:r>
      <w:r w:rsidR="006B739D">
        <w:t>day</w:t>
      </w:r>
      <w:r>
        <w:t xml:space="preserve">) in discrete intervals. </w:t>
      </w:r>
    </w:p>
    <w:p w14:paraId="4D7D7252" w14:textId="544AB47D" w:rsidR="00370C93" w:rsidRDefault="00370C93" w:rsidP="00370C93">
      <w:r>
        <w:t>Some water inflows have been recorded during drilling (</w:t>
      </w:r>
      <w:r w:rsidR="008D7A92">
        <w:fldChar w:fldCharType="begin"/>
      </w:r>
      <w:r w:rsidR="008D7A92">
        <w:instrText xml:space="preserve"> REF _Ref21439825 \h </w:instrText>
      </w:r>
      <w:r w:rsidR="008D7A92">
        <w:fldChar w:fldCharType="separate"/>
      </w:r>
      <w:r w:rsidR="00B177F5">
        <w:t xml:space="preserve">Table </w:t>
      </w:r>
      <w:r w:rsidR="00B177F5">
        <w:rPr>
          <w:noProof/>
        </w:rPr>
        <w:t>3</w:t>
      </w:r>
      <w:r w:rsidR="008D7A92">
        <w:fldChar w:fldCharType="end"/>
      </w:r>
      <w:r>
        <w:t xml:space="preserve">) and salty formation water has been recovered in drill stem tests of the Jamison </w:t>
      </w:r>
      <w:r w:rsidR="00EB49C9">
        <w:t>s</w:t>
      </w:r>
      <w:r>
        <w:t xml:space="preserve">andstone (Section </w:t>
      </w:r>
      <w:r>
        <w:fldChar w:fldCharType="begin"/>
      </w:r>
      <w:r>
        <w:instrText xml:space="preserve"> REF _Ref269655 \r \h </w:instrText>
      </w:r>
      <w:r>
        <w:fldChar w:fldCharType="separate"/>
      </w:r>
      <w:r w:rsidR="00B177F5">
        <w:t>2.2</w:t>
      </w:r>
      <w:r>
        <w:fldChar w:fldCharType="end"/>
      </w:r>
      <w:r>
        <w:t xml:space="preserve"> and </w:t>
      </w:r>
      <w:r w:rsidR="00A541ED">
        <w:fldChar w:fldCharType="begin"/>
      </w:r>
      <w:r w:rsidR="008F30E0">
        <w:instrText xml:space="preserve"> ADDIN EN.CITE &lt;EndNote&gt;&lt;Cite AuthorYear="1"&gt;&lt;Author&gt;Fulton&lt;/Author&gt;&lt;Year&gt;2015&lt;/Year&gt;&lt;RecNum&gt;671&lt;/RecNum&gt;&lt;DisplayText&gt;Fulton and Knapton (2015b)&lt;/DisplayText&gt;&lt;record&gt;&lt;rec-number&gt;671&lt;/rec-number&gt;&lt;foreign-keys&gt;&lt;key app="EN" db-id="wdf9tzzdhw2saee559kv0vezt0wfsta0zedv" timestamp="1545264407"&gt;671&lt;/key&gt;&lt;key app="ENWeb" db-id=""&gt;0&lt;/key&gt;&lt;/foreign-keys&gt;&lt;ref-type name="Report"&gt;27&lt;/ref-type&gt;&lt;contributors&gt;&lt;authors&gt;&lt;author&gt;Fulton, S.&lt;/author&gt;&lt;author&gt;Knapton, A.&lt;/author&gt;&lt;/authors&gt;&lt;/contributors&gt;&lt;titles&gt;&lt;title&gt;Beetaloo Basin hydrogeological assessment. Cloud GMS&lt;/title&gt;&lt;/titles&gt;&lt;pages&gt;70&lt;/pages&gt;&lt;dates&gt;&lt;year&gt;2015&lt;/year&gt;&lt;pub-dates&gt;&lt;date&gt;February 2015&lt;/date&gt;&lt;/pub-dates&gt;&lt;/dates&gt;&lt;publisher&gt;Origin Energy Report 1 for Fracking Enquiry NT&lt;/publisher&gt;&lt;urls&gt;&lt;related-urls&gt;&lt;url&gt;https://frackinginquiry.nt.gov.au/?a=410609&lt;/url&gt;&lt;/related-urls&gt;&lt;/urls&gt;&lt;access-date&gt;28 November 2019&lt;/access-date&gt;&lt;/record&gt;&lt;/Cite&gt;&lt;/EndNote&gt;</w:instrText>
      </w:r>
      <w:r w:rsidR="00A541ED">
        <w:fldChar w:fldCharType="separate"/>
      </w:r>
      <w:r w:rsidR="008F30E0">
        <w:rPr>
          <w:noProof/>
        </w:rPr>
        <w:t>Fulton and Knapton (2015b)</w:t>
      </w:r>
      <w:r w:rsidR="00A541ED">
        <w:fldChar w:fldCharType="end"/>
      </w:r>
      <w:r>
        <w:t xml:space="preserve">). As was the case with </w:t>
      </w:r>
      <w:r w:rsidDel="008A530E">
        <w:t xml:space="preserve">Moroak </w:t>
      </w:r>
      <w:r>
        <w:t xml:space="preserve">Sandstone, </w:t>
      </w:r>
      <w:r w:rsidR="00195BC4">
        <w:t xml:space="preserve">calculated </w:t>
      </w:r>
      <w:r>
        <w:t>hydraulic head measurements (</w:t>
      </w:r>
      <w:r>
        <w:fldChar w:fldCharType="begin"/>
      </w:r>
      <w:r>
        <w:instrText xml:space="preserve"> REF _Ref258744 \h </w:instrText>
      </w:r>
      <w:r>
        <w:fldChar w:fldCharType="separate"/>
      </w:r>
      <w:r w:rsidR="00B177F5">
        <w:t xml:space="preserve">Table </w:t>
      </w:r>
      <w:r w:rsidR="00B177F5">
        <w:rPr>
          <w:noProof/>
        </w:rPr>
        <w:t>1</w:t>
      </w:r>
      <w:r>
        <w:fldChar w:fldCharType="end"/>
      </w:r>
      <w:r>
        <w:t xml:space="preserve">, </w:t>
      </w:r>
      <w:r w:rsidR="008D7A92">
        <w:fldChar w:fldCharType="begin"/>
      </w:r>
      <w:r w:rsidR="008D7A92">
        <w:instrText xml:space="preserve"> REF _Ref10031338 \h </w:instrText>
      </w:r>
      <w:r w:rsidR="008D7A92">
        <w:fldChar w:fldCharType="separate"/>
      </w:r>
      <w:r w:rsidR="00B177F5">
        <w:t xml:space="preserve">Figure </w:t>
      </w:r>
      <w:r w:rsidR="00B177F5">
        <w:rPr>
          <w:noProof/>
        </w:rPr>
        <w:t>14</w:t>
      </w:r>
      <w:r w:rsidR="008D7A92">
        <w:fldChar w:fldCharType="end"/>
      </w:r>
      <w:r w:rsidR="008D7A92">
        <w:t xml:space="preserve">) </w:t>
      </w:r>
      <w:r w:rsidR="00201B1A">
        <w:t xml:space="preserve">for the Jamison </w:t>
      </w:r>
      <w:r w:rsidR="00455986">
        <w:t>s</w:t>
      </w:r>
      <w:r w:rsidR="00201B1A">
        <w:t xml:space="preserve">andstone </w:t>
      </w:r>
      <w:r>
        <w:t>suggest there is adequate potential for vertical groundwater flow</w:t>
      </w:r>
      <w:r w:rsidR="00CC3C8A">
        <w:t xml:space="preserve"> towards</w:t>
      </w:r>
      <w:r>
        <w:t xml:space="preserve"> shallower aquifers if a suitable connective pathway were to exist.</w:t>
      </w:r>
    </w:p>
    <w:p w14:paraId="4C526D5B" w14:textId="7ACF6E0D" w:rsidR="00450D81" w:rsidRDefault="00450D81" w:rsidP="00450D81">
      <w:r>
        <w:t xml:space="preserve">The Hayfield mudstone </w:t>
      </w:r>
      <w:r w:rsidR="00FA3078">
        <w:t>is a</w:t>
      </w:r>
      <w:r>
        <w:t xml:space="preserve"> regional aquitard</w:t>
      </w:r>
      <w:r w:rsidR="00FA3078">
        <w:t xml:space="preserve"> as well a</w:t>
      </w:r>
      <w:r w:rsidR="004F2EA2">
        <w:t>s a</w:t>
      </w:r>
      <w:r w:rsidR="00FA3078">
        <w:t xml:space="preserve"> </w:t>
      </w:r>
      <w:r>
        <w:t>regional seal t</w:t>
      </w:r>
      <w:r w:rsidR="007F0842">
        <w:t xml:space="preserve">o underlying petroleum systems </w:t>
      </w:r>
      <w:r w:rsidR="007F0842">
        <w:fldChar w:fldCharType="begin"/>
      </w:r>
      <w:r w:rsidR="00F76E0D">
        <w:instrText xml:space="preserve"> ADDIN EN.CITE &lt;EndNote&gt;&lt;Cite&gt;&lt;Author&gt;Hall&lt;/Author&gt;&lt;Year&gt;2020&lt;/Year&gt;&lt;RecNum&gt;1190&lt;/RecNum&gt;&lt;DisplayText&gt;(Hall et al., 2020)&lt;/DisplayText&gt;&lt;record&gt;&lt;rec-number&gt;1190&lt;/rec-number&gt;&lt;foreign-keys&gt;&lt;key app="EN" db-id="wdf9tzzdhw2saee559kv0vezt0wfsta0zedv" timestamp="1563842478"&gt;1190&lt;/key&gt;&lt;/foreign-keys&gt;&lt;ref-type name="Report"&gt;27&lt;/ref-type&gt;&lt;contributors&gt;&lt;authors&gt;&lt;author&gt;Hall, L.S.,&lt;/author&gt;&lt;author&gt;Wang, L.,&lt;/author&gt;&lt;author&gt;Bailey, A.H.E.,&lt;/author&gt;&lt;author&gt;Orr, M.L.,&lt;/author&gt;&lt;author&gt;Owens, R.,&lt;/author&gt;&lt;author&gt;Jarrett, A.J.M.,&lt;/author&gt;&lt;author&gt;Lech, M.E.,&lt;/author&gt;&lt;author&gt;Skeers, N.,&lt;/author&gt;&lt;author&gt;Reese, B.,&lt;/author&gt;&lt;author&gt;Woods, M.,&lt;/author&gt;&lt;/authors&gt;&lt;/contributors&gt;&lt;titles&gt;&lt;title&gt;Petroleum prospectivity of the Beetaloo Sub-basin.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7F0842">
        <w:fldChar w:fldCharType="separate"/>
      </w:r>
      <w:r w:rsidR="00190334">
        <w:rPr>
          <w:noProof/>
        </w:rPr>
        <w:t>(Hall et al., 2020)</w:t>
      </w:r>
      <w:r w:rsidR="007F0842">
        <w:fldChar w:fldCharType="end"/>
      </w:r>
      <w:r>
        <w:t xml:space="preserve">. </w:t>
      </w:r>
    </w:p>
    <w:p w14:paraId="113A2CE7" w14:textId="2068C346" w:rsidR="00450D81" w:rsidRDefault="00A46F96" w:rsidP="00450D81">
      <w:r>
        <w:t xml:space="preserve">Information is limited about the </w:t>
      </w:r>
      <w:r w:rsidR="00450D81">
        <w:t xml:space="preserve">degree of inter-aquifer leakage </w:t>
      </w:r>
      <w:r w:rsidR="00FA3078">
        <w:t>between the Roper Group</w:t>
      </w:r>
      <w:r>
        <w:t xml:space="preserve">, </w:t>
      </w:r>
      <w:r w:rsidR="00D631A3">
        <w:t>Jamison sandstone</w:t>
      </w:r>
      <w:r w:rsidR="00DD6F39">
        <w:t xml:space="preserve"> and </w:t>
      </w:r>
      <w:r>
        <w:t>H</w:t>
      </w:r>
      <w:r w:rsidR="00CC3C8A">
        <w:t>a</w:t>
      </w:r>
      <w:r>
        <w:t>yfield mudstone</w:t>
      </w:r>
      <w:r w:rsidR="00450D81">
        <w:t xml:space="preserve">. </w:t>
      </w:r>
      <w:r w:rsidR="004F2EA2">
        <w:t>S</w:t>
      </w:r>
      <w:r w:rsidR="00E60083">
        <w:t xml:space="preserve">ome aspects to consider </w:t>
      </w:r>
      <w:r w:rsidR="00450D81">
        <w:t>with regard</w:t>
      </w:r>
      <w:r w:rsidR="00E60083">
        <w:t>s</w:t>
      </w:r>
      <w:r w:rsidR="00450D81">
        <w:t xml:space="preserve"> to potential leakage include:</w:t>
      </w:r>
    </w:p>
    <w:p w14:paraId="7FD96285" w14:textId="1A21FF9B" w:rsidR="00450D81" w:rsidRDefault="37D398EC" w:rsidP="00450D81">
      <w:pPr>
        <w:pStyle w:val="ListBullet"/>
      </w:pPr>
      <w:r>
        <w:t xml:space="preserve">Presence of major structures or significant fracturing could act as either conduit or barrier (or both in different areas of a fault) depending on the local stress regime. </w:t>
      </w:r>
    </w:p>
    <w:p w14:paraId="51A588E5" w14:textId="3AF76918" w:rsidR="00450D81" w:rsidRDefault="00450D81" w:rsidP="00450D81">
      <w:pPr>
        <w:pStyle w:val="ListBullet"/>
      </w:pPr>
      <w:r>
        <w:t xml:space="preserve">Secondary fracture porosity is probably the most significant component of porosity in the Proterozoic units. </w:t>
      </w:r>
    </w:p>
    <w:p w14:paraId="56818757" w14:textId="3ECB5ADF" w:rsidR="00450D81" w:rsidRDefault="00450D81" w:rsidP="00450D81">
      <w:pPr>
        <w:pStyle w:val="ListBullet"/>
      </w:pPr>
      <w:r>
        <w:t xml:space="preserve">Formation waters are highly saline (Section </w:t>
      </w:r>
      <w:r>
        <w:fldChar w:fldCharType="begin"/>
      </w:r>
      <w:r>
        <w:instrText xml:space="preserve"> REF _Ref4664843 \r \h  \* MERGEFORMAT </w:instrText>
      </w:r>
      <w:r>
        <w:fldChar w:fldCharType="separate"/>
      </w:r>
      <w:r w:rsidR="00B177F5">
        <w:t>3.4</w:t>
      </w:r>
      <w:r>
        <w:fldChar w:fldCharType="end"/>
      </w:r>
      <w:r w:rsidR="00B67EC8">
        <w:t xml:space="preserve"> </w:t>
      </w:r>
      <w:r>
        <w:t xml:space="preserve">and </w:t>
      </w:r>
      <w:r>
        <w:fldChar w:fldCharType="begin"/>
      </w:r>
      <w:r>
        <w:instrText xml:space="preserve"> REF _Ref536005855 \h  \* MERGEFORMAT </w:instrText>
      </w:r>
      <w:r>
        <w:fldChar w:fldCharType="separate"/>
      </w:r>
      <w:r w:rsidR="00B177F5" w:rsidRPr="00ED145E">
        <w:t xml:space="preserve">Figure </w:t>
      </w:r>
      <w:r w:rsidR="00B177F5">
        <w:rPr>
          <w:noProof/>
        </w:rPr>
        <w:t>34</w:t>
      </w:r>
      <w:r>
        <w:fldChar w:fldCharType="end"/>
      </w:r>
      <w:r>
        <w:t xml:space="preserve">), </w:t>
      </w:r>
      <w:r w:rsidR="00944B18">
        <w:t>which</w:t>
      </w:r>
      <w:r>
        <w:t xml:space="preserve"> suggest</w:t>
      </w:r>
      <w:r w:rsidR="00195BC4">
        <w:t>s</w:t>
      </w:r>
      <w:r>
        <w:t xml:space="preserve"> </w:t>
      </w:r>
      <w:r w:rsidR="00201B1A">
        <w:t>that interactions have been</w:t>
      </w:r>
      <w:r>
        <w:t xml:space="preserve"> limited with shallower aquifers, </w:t>
      </w:r>
      <w:r w:rsidR="000C671D">
        <w:t xml:space="preserve">evident </w:t>
      </w:r>
      <w:r>
        <w:t>in the areas where the samples were obtained (Section</w:t>
      </w:r>
      <w:r w:rsidR="002E59BE">
        <w:t xml:space="preserve"> </w:t>
      </w:r>
      <w:r>
        <w:fldChar w:fldCharType="begin"/>
      </w:r>
      <w:r>
        <w:instrText xml:space="preserve"> REF _Ref945596 \r \h  \* MERGEFORMAT </w:instrText>
      </w:r>
      <w:r>
        <w:fldChar w:fldCharType="separate"/>
      </w:r>
      <w:r w:rsidR="00B177F5">
        <w:t>3.4.2.1</w:t>
      </w:r>
      <w:r>
        <w:fldChar w:fldCharType="end"/>
      </w:r>
      <w:r>
        <w:t xml:space="preserve"> and </w:t>
      </w:r>
      <w:r>
        <w:fldChar w:fldCharType="begin"/>
      </w:r>
      <w:r>
        <w:instrText xml:space="preserve"> REF _Ref536005855 \h  \* MERGEFORMAT </w:instrText>
      </w:r>
      <w:r>
        <w:fldChar w:fldCharType="separate"/>
      </w:r>
      <w:r w:rsidR="00B177F5" w:rsidRPr="00ED145E">
        <w:t xml:space="preserve">Figure </w:t>
      </w:r>
      <w:r w:rsidR="00B177F5">
        <w:rPr>
          <w:noProof/>
        </w:rPr>
        <w:t>34</w:t>
      </w:r>
      <w:r>
        <w:fldChar w:fldCharType="end"/>
      </w:r>
      <w:r>
        <w:t>).</w:t>
      </w:r>
    </w:p>
    <w:p w14:paraId="4231FFC1" w14:textId="797DFE3F" w:rsidR="00450D81" w:rsidRDefault="00450D81" w:rsidP="00450D81">
      <w:pPr>
        <w:pStyle w:val="ListBullet"/>
      </w:pPr>
      <w:r>
        <w:t>At the southern end of the eastern Beetaloo Sub-basin the Hayfield and Kyalla formation</w:t>
      </w:r>
      <w:r w:rsidR="002E59BE">
        <w:t>s</w:t>
      </w:r>
      <w:r>
        <w:t xml:space="preserve"> are absent, as </w:t>
      </w:r>
      <w:r w:rsidR="000C671D">
        <w:t>are</w:t>
      </w:r>
      <w:r>
        <w:t xml:space="preserve"> the Antrim Plateau Volcanics. This stratigraphic configuration enables the Jamison</w:t>
      </w:r>
      <w:r w:rsidR="3C583D25">
        <w:t xml:space="preserve"> s</w:t>
      </w:r>
      <w:r>
        <w:t>andstone (and indirectly the Moroak Sandstone) to be in direct contact with shallower aquifers (</w:t>
      </w:r>
      <w:r w:rsidR="00D67885">
        <w:fldChar w:fldCharType="begin"/>
      </w:r>
      <w:r w:rsidR="00D67885">
        <w:instrText xml:space="preserve"> REF _Ref795947 \h </w:instrText>
      </w:r>
      <w:r w:rsidR="00D67885">
        <w:fldChar w:fldCharType="separate"/>
      </w:r>
      <w:r w:rsidR="00B177F5">
        <w:t xml:space="preserve">Figure </w:t>
      </w:r>
      <w:r w:rsidR="00B177F5">
        <w:rPr>
          <w:noProof/>
        </w:rPr>
        <w:t>6</w:t>
      </w:r>
      <w:r w:rsidR="00D67885">
        <w:fldChar w:fldCharType="end"/>
      </w:r>
      <w:r w:rsidR="00D67885">
        <w:t>).</w:t>
      </w:r>
    </w:p>
    <w:p w14:paraId="132D5F37" w14:textId="22B757CA" w:rsidR="00450D81" w:rsidRDefault="00450D81" w:rsidP="00450D81">
      <w:pPr>
        <w:pStyle w:val="ListBullet"/>
      </w:pPr>
      <w:r>
        <w:t xml:space="preserve">The degree of connectivity between Roper Group outcrop located outside the Beetaloo GBA region, to Roper Group within the Beetaloo </w:t>
      </w:r>
      <w:r w:rsidR="00823DA7">
        <w:t>S</w:t>
      </w:r>
      <w:r>
        <w:t xml:space="preserve">ub-basin is unknown. However, as this sequence extends across different structural domains with different geological histories, and there is significant structuring around basin margins, it is probable that such dislocation would limit groundwater interaction between outcrop and basin. </w:t>
      </w:r>
    </w:p>
    <w:p w14:paraId="4EAA7B20" w14:textId="784F2DA7" w:rsidR="00450D81" w:rsidRDefault="00450D81" w:rsidP="00450D81">
      <w:pPr>
        <w:pStyle w:val="ListBullet"/>
      </w:pPr>
      <w:bookmarkStart w:id="427" w:name="_Hlk35340377"/>
      <w:r>
        <w:t xml:space="preserve">Calculated hydraulic head </w:t>
      </w:r>
      <w:r w:rsidR="000C671D">
        <w:t xml:space="preserve">values </w:t>
      </w:r>
      <w:r>
        <w:t>indicate there is enough potential for upward leakage to occur from the Roper Group into overlying sequences (</w:t>
      </w:r>
      <w:r>
        <w:fldChar w:fldCharType="begin"/>
      </w:r>
      <w:r>
        <w:instrText xml:space="preserve"> REF _Ref258744 \h  \* MERGEFORMAT </w:instrText>
      </w:r>
      <w:r>
        <w:fldChar w:fldCharType="separate"/>
      </w:r>
      <w:r w:rsidR="00B177F5">
        <w:t xml:space="preserve">Table </w:t>
      </w:r>
      <w:r w:rsidR="00B177F5">
        <w:rPr>
          <w:noProof/>
        </w:rPr>
        <w:t>1</w:t>
      </w:r>
      <w:r>
        <w:fldChar w:fldCharType="end"/>
      </w:r>
      <w:r w:rsidR="00350D4F">
        <w:t xml:space="preserve"> and </w:t>
      </w:r>
      <w:r>
        <w:fldChar w:fldCharType="begin"/>
      </w:r>
      <w:r>
        <w:instrText xml:space="preserve"> REF _Ref10031338 \h </w:instrText>
      </w:r>
      <w:r>
        <w:fldChar w:fldCharType="separate"/>
      </w:r>
      <w:r w:rsidR="00B177F5">
        <w:t xml:space="preserve">Figure </w:t>
      </w:r>
      <w:r w:rsidR="00B177F5">
        <w:rPr>
          <w:noProof/>
        </w:rPr>
        <w:t>14</w:t>
      </w:r>
      <w:r>
        <w:fldChar w:fldCharType="end"/>
      </w:r>
      <w:r>
        <w:t xml:space="preserve">) </w:t>
      </w:r>
      <w:r w:rsidR="17660409">
        <w:t xml:space="preserve">in some areas, </w:t>
      </w:r>
      <w:r>
        <w:t>if a suitably con</w:t>
      </w:r>
      <w:r w:rsidR="00E9244A">
        <w:t>nec</w:t>
      </w:r>
      <w:r>
        <w:t xml:space="preserve">tive pathway were to exist. </w:t>
      </w:r>
      <w:bookmarkEnd w:id="427"/>
    </w:p>
    <w:p w14:paraId="002F1A8E" w14:textId="6B8AC196" w:rsidR="0042549E" w:rsidRDefault="00D557D1" w:rsidP="0042549E">
      <w:pPr>
        <w:pStyle w:val="Heading5"/>
      </w:pPr>
      <w:bookmarkStart w:id="428" w:name="_Ref14851352"/>
      <w:r>
        <w:t>Kiana Group</w:t>
      </w:r>
      <w:bookmarkEnd w:id="428"/>
    </w:p>
    <w:p w14:paraId="19F4771A" w14:textId="23A4ADA4" w:rsidR="00A4385F" w:rsidRDefault="00D557D1" w:rsidP="00A4385F">
      <w:pPr>
        <w:pStyle w:val="BodyText"/>
      </w:pPr>
      <w:r>
        <w:t xml:space="preserve">This section will focus on the Bukalara Sandstone as </w:t>
      </w:r>
      <w:r w:rsidR="009D13C7">
        <w:t xml:space="preserve">there is </w:t>
      </w:r>
      <w:r>
        <w:t xml:space="preserve">no </w:t>
      </w:r>
      <w:r w:rsidR="00677147">
        <w:t>hydrogeol</w:t>
      </w:r>
      <w:r w:rsidR="00A4385F">
        <w:t>og</w:t>
      </w:r>
      <w:r w:rsidR="00677147">
        <w:t>i</w:t>
      </w:r>
      <w:r w:rsidR="00A4385F">
        <w:t>c</w:t>
      </w:r>
      <w:r w:rsidR="00677147">
        <w:t xml:space="preserve">al </w:t>
      </w:r>
      <w:r>
        <w:t xml:space="preserve">information available </w:t>
      </w:r>
      <w:r w:rsidR="00C1289B">
        <w:t xml:space="preserve">for </w:t>
      </w:r>
      <w:r>
        <w:t xml:space="preserve">the Cox </w:t>
      </w:r>
      <w:r w:rsidR="00DE0AB1">
        <w:t>Formation.</w:t>
      </w:r>
      <w:r>
        <w:t xml:space="preserve"> </w:t>
      </w:r>
      <w:r w:rsidR="009D13C7">
        <w:t>Groundwater bore</w:t>
      </w:r>
      <w:r w:rsidR="00677147">
        <w:t xml:space="preserve"> information for </w:t>
      </w:r>
      <w:r w:rsidR="009D13C7">
        <w:t xml:space="preserve">the </w:t>
      </w:r>
      <w:r w:rsidR="00677147">
        <w:t xml:space="preserve">Bukalara Sandstone </w:t>
      </w:r>
      <w:r w:rsidR="009D13C7">
        <w:t>(</w:t>
      </w:r>
      <w:r w:rsidR="00885A97">
        <w:t xml:space="preserve">detailed in Section </w:t>
      </w:r>
      <w:r w:rsidR="00885A97">
        <w:fldChar w:fldCharType="begin"/>
      </w:r>
      <w:r w:rsidR="00885A97">
        <w:instrText xml:space="preserve"> REF _Ref944981 \r \h </w:instrText>
      </w:r>
      <w:r w:rsidR="00885A97">
        <w:fldChar w:fldCharType="separate"/>
      </w:r>
      <w:r w:rsidR="00B177F5">
        <w:t>3.3.4</w:t>
      </w:r>
      <w:r w:rsidR="00885A97">
        <w:fldChar w:fldCharType="end"/>
      </w:r>
      <w:r w:rsidR="00885A97">
        <w:t xml:space="preserve"> and </w:t>
      </w:r>
      <w:r w:rsidR="00885A97">
        <w:fldChar w:fldCharType="begin"/>
      </w:r>
      <w:r w:rsidR="00885A97">
        <w:instrText xml:space="preserve"> REF _Ref536005855 \h </w:instrText>
      </w:r>
      <w:r w:rsidR="00885A97">
        <w:fldChar w:fldCharType="separate"/>
      </w:r>
      <w:r w:rsidR="00B177F5" w:rsidRPr="00ED145E">
        <w:t xml:space="preserve">Figure </w:t>
      </w:r>
      <w:r w:rsidR="00B177F5">
        <w:rPr>
          <w:noProof/>
        </w:rPr>
        <w:t>34</w:t>
      </w:r>
      <w:r w:rsidR="00885A97">
        <w:fldChar w:fldCharType="end"/>
      </w:r>
      <w:r w:rsidR="009D13C7">
        <w:t>)</w:t>
      </w:r>
      <w:r w:rsidR="0042549E">
        <w:t xml:space="preserve"> </w:t>
      </w:r>
      <w:r w:rsidR="00885A97">
        <w:t>occur</w:t>
      </w:r>
      <w:r w:rsidR="00A4385F">
        <w:t xml:space="preserve"> predominantly </w:t>
      </w:r>
      <w:r w:rsidR="009D13C7">
        <w:t>to the north of the Beetaloo GBA region (</w:t>
      </w:r>
      <w:r w:rsidR="009D13C7">
        <w:fldChar w:fldCharType="begin"/>
      </w:r>
      <w:r w:rsidR="009D13C7">
        <w:instrText xml:space="preserve"> REF _Ref536005855 \h </w:instrText>
      </w:r>
      <w:r w:rsidR="009D13C7">
        <w:fldChar w:fldCharType="separate"/>
      </w:r>
      <w:r w:rsidR="00B177F5" w:rsidRPr="00ED145E">
        <w:t xml:space="preserve">Figure </w:t>
      </w:r>
      <w:r w:rsidR="00B177F5">
        <w:rPr>
          <w:noProof/>
        </w:rPr>
        <w:t>34</w:t>
      </w:r>
      <w:r w:rsidR="009D13C7">
        <w:fldChar w:fldCharType="end"/>
      </w:r>
      <w:r w:rsidR="009D13C7">
        <w:t xml:space="preserve">) </w:t>
      </w:r>
      <w:r w:rsidR="00A4385F">
        <w:t xml:space="preserve">on </w:t>
      </w:r>
      <w:r w:rsidR="000C671D">
        <w:t>HODGSON DOWNS</w:t>
      </w:r>
      <w:r w:rsidR="00A4385F">
        <w:t xml:space="preserve"> geological map sheet (</w:t>
      </w:r>
      <w:r w:rsidR="00A4385F">
        <w:fldChar w:fldCharType="begin"/>
      </w:r>
      <w:r w:rsidR="00A4385F">
        <w:instrText xml:space="preserve"> REF _Ref5201649 \h </w:instrText>
      </w:r>
      <w:r w:rsidR="00A4385F">
        <w:fldChar w:fldCharType="separate"/>
      </w:r>
      <w:r w:rsidR="00B177F5">
        <w:t xml:space="preserve">Figure </w:t>
      </w:r>
      <w:r w:rsidR="00B177F5">
        <w:rPr>
          <w:noProof/>
        </w:rPr>
        <w:t>9</w:t>
      </w:r>
      <w:r w:rsidR="00A4385F">
        <w:fldChar w:fldCharType="end"/>
      </w:r>
      <w:r w:rsidR="00A4385F">
        <w:t xml:space="preserve">). Here, groundwater bores penetrate the overlying Antrim Plateau Volcanics, which forms a confining layer </w:t>
      </w:r>
      <w:r w:rsidR="00885A97">
        <w:t>over the Bukalara Sandstone</w:t>
      </w:r>
      <w:r w:rsidR="00A4385F">
        <w:t>. Completion depths of bores screening the Bukalara Sandstone range from 32</w:t>
      </w:r>
      <w:r w:rsidR="00195BC4">
        <w:t xml:space="preserve"> to </w:t>
      </w:r>
      <w:r w:rsidR="00A4385F">
        <w:t>150 m (average 89 m), and airlift estimates of bore yie</w:t>
      </w:r>
      <w:r w:rsidR="00885A97">
        <w:t>ld range from 0.3 to 5</w:t>
      </w:r>
      <w:r w:rsidR="00195BC4">
        <w:t xml:space="preserve"> </w:t>
      </w:r>
      <w:r w:rsidR="00885A97">
        <w:t xml:space="preserve">L/second </w:t>
      </w:r>
      <w:r w:rsidR="00BE680B">
        <w:rPr>
          <w:noProof/>
        </w:rPr>
        <w:fldChar w:fldCharType="begin"/>
      </w:r>
      <w:r w:rsidR="008F30E0">
        <w:rPr>
          <w:noProof/>
        </w:rPr>
        <w:instrText xml:space="preserve"> ADDIN EN.CITE &lt;EndNote&gt;&lt;Cite&gt;&lt;Author&gt;Fulton&lt;/Author&gt;&lt;Year&gt;2015&lt;/Year&gt;&lt;RecNum&gt;671&lt;/RecNum&gt;&lt;DisplayText&gt;(Fulton and Knapton, 2015b)&lt;/DisplayText&gt;&lt;record&gt;&lt;rec-number&gt;671&lt;/rec-number&gt;&lt;foreign-keys&gt;&lt;key app="EN" db-id="wdf9tzzdhw2saee559kv0vezt0wfsta0zedv" timestamp="1545264407"&gt;671&lt;/key&gt;&lt;key app="ENWeb" db-id=""&gt;0&lt;/key&gt;&lt;/foreign-keys&gt;&lt;ref-type name="Report"&gt;27&lt;/ref-type&gt;&lt;contributors&gt;&lt;authors&gt;&lt;author&gt;Fulton, S.&lt;/author&gt;&lt;author&gt;Knapton, A.&lt;/author&gt;&lt;/authors&gt;&lt;/contributors&gt;&lt;titles&gt;&lt;title&gt;Beetaloo Basin hydrogeological assessment. Cloud GMS&lt;/title&gt;&lt;/titles&gt;&lt;pages&gt;70&lt;/pages&gt;&lt;dates&gt;&lt;year&gt;2015&lt;/year&gt;&lt;pub-dates&gt;&lt;date&gt;February 2015&lt;/date&gt;&lt;/pub-dates&gt;&lt;/dates&gt;&lt;publisher&gt;Origin Energy Report 1 for Fracking Enquiry NT&lt;/publisher&gt;&lt;urls&gt;&lt;related-urls&gt;&lt;url&gt;https://frackinginquiry.nt.gov.au/?a=410609&lt;/url&gt;&lt;/related-urls&gt;&lt;/urls&gt;&lt;access-date&gt;28 November 2019&lt;/access-date&gt;&lt;/record&gt;&lt;/Cite&gt;&lt;/EndNote&gt;</w:instrText>
      </w:r>
      <w:r w:rsidR="00BE680B">
        <w:rPr>
          <w:noProof/>
        </w:rPr>
        <w:fldChar w:fldCharType="separate"/>
      </w:r>
      <w:r w:rsidR="008F30E0">
        <w:rPr>
          <w:noProof/>
        </w:rPr>
        <w:t>(Fulton and Knapton, 2015b)</w:t>
      </w:r>
      <w:r w:rsidR="00BE680B">
        <w:rPr>
          <w:noProof/>
        </w:rPr>
        <w:fldChar w:fldCharType="end"/>
      </w:r>
      <w:r w:rsidR="00885A97">
        <w:t>. Two p</w:t>
      </w:r>
      <w:r w:rsidR="00A4385F">
        <w:t xml:space="preserve">ump tests indicate </w:t>
      </w:r>
      <w:r w:rsidR="00885A97">
        <w:t>that aquifer transmissivity ranges from</w:t>
      </w:r>
      <w:r w:rsidR="00A4385F">
        <w:t xml:space="preserve"> 18</w:t>
      </w:r>
      <w:r w:rsidR="00195BC4">
        <w:t xml:space="preserve"> to </w:t>
      </w:r>
      <w:r w:rsidR="00A4385F">
        <w:t>79</w:t>
      </w:r>
      <w:r w:rsidR="00195BC4">
        <w:t> </w:t>
      </w:r>
      <w:r w:rsidR="00A4385F">
        <w:t>m</w:t>
      </w:r>
      <w:r w:rsidR="00A4385F" w:rsidRPr="00DA63C1">
        <w:rPr>
          <w:vertAlign w:val="superscript"/>
        </w:rPr>
        <w:t>2</w:t>
      </w:r>
      <w:r w:rsidR="00A4385F">
        <w:t>/day. Storage coefficient estimates are not available. Groundwater levels in water bores screened in this unit range from 3</w:t>
      </w:r>
      <w:r w:rsidR="00195BC4">
        <w:t xml:space="preserve"> to </w:t>
      </w:r>
      <w:r w:rsidR="00A4385F">
        <w:t>34 m</w:t>
      </w:r>
      <w:r w:rsidR="00655AD4">
        <w:t xml:space="preserve"> below ground level (BGL)</w:t>
      </w:r>
      <w:r w:rsidR="003054B0">
        <w:t xml:space="preserve"> with an </w:t>
      </w:r>
      <w:r w:rsidR="00A4385F">
        <w:t xml:space="preserve">average </w:t>
      </w:r>
      <w:r w:rsidR="003054B0">
        <w:t>of 17 mBGL</w:t>
      </w:r>
      <w:r w:rsidR="00A4385F">
        <w:t xml:space="preserve">. Groundwater flow is indicated to be to the north </w:t>
      </w:r>
      <w:r w:rsidR="00A4385F">
        <w:fldChar w:fldCharType="begin"/>
      </w:r>
      <w:r w:rsidR="00F76E0D">
        <w:instrText xml:space="preserve"> ADDIN EN.CITE &lt;EndNote&gt;&lt;Cite&gt;&lt;Author&gt;Fulton&lt;/Author&gt;&lt;Year&gt;2009&lt;/Year&gt;&lt;RecNum&gt;682&lt;/RecNum&gt;&lt;DisplayText&gt;(Fulton and Zaar, 2009)&lt;/DisplayText&gt;&lt;record&gt;&lt;rec-number&gt;682&lt;/rec-number&gt;&lt;foreign-keys&gt;&lt;key app="EN" db-id="wdf9tzzdhw2saee559kv0vezt0wfsta0zedv" timestamp="1545264443"&gt;682&lt;/key&gt;&lt;key app="ENWeb" db-id=""&gt;0&lt;/key&gt;&lt;/foreign-keys&gt;&lt;ref-type name="Report"&gt;27&lt;/ref-type&gt;&lt;contributors&gt;&lt;authors&gt;&lt;author&gt;Fulton, S.&lt;/author&gt;&lt;author&gt;Zaar, U.&lt;/author&gt;&lt;/authors&gt;&lt;tertiary-authors&gt;&lt;author&gt;Department of Natural Resources,, Environment,, the Arts and Sport (NT),&lt;/author&gt;&lt;/tertiary-authors&gt;&lt;/contributors&gt;&lt;titles&gt;&lt;title&gt;Gulf water study : Dunmarra and Hodgson River Region&lt;/title&gt;&lt;/titles&gt;&lt;pages&gt;73&lt;/pages&gt;&lt;keywords&gt;&lt;keyword&gt;Water Smart Australia Program&lt;/keyword&gt;&lt;keyword&gt;Dunmarra&lt;/keyword&gt;&lt;keyword&gt;Hodgson River&lt;/keyword&gt;&lt;keyword&gt;Greening the Territory. A Territory Government initiative&lt;/keyword&gt;&lt;/keywords&gt;&lt;dates&gt;&lt;year&gt;2009&lt;/year&gt;&lt;/dates&gt;&lt;pub-location&gt;Darwin&lt;/pub-location&gt;&lt;isbn&gt;Report 19/2009D&lt;/isbn&gt;&lt;urls&gt;&lt;related-urls&gt;&lt;url&gt;&lt;style face="underline" font="default" size="100%"&gt;http://www.territorystories.nt.gov.au/jspui/handle/10070/241906&lt;/style&gt;&lt;/url&gt;&lt;/related-urls&gt;&lt;/urls&gt;&lt;access-date&gt;28 November 2019&lt;/access-date&gt;&lt;/record&gt;&lt;/Cite&gt;&lt;/EndNote&gt;</w:instrText>
      </w:r>
      <w:r w:rsidR="00A4385F">
        <w:fldChar w:fldCharType="separate"/>
      </w:r>
      <w:r w:rsidR="005064C6">
        <w:rPr>
          <w:noProof/>
        </w:rPr>
        <w:t>(Fulton and Zaar, 2009)</w:t>
      </w:r>
      <w:r w:rsidR="00A4385F">
        <w:fldChar w:fldCharType="end"/>
      </w:r>
      <w:r w:rsidR="00A4385F">
        <w:t>.</w:t>
      </w:r>
      <w:r w:rsidR="00BC178D" w:rsidRPr="00BC178D">
        <w:t xml:space="preserve"> </w:t>
      </w:r>
      <w:r w:rsidR="00BC178D">
        <w:t>North</w:t>
      </w:r>
      <w:r w:rsidR="00195BC4">
        <w:t>-</w:t>
      </w:r>
      <w:r w:rsidR="00BC178D">
        <w:t xml:space="preserve">west trending joint patterns are noted in the Bukalara Sandstone on the </w:t>
      </w:r>
      <w:r w:rsidR="000C671D">
        <w:t xml:space="preserve">HODGSON DOWNS </w:t>
      </w:r>
      <w:r w:rsidR="00BC178D">
        <w:t>geological map sheet. The joints may locally enhance the hydraulic conductivity of the sandstone.</w:t>
      </w:r>
    </w:p>
    <w:p w14:paraId="2A1A56F6" w14:textId="352DEFA2" w:rsidR="0042549E" w:rsidRDefault="00885A97" w:rsidP="0042549E">
      <w:pPr>
        <w:pStyle w:val="BodyText"/>
      </w:pPr>
      <w:r>
        <w:t>Whil</w:t>
      </w:r>
      <w:r w:rsidR="00A00A2A">
        <w:t>e</w:t>
      </w:r>
      <w:r>
        <w:t xml:space="preserve"> the Bukalara Sandstone is </w:t>
      </w:r>
      <w:r w:rsidR="009D13C7">
        <w:t>a</w:t>
      </w:r>
      <w:r>
        <w:t xml:space="preserve"> good local aquifer </w:t>
      </w:r>
      <w:r w:rsidR="00BC178D">
        <w:t xml:space="preserve">where it outcrops </w:t>
      </w:r>
      <w:r w:rsidR="009D13C7">
        <w:t xml:space="preserve">to the north, </w:t>
      </w:r>
      <w:r w:rsidR="00BC178D">
        <w:t xml:space="preserve">its characteristics </w:t>
      </w:r>
      <w:r w:rsidR="00201B1A">
        <w:t>are much</w:t>
      </w:r>
      <w:r w:rsidR="00BC178D">
        <w:t xml:space="preserve"> less </w:t>
      </w:r>
      <w:r w:rsidR="009D13C7">
        <w:t xml:space="preserve">known within the Beetaloo GBA region. </w:t>
      </w:r>
      <w:r>
        <w:t>Within the Beetaloo GBA region</w:t>
      </w:r>
      <w:r w:rsidR="00201B1A">
        <w:t>,</w:t>
      </w:r>
      <w:r>
        <w:t xml:space="preserve"> i</w:t>
      </w:r>
      <w:r w:rsidR="0042549E">
        <w:t xml:space="preserve">solated inflows of up to </w:t>
      </w:r>
      <w:r w:rsidR="0042549E" w:rsidDel="00885A97">
        <w:t>25</w:t>
      </w:r>
      <w:r w:rsidR="0042549E">
        <w:t xml:space="preserve"> </w:t>
      </w:r>
      <w:r w:rsidR="00977935">
        <w:t>L</w:t>
      </w:r>
      <w:r w:rsidR="0042549E">
        <w:t>/s</w:t>
      </w:r>
      <w:r w:rsidR="00195BC4">
        <w:t>econd</w:t>
      </w:r>
      <w:r w:rsidR="0042549E">
        <w:t xml:space="preserve"> are reported from some petroleum wells (</w:t>
      </w:r>
      <w:r w:rsidR="00201B1A">
        <w:fldChar w:fldCharType="begin"/>
      </w:r>
      <w:r w:rsidR="00201B1A">
        <w:instrText xml:space="preserve"> REF _Ref21440616 \h </w:instrText>
      </w:r>
      <w:r w:rsidR="00201B1A">
        <w:fldChar w:fldCharType="separate"/>
      </w:r>
      <w:r w:rsidR="00B177F5">
        <w:t xml:space="preserve">Table </w:t>
      </w:r>
      <w:r w:rsidR="00B177F5">
        <w:rPr>
          <w:noProof/>
        </w:rPr>
        <w:t>3</w:t>
      </w:r>
      <w:r w:rsidR="00201B1A">
        <w:fldChar w:fldCharType="end"/>
      </w:r>
      <w:r w:rsidR="0042549E">
        <w:t xml:space="preserve">, </w:t>
      </w:r>
      <w:r w:rsidR="00195BC4">
        <w:t>s</w:t>
      </w:r>
      <w:r w:rsidR="009D13C7">
        <w:t xml:space="preserve">ee </w:t>
      </w:r>
      <w:r w:rsidR="002E7DCA">
        <w:fldChar w:fldCharType="begin"/>
      </w:r>
      <w:r w:rsidR="002E7DCA">
        <w:instrText xml:space="preserve"> REF _Ref10031338 \h </w:instrText>
      </w:r>
      <w:r w:rsidR="002E7DCA">
        <w:fldChar w:fldCharType="separate"/>
      </w:r>
      <w:r w:rsidR="00B177F5">
        <w:t xml:space="preserve">Figure </w:t>
      </w:r>
      <w:r w:rsidR="00B177F5">
        <w:rPr>
          <w:noProof/>
        </w:rPr>
        <w:t>14</w:t>
      </w:r>
      <w:r w:rsidR="002E7DCA">
        <w:fldChar w:fldCharType="end"/>
      </w:r>
      <w:r w:rsidR="002E7DCA">
        <w:t xml:space="preserve"> </w:t>
      </w:r>
      <w:r w:rsidR="009D13C7">
        <w:t>for locations</w:t>
      </w:r>
      <w:r w:rsidR="0042549E">
        <w:t>)</w:t>
      </w:r>
      <w:r w:rsidR="008E1D22">
        <w:t xml:space="preserve">, which </w:t>
      </w:r>
      <w:r w:rsidR="009D13C7">
        <w:t>suggests that some part</w:t>
      </w:r>
      <w:r w:rsidR="00201B1A">
        <w:t xml:space="preserve">s of the Bukalara Sandstone </w:t>
      </w:r>
      <w:r w:rsidR="009D13C7">
        <w:t>have relatively good hydraulic conductivity and porosity</w:t>
      </w:r>
      <w:r w:rsidR="0042549E" w:rsidDel="009D13C7">
        <w:t>.</w:t>
      </w:r>
      <w:r w:rsidR="0042549E">
        <w:t xml:space="preserve"> </w:t>
      </w:r>
      <w:r w:rsidR="009D13C7">
        <w:t>However, there is no water quality</w:t>
      </w:r>
      <w:r w:rsidR="00F853D4">
        <w:t>, formation pressure,</w:t>
      </w:r>
      <w:r w:rsidR="009D13C7">
        <w:t xml:space="preserve"> or hydraulic property data</w:t>
      </w:r>
      <w:r w:rsidR="00F853D4">
        <w:t xml:space="preserve"> </w:t>
      </w:r>
      <w:r w:rsidR="002E7DCA">
        <w:t>available</w:t>
      </w:r>
      <w:r w:rsidR="009D13C7">
        <w:t xml:space="preserve">. </w:t>
      </w:r>
      <w:r w:rsidR="00F853D4">
        <w:t>Furthermore, a</w:t>
      </w:r>
      <w:r w:rsidR="008E1D22">
        <w:t xml:space="preserve">s noted in Section </w:t>
      </w:r>
      <w:r w:rsidR="008E1D22">
        <w:fldChar w:fldCharType="begin"/>
      </w:r>
      <w:r w:rsidR="008E1D22">
        <w:instrText xml:space="preserve"> REF _Ref5714612 \r \h </w:instrText>
      </w:r>
      <w:r w:rsidR="008E1D22">
        <w:fldChar w:fldCharType="separate"/>
      </w:r>
      <w:r w:rsidR="00B177F5">
        <w:t>3.2.2</w:t>
      </w:r>
      <w:r w:rsidR="008E1D22">
        <w:fldChar w:fldCharType="end"/>
      </w:r>
      <w:r w:rsidR="00F853D4">
        <w:t xml:space="preserve">, </w:t>
      </w:r>
      <w:r w:rsidR="0042549E">
        <w:t xml:space="preserve">stratigraphic relationships between Bukalara Sandstone and other related units </w:t>
      </w:r>
      <w:r w:rsidR="00201B1A">
        <w:t>are</w:t>
      </w:r>
      <w:r w:rsidR="008E1D22">
        <w:t xml:space="preserve"> under review. Changes to </w:t>
      </w:r>
      <w:r w:rsidR="000C671D">
        <w:t xml:space="preserve">the </w:t>
      </w:r>
      <w:r w:rsidR="008E1D22">
        <w:t xml:space="preserve">stratigraphic relationship </w:t>
      </w:r>
      <w:r w:rsidR="00201B1A">
        <w:t xml:space="preserve">of the Bukalara Sandstone </w:t>
      </w:r>
      <w:r w:rsidR="008E1D22">
        <w:t xml:space="preserve">with other units may have </w:t>
      </w:r>
      <w:r w:rsidR="0042549E">
        <w:t xml:space="preserve">implications for its potential as a water supply. </w:t>
      </w:r>
      <w:r w:rsidR="008E1D22">
        <w:t xml:space="preserve">For instance, </w:t>
      </w:r>
      <w:r w:rsidR="00E713E9">
        <w:t>t</w:t>
      </w:r>
      <w:r w:rsidR="00BC178D">
        <w:t xml:space="preserve">his aquifer </w:t>
      </w:r>
      <w:r w:rsidR="00201B1A">
        <w:t xml:space="preserve">may </w:t>
      </w:r>
      <w:r w:rsidR="00BC178D">
        <w:t>become more widespread if it was</w:t>
      </w:r>
      <w:r w:rsidR="008E1D22">
        <w:t xml:space="preserve"> found to be an equivalent of the </w:t>
      </w:r>
      <w:r w:rsidR="00D631A3">
        <w:t>Jamison sandstone</w:t>
      </w:r>
      <w:r w:rsidR="008E1D22">
        <w:t xml:space="preserve"> rather than younger</w:t>
      </w:r>
      <w:r w:rsidR="00E713E9">
        <w:t xml:space="preserve"> than it</w:t>
      </w:r>
      <w:r w:rsidR="008E1D22">
        <w:t xml:space="preserve"> (</w:t>
      </w:r>
      <w:r w:rsidR="008E1D22">
        <w:fldChar w:fldCharType="begin"/>
      </w:r>
      <w:r w:rsidR="008E1D22">
        <w:instrText xml:space="preserve"> REF _Ref535407260 \h </w:instrText>
      </w:r>
      <w:r w:rsidR="008E1D22">
        <w:fldChar w:fldCharType="separate"/>
      </w:r>
      <w:r w:rsidR="00B177F5">
        <w:t xml:space="preserve">Figure </w:t>
      </w:r>
      <w:r w:rsidR="00B177F5">
        <w:rPr>
          <w:noProof/>
        </w:rPr>
        <w:t>4</w:t>
      </w:r>
      <w:r w:rsidR="008E1D22">
        <w:fldChar w:fldCharType="end"/>
      </w:r>
      <w:r w:rsidR="008E1D22">
        <w:t>)</w:t>
      </w:r>
      <w:r w:rsidR="002E7DCA">
        <w:t>. Whil</w:t>
      </w:r>
      <w:r w:rsidR="00A00A2A">
        <w:t>e</w:t>
      </w:r>
      <w:r w:rsidR="00E713E9">
        <w:t xml:space="preserve"> little is known, </w:t>
      </w:r>
      <w:r w:rsidR="00BC178D">
        <w:t xml:space="preserve">high flow rates suggest it </w:t>
      </w:r>
      <w:r w:rsidR="002E7DCA">
        <w:t xml:space="preserve">has potential as a </w:t>
      </w:r>
      <w:r w:rsidR="000363DE">
        <w:t xml:space="preserve">deep </w:t>
      </w:r>
      <w:r w:rsidR="002E7DCA">
        <w:t>groundwater supply</w:t>
      </w:r>
      <w:r w:rsidR="00201B1A">
        <w:t xml:space="preserve">, </w:t>
      </w:r>
      <w:r w:rsidR="00E713E9">
        <w:t>particularly</w:t>
      </w:r>
      <w:r w:rsidR="00201B1A">
        <w:t xml:space="preserve"> where the </w:t>
      </w:r>
      <w:r w:rsidR="000371D5">
        <w:t>CLA</w:t>
      </w:r>
      <w:r w:rsidR="00201B1A">
        <w:t xml:space="preserve"> is thin or absent in the western portions of the Beetaloo GBA region</w:t>
      </w:r>
      <w:r w:rsidR="002E7DCA">
        <w:t xml:space="preserve">. </w:t>
      </w:r>
    </w:p>
    <w:p w14:paraId="6BBDBFAB" w14:textId="77777777" w:rsidR="00EA3C12" w:rsidRPr="00304DC8" w:rsidRDefault="00EA3C12" w:rsidP="00EA3C12">
      <w:pPr>
        <w:pStyle w:val="BodyText"/>
      </w:pPr>
    </w:p>
    <w:p w14:paraId="696EE0B5" w14:textId="0BD0A28E" w:rsidR="00EA3C12" w:rsidRDefault="00EA3C12" w:rsidP="00AD36B8">
      <w:pPr>
        <w:pStyle w:val="Caption"/>
        <w:keepLines/>
      </w:pPr>
      <w:bookmarkStart w:id="429" w:name="_Ref21439825"/>
      <w:bookmarkStart w:id="430" w:name="_Ref21440616"/>
      <w:bookmarkStart w:id="431" w:name="_Toc38990503"/>
      <w:bookmarkStart w:id="432" w:name="_Hlk35340519"/>
      <w:r>
        <w:t xml:space="preserve">Table </w:t>
      </w:r>
      <w:r>
        <w:rPr>
          <w:noProof/>
        </w:rPr>
        <w:fldChar w:fldCharType="begin"/>
      </w:r>
      <w:r>
        <w:rPr>
          <w:noProof/>
        </w:rPr>
        <w:instrText xml:space="preserve"> SEQ Table \* ARABIC </w:instrText>
      </w:r>
      <w:r>
        <w:rPr>
          <w:noProof/>
        </w:rPr>
        <w:fldChar w:fldCharType="separate"/>
      </w:r>
      <w:r w:rsidR="00B177F5">
        <w:rPr>
          <w:noProof/>
        </w:rPr>
        <w:t>3</w:t>
      </w:r>
      <w:r>
        <w:rPr>
          <w:noProof/>
        </w:rPr>
        <w:fldChar w:fldCharType="end"/>
      </w:r>
      <w:bookmarkEnd w:id="429"/>
      <w:bookmarkEnd w:id="430"/>
      <w:r>
        <w:rPr>
          <w:noProof/>
        </w:rPr>
        <w:t xml:space="preserve"> Water flows recorded into </w:t>
      </w:r>
      <w:r w:rsidR="004E5137">
        <w:rPr>
          <w:noProof/>
        </w:rPr>
        <w:t>p</w:t>
      </w:r>
      <w:r>
        <w:rPr>
          <w:noProof/>
        </w:rPr>
        <w:t xml:space="preserve">etroleum wells for the </w:t>
      </w:r>
      <w:r w:rsidR="007B11E6">
        <w:rPr>
          <w:noProof/>
        </w:rPr>
        <w:t>Jami</w:t>
      </w:r>
      <w:r w:rsidR="00201B1A">
        <w:rPr>
          <w:noProof/>
        </w:rPr>
        <w:t>son</w:t>
      </w:r>
      <w:r w:rsidR="007B11E6">
        <w:rPr>
          <w:noProof/>
        </w:rPr>
        <w:t xml:space="preserve"> and Bukalara sandstones</w:t>
      </w:r>
      <w:bookmarkEnd w:id="431"/>
    </w:p>
    <w:tbl>
      <w:tblPr>
        <w:tblStyle w:val="TableBAHeaderRow"/>
        <w:tblW w:w="0" w:type="auto"/>
        <w:tblLook w:val="04A0" w:firstRow="1" w:lastRow="0" w:firstColumn="1" w:lastColumn="0" w:noHBand="0" w:noVBand="1"/>
      </w:tblPr>
      <w:tblGrid>
        <w:gridCol w:w="1196"/>
        <w:gridCol w:w="816"/>
        <w:gridCol w:w="810"/>
        <w:gridCol w:w="810"/>
        <w:gridCol w:w="1260"/>
        <w:gridCol w:w="723"/>
        <w:gridCol w:w="1260"/>
        <w:gridCol w:w="2706"/>
      </w:tblGrid>
      <w:tr w:rsidR="00EA3C12" w14:paraId="55FDC3A7" w14:textId="77777777" w:rsidTr="000941E5">
        <w:trPr>
          <w:cnfStyle w:val="100000000000" w:firstRow="1" w:lastRow="0" w:firstColumn="0" w:lastColumn="0" w:oddVBand="0" w:evenVBand="0" w:oddHBand="0" w:evenHBand="0" w:firstRowFirstColumn="0" w:firstRowLastColumn="0" w:lastRowFirstColumn="0" w:lastRowLastColumn="0"/>
          <w:tblHeader/>
        </w:trPr>
        <w:tc>
          <w:tcPr>
            <w:tcW w:w="1196" w:type="dxa"/>
          </w:tcPr>
          <w:p w14:paraId="5DAF6B93" w14:textId="3FB0A24C" w:rsidR="00EA3C12" w:rsidRDefault="00AD36B8" w:rsidP="00AD36B8">
            <w:pPr>
              <w:pStyle w:val="TableText"/>
              <w:keepNext/>
              <w:keepLines/>
            </w:pPr>
            <w:r>
              <w:t>W</w:t>
            </w:r>
            <w:r w:rsidR="00EA3C12" w:rsidRPr="00F63A4D">
              <w:t>ell</w:t>
            </w:r>
          </w:p>
        </w:tc>
        <w:tc>
          <w:tcPr>
            <w:tcW w:w="816" w:type="dxa"/>
          </w:tcPr>
          <w:p w14:paraId="2DBECEDB" w14:textId="77777777" w:rsidR="00EA3C12" w:rsidRDefault="00EA3C12" w:rsidP="00AD36B8">
            <w:pPr>
              <w:pStyle w:val="TableTextCentred"/>
              <w:keepNext/>
              <w:keepLines/>
            </w:pPr>
            <w:r w:rsidRPr="00F63A4D">
              <w:t>From</w:t>
            </w:r>
          </w:p>
          <w:p w14:paraId="0C1262FB" w14:textId="77777777" w:rsidR="00EA3C12" w:rsidRDefault="00EA3C12" w:rsidP="00AD36B8">
            <w:pPr>
              <w:pStyle w:val="TableTextCentred"/>
              <w:keepNext/>
              <w:keepLines/>
            </w:pPr>
            <w:r>
              <w:t>(m)</w:t>
            </w:r>
          </w:p>
        </w:tc>
        <w:tc>
          <w:tcPr>
            <w:tcW w:w="810" w:type="dxa"/>
          </w:tcPr>
          <w:p w14:paraId="386BEC3C" w14:textId="77777777" w:rsidR="00EA3C12" w:rsidRDefault="00EA3C12" w:rsidP="00AD36B8">
            <w:pPr>
              <w:pStyle w:val="TableTextCentred"/>
              <w:keepNext/>
              <w:keepLines/>
            </w:pPr>
            <w:r w:rsidRPr="00F63A4D">
              <w:t>To</w:t>
            </w:r>
          </w:p>
          <w:p w14:paraId="1F52845A" w14:textId="77777777" w:rsidR="00EA3C12" w:rsidRDefault="00EA3C12" w:rsidP="00AD36B8">
            <w:pPr>
              <w:pStyle w:val="TableTextCentred"/>
              <w:keepNext/>
              <w:keepLines/>
            </w:pPr>
            <w:r>
              <w:t>(m)</w:t>
            </w:r>
          </w:p>
        </w:tc>
        <w:tc>
          <w:tcPr>
            <w:tcW w:w="810" w:type="dxa"/>
          </w:tcPr>
          <w:p w14:paraId="3BAC4045" w14:textId="3BD93352" w:rsidR="00EA3C12" w:rsidRDefault="00AD36B8" w:rsidP="00AD36B8">
            <w:pPr>
              <w:pStyle w:val="TableTextCentred"/>
              <w:keepNext/>
              <w:keepLines/>
            </w:pPr>
            <w:r>
              <w:t>Fl</w:t>
            </w:r>
            <w:r w:rsidR="00EA3C12" w:rsidRPr="00F63A4D">
              <w:t>ow</w:t>
            </w:r>
          </w:p>
        </w:tc>
        <w:tc>
          <w:tcPr>
            <w:tcW w:w="1260" w:type="dxa"/>
          </w:tcPr>
          <w:p w14:paraId="5A2A6D28" w14:textId="77777777" w:rsidR="00EA3C12" w:rsidRDefault="00EA3C12" w:rsidP="00AD36B8">
            <w:pPr>
              <w:pStyle w:val="TableText"/>
              <w:keepNext/>
              <w:keepLines/>
            </w:pPr>
            <w:r>
              <w:t>Flow u</w:t>
            </w:r>
            <w:r w:rsidRPr="00F63A4D">
              <w:t>nit</w:t>
            </w:r>
            <w:r>
              <w:t xml:space="preserve"> (as reported in WCR)</w:t>
            </w:r>
          </w:p>
        </w:tc>
        <w:tc>
          <w:tcPr>
            <w:tcW w:w="723" w:type="dxa"/>
          </w:tcPr>
          <w:p w14:paraId="28AA8C6C" w14:textId="77777777" w:rsidR="00EA3C12" w:rsidRDefault="00EA3C12" w:rsidP="00AD36B8">
            <w:pPr>
              <w:pStyle w:val="TableTextCentred"/>
              <w:keepNext/>
              <w:keepLines/>
            </w:pPr>
            <w:r>
              <w:t>Flow (L</w:t>
            </w:r>
            <w:r w:rsidRPr="00F63A4D">
              <w:t>/sec</w:t>
            </w:r>
            <w:r>
              <w:t>)</w:t>
            </w:r>
          </w:p>
        </w:tc>
        <w:tc>
          <w:tcPr>
            <w:tcW w:w="1260" w:type="dxa"/>
          </w:tcPr>
          <w:p w14:paraId="31D9CC80" w14:textId="77777777" w:rsidR="00EA3C12" w:rsidRDefault="00EA3C12" w:rsidP="00AD36B8">
            <w:pPr>
              <w:pStyle w:val="TableText"/>
              <w:keepNext/>
              <w:keepLines/>
            </w:pPr>
            <w:r w:rsidRPr="00F63A4D">
              <w:t>Formation</w:t>
            </w:r>
          </w:p>
        </w:tc>
        <w:tc>
          <w:tcPr>
            <w:tcW w:w="2706" w:type="dxa"/>
          </w:tcPr>
          <w:p w14:paraId="0B8705FF" w14:textId="612EE109" w:rsidR="00EA3C12" w:rsidRDefault="00AD36B8" w:rsidP="00AD36B8">
            <w:pPr>
              <w:pStyle w:val="TableText"/>
              <w:keepNext/>
              <w:keepLines/>
            </w:pPr>
            <w:r>
              <w:t>C</w:t>
            </w:r>
            <w:r w:rsidR="00EA3C12" w:rsidRPr="00F63A4D">
              <w:t>omment</w:t>
            </w:r>
          </w:p>
        </w:tc>
      </w:tr>
      <w:tr w:rsidR="00EA3C12" w14:paraId="3A047738" w14:textId="77777777" w:rsidTr="000941E5">
        <w:trPr>
          <w:cnfStyle w:val="000000100000" w:firstRow="0" w:lastRow="0" w:firstColumn="0" w:lastColumn="0" w:oddVBand="0" w:evenVBand="0" w:oddHBand="1" w:evenHBand="0" w:firstRowFirstColumn="0" w:firstRowLastColumn="0" w:lastRowFirstColumn="0" w:lastRowLastColumn="0"/>
        </w:trPr>
        <w:tc>
          <w:tcPr>
            <w:tcW w:w="1196" w:type="dxa"/>
          </w:tcPr>
          <w:p w14:paraId="0347CA78" w14:textId="77777777" w:rsidR="00EA3C12" w:rsidRDefault="00EA3C12" w:rsidP="00AD36B8">
            <w:pPr>
              <w:pStyle w:val="TableText"/>
              <w:keepNext/>
              <w:keepLines/>
            </w:pPr>
            <w:r w:rsidRPr="0003138A">
              <w:rPr>
                <w:rFonts w:eastAsiaTheme="minorEastAsia"/>
              </w:rPr>
              <w:t>Amungee NW 1</w:t>
            </w:r>
          </w:p>
        </w:tc>
        <w:tc>
          <w:tcPr>
            <w:tcW w:w="816" w:type="dxa"/>
          </w:tcPr>
          <w:p w14:paraId="742F072D" w14:textId="77777777" w:rsidR="00EA3C12" w:rsidRPr="00F63A4D" w:rsidRDefault="00EA3C12" w:rsidP="00AD36B8">
            <w:pPr>
              <w:pStyle w:val="TableTextRight"/>
              <w:keepNext/>
              <w:keepLines/>
            </w:pPr>
            <w:r w:rsidRPr="0003138A">
              <w:rPr>
                <w:rFonts w:eastAsiaTheme="minorEastAsia"/>
              </w:rPr>
              <w:t>321</w:t>
            </w:r>
          </w:p>
        </w:tc>
        <w:tc>
          <w:tcPr>
            <w:tcW w:w="810" w:type="dxa"/>
          </w:tcPr>
          <w:p w14:paraId="4B334249" w14:textId="50C5F14C" w:rsidR="00EA3C12" w:rsidRPr="00F63A4D" w:rsidRDefault="000941E5" w:rsidP="00AD36B8">
            <w:pPr>
              <w:pStyle w:val="TableTextRight"/>
              <w:keepNext/>
              <w:keepLines/>
            </w:pPr>
            <w:r>
              <w:t>na</w:t>
            </w:r>
          </w:p>
        </w:tc>
        <w:tc>
          <w:tcPr>
            <w:tcW w:w="810" w:type="dxa"/>
          </w:tcPr>
          <w:p w14:paraId="0882BB85" w14:textId="77777777" w:rsidR="00EA3C12" w:rsidRDefault="00EA3C12" w:rsidP="00AD36B8">
            <w:pPr>
              <w:pStyle w:val="TableTextRight"/>
              <w:keepNext/>
              <w:keepLines/>
            </w:pPr>
            <w:r w:rsidRPr="0003138A">
              <w:rPr>
                <w:rFonts w:eastAsiaTheme="minorEastAsia"/>
              </w:rPr>
              <w:t>1500</w:t>
            </w:r>
          </w:p>
        </w:tc>
        <w:tc>
          <w:tcPr>
            <w:tcW w:w="1260" w:type="dxa"/>
          </w:tcPr>
          <w:p w14:paraId="1A609E5B" w14:textId="77777777" w:rsidR="00EA3C12" w:rsidRDefault="00EA3C12" w:rsidP="00AD36B8">
            <w:pPr>
              <w:pStyle w:val="TableText"/>
              <w:keepNext/>
              <w:keepLines/>
            </w:pPr>
            <w:r w:rsidRPr="0003138A">
              <w:rPr>
                <w:rFonts w:eastAsiaTheme="minorEastAsia"/>
              </w:rPr>
              <w:t>L/min</w:t>
            </w:r>
          </w:p>
        </w:tc>
        <w:tc>
          <w:tcPr>
            <w:tcW w:w="723" w:type="dxa"/>
          </w:tcPr>
          <w:p w14:paraId="07A7D604" w14:textId="77777777" w:rsidR="00EA3C12" w:rsidRDefault="00EA3C12" w:rsidP="00AD36B8">
            <w:pPr>
              <w:pStyle w:val="TableTextRight"/>
              <w:keepNext/>
              <w:keepLines/>
            </w:pPr>
            <w:r w:rsidRPr="0003138A">
              <w:rPr>
                <w:rFonts w:eastAsiaTheme="minorEastAsia"/>
              </w:rPr>
              <w:t>25</w:t>
            </w:r>
          </w:p>
        </w:tc>
        <w:tc>
          <w:tcPr>
            <w:tcW w:w="1260" w:type="dxa"/>
          </w:tcPr>
          <w:p w14:paraId="4CC9F978" w14:textId="77777777" w:rsidR="00EA3C12" w:rsidRDefault="00EA3C12" w:rsidP="00AD36B8">
            <w:pPr>
              <w:pStyle w:val="TableText"/>
              <w:keepNext/>
              <w:keepLines/>
            </w:pPr>
            <w:r w:rsidRPr="0003138A">
              <w:rPr>
                <w:rFonts w:eastAsiaTheme="minorEastAsia"/>
              </w:rPr>
              <w:t>Bukalara Sst</w:t>
            </w:r>
          </w:p>
        </w:tc>
        <w:tc>
          <w:tcPr>
            <w:tcW w:w="2706" w:type="dxa"/>
          </w:tcPr>
          <w:p w14:paraId="7B745C43" w14:textId="77777777" w:rsidR="00EA3C12" w:rsidRDefault="00EA3C12" w:rsidP="00AD36B8">
            <w:pPr>
              <w:pStyle w:val="TableText"/>
              <w:keepNext/>
              <w:keepLines/>
            </w:pPr>
          </w:p>
        </w:tc>
      </w:tr>
      <w:tr w:rsidR="000941E5" w14:paraId="5EA1EED3" w14:textId="77777777" w:rsidTr="000941E5">
        <w:trPr>
          <w:cnfStyle w:val="000000010000" w:firstRow="0" w:lastRow="0" w:firstColumn="0" w:lastColumn="0" w:oddVBand="0" w:evenVBand="0" w:oddHBand="0" w:evenHBand="1" w:firstRowFirstColumn="0" w:firstRowLastColumn="0" w:lastRowFirstColumn="0" w:lastRowLastColumn="0"/>
        </w:trPr>
        <w:tc>
          <w:tcPr>
            <w:tcW w:w="1196" w:type="dxa"/>
          </w:tcPr>
          <w:p w14:paraId="585E6301" w14:textId="77777777" w:rsidR="000941E5" w:rsidRDefault="000941E5" w:rsidP="000941E5">
            <w:pPr>
              <w:pStyle w:val="TableText"/>
              <w:keepNext/>
              <w:keepLines/>
            </w:pPr>
            <w:r w:rsidRPr="0003138A">
              <w:rPr>
                <w:rFonts w:eastAsiaTheme="minorEastAsia"/>
              </w:rPr>
              <w:t>Tanumbirini 1</w:t>
            </w:r>
          </w:p>
        </w:tc>
        <w:tc>
          <w:tcPr>
            <w:tcW w:w="816" w:type="dxa"/>
          </w:tcPr>
          <w:p w14:paraId="3808F807" w14:textId="77777777" w:rsidR="000941E5" w:rsidRPr="00F63A4D" w:rsidRDefault="000941E5" w:rsidP="000941E5">
            <w:pPr>
              <w:pStyle w:val="TableTextRight"/>
              <w:keepNext/>
              <w:keepLines/>
            </w:pPr>
            <w:r w:rsidRPr="0003138A">
              <w:rPr>
                <w:rFonts w:eastAsiaTheme="minorEastAsia"/>
              </w:rPr>
              <w:t>192</w:t>
            </w:r>
          </w:p>
        </w:tc>
        <w:tc>
          <w:tcPr>
            <w:tcW w:w="810" w:type="dxa"/>
          </w:tcPr>
          <w:p w14:paraId="4B1FF624" w14:textId="306CCECE" w:rsidR="000941E5" w:rsidRPr="00F63A4D" w:rsidRDefault="000941E5" w:rsidP="000941E5">
            <w:pPr>
              <w:pStyle w:val="TableTextRight"/>
              <w:keepNext/>
              <w:keepLines/>
            </w:pPr>
            <w:r w:rsidRPr="006D1039">
              <w:t>na</w:t>
            </w:r>
          </w:p>
        </w:tc>
        <w:tc>
          <w:tcPr>
            <w:tcW w:w="810" w:type="dxa"/>
          </w:tcPr>
          <w:p w14:paraId="24329580" w14:textId="01B161F9" w:rsidR="000941E5" w:rsidRDefault="000941E5" w:rsidP="000941E5">
            <w:pPr>
              <w:pStyle w:val="TableTextRight"/>
              <w:keepNext/>
              <w:keepLines/>
            </w:pPr>
            <w:r w:rsidRPr="006D1039">
              <w:t>na</w:t>
            </w:r>
          </w:p>
        </w:tc>
        <w:tc>
          <w:tcPr>
            <w:tcW w:w="1260" w:type="dxa"/>
          </w:tcPr>
          <w:p w14:paraId="439E21D9" w14:textId="119B97E6" w:rsidR="000941E5" w:rsidRDefault="000941E5" w:rsidP="000941E5">
            <w:pPr>
              <w:pStyle w:val="TableText"/>
              <w:keepNext/>
              <w:keepLines/>
            </w:pPr>
            <w:r w:rsidRPr="006D1039">
              <w:t>na</w:t>
            </w:r>
          </w:p>
        </w:tc>
        <w:tc>
          <w:tcPr>
            <w:tcW w:w="723" w:type="dxa"/>
          </w:tcPr>
          <w:p w14:paraId="24854D36" w14:textId="54F20537" w:rsidR="000941E5" w:rsidRDefault="000941E5" w:rsidP="000941E5">
            <w:pPr>
              <w:pStyle w:val="TableTextRight"/>
              <w:keepNext/>
              <w:keepLines/>
            </w:pPr>
            <w:r w:rsidRPr="006D1039">
              <w:t>na</w:t>
            </w:r>
          </w:p>
        </w:tc>
        <w:tc>
          <w:tcPr>
            <w:tcW w:w="1260" w:type="dxa"/>
          </w:tcPr>
          <w:p w14:paraId="28EFE01E" w14:textId="77777777" w:rsidR="000941E5" w:rsidRDefault="000941E5" w:rsidP="000941E5">
            <w:pPr>
              <w:pStyle w:val="TableText"/>
              <w:keepNext/>
              <w:keepLines/>
            </w:pPr>
            <w:r w:rsidRPr="0003138A">
              <w:rPr>
                <w:rFonts w:eastAsiaTheme="minorEastAsia"/>
              </w:rPr>
              <w:t>Bukalara Sst</w:t>
            </w:r>
          </w:p>
        </w:tc>
        <w:tc>
          <w:tcPr>
            <w:tcW w:w="2706" w:type="dxa"/>
          </w:tcPr>
          <w:p w14:paraId="1575AE07" w14:textId="4222D43F" w:rsidR="000941E5" w:rsidRDefault="000941E5" w:rsidP="000941E5">
            <w:pPr>
              <w:pStyle w:val="TableText"/>
              <w:keepNext/>
              <w:keepLines/>
            </w:pPr>
            <w:r w:rsidRPr="0003138A">
              <w:rPr>
                <w:rFonts w:eastAsiaTheme="minorEastAsia"/>
              </w:rPr>
              <w:t>Changed drilling technique to cope with strong water inflows</w:t>
            </w:r>
          </w:p>
        </w:tc>
      </w:tr>
      <w:tr w:rsidR="00EA3C12" w14:paraId="2EF0DBF2" w14:textId="77777777" w:rsidTr="000941E5">
        <w:trPr>
          <w:cnfStyle w:val="000000100000" w:firstRow="0" w:lastRow="0" w:firstColumn="0" w:lastColumn="0" w:oddVBand="0" w:evenVBand="0" w:oddHBand="1" w:evenHBand="0" w:firstRowFirstColumn="0" w:firstRowLastColumn="0" w:lastRowFirstColumn="0" w:lastRowLastColumn="0"/>
        </w:trPr>
        <w:tc>
          <w:tcPr>
            <w:tcW w:w="1196" w:type="dxa"/>
          </w:tcPr>
          <w:p w14:paraId="0553FBE8" w14:textId="77777777" w:rsidR="00EA3C12" w:rsidRDefault="00EA3C12" w:rsidP="00AD36B8">
            <w:pPr>
              <w:pStyle w:val="TableText"/>
              <w:keepNext/>
              <w:keepLines/>
            </w:pPr>
            <w:r w:rsidRPr="0003138A">
              <w:rPr>
                <w:rFonts w:eastAsiaTheme="minorEastAsia"/>
              </w:rPr>
              <w:t>Kalala 1</w:t>
            </w:r>
          </w:p>
        </w:tc>
        <w:tc>
          <w:tcPr>
            <w:tcW w:w="816" w:type="dxa"/>
          </w:tcPr>
          <w:p w14:paraId="01F3B24D" w14:textId="77777777" w:rsidR="00EA3C12" w:rsidRPr="00F63A4D" w:rsidRDefault="00EA3C12" w:rsidP="00AD36B8">
            <w:pPr>
              <w:pStyle w:val="TableTextRight"/>
              <w:keepNext/>
              <w:keepLines/>
            </w:pPr>
            <w:r w:rsidRPr="0003138A">
              <w:rPr>
                <w:rFonts w:eastAsiaTheme="minorEastAsia"/>
              </w:rPr>
              <w:t>407</w:t>
            </w:r>
          </w:p>
        </w:tc>
        <w:tc>
          <w:tcPr>
            <w:tcW w:w="810" w:type="dxa"/>
          </w:tcPr>
          <w:p w14:paraId="7D0BDE3B" w14:textId="77777777" w:rsidR="00EA3C12" w:rsidRPr="00F63A4D" w:rsidRDefault="00EA3C12" w:rsidP="00AD36B8">
            <w:pPr>
              <w:pStyle w:val="TableTextRight"/>
              <w:keepNext/>
              <w:keepLines/>
            </w:pPr>
            <w:r w:rsidRPr="0003138A">
              <w:rPr>
                <w:rFonts w:eastAsiaTheme="minorEastAsia"/>
              </w:rPr>
              <w:t>410</w:t>
            </w:r>
          </w:p>
        </w:tc>
        <w:tc>
          <w:tcPr>
            <w:tcW w:w="810" w:type="dxa"/>
          </w:tcPr>
          <w:p w14:paraId="4B59685C" w14:textId="77777777" w:rsidR="00EA3C12" w:rsidRDefault="00EA3C12" w:rsidP="00AD36B8">
            <w:pPr>
              <w:pStyle w:val="TableTextRight"/>
              <w:keepNext/>
              <w:keepLines/>
            </w:pPr>
            <w:r w:rsidRPr="0003138A">
              <w:rPr>
                <w:rFonts w:eastAsiaTheme="minorEastAsia"/>
              </w:rPr>
              <w:t>600</w:t>
            </w:r>
          </w:p>
        </w:tc>
        <w:tc>
          <w:tcPr>
            <w:tcW w:w="1260" w:type="dxa"/>
          </w:tcPr>
          <w:p w14:paraId="4005639E" w14:textId="77777777" w:rsidR="00EA3C12" w:rsidRDefault="00EA3C12" w:rsidP="00AD36B8">
            <w:pPr>
              <w:pStyle w:val="TableText"/>
              <w:keepNext/>
              <w:keepLines/>
            </w:pPr>
            <w:r w:rsidRPr="0003138A">
              <w:rPr>
                <w:rFonts w:eastAsiaTheme="minorEastAsia"/>
              </w:rPr>
              <w:t>L/min</w:t>
            </w:r>
          </w:p>
        </w:tc>
        <w:tc>
          <w:tcPr>
            <w:tcW w:w="723" w:type="dxa"/>
          </w:tcPr>
          <w:p w14:paraId="29CB8834" w14:textId="77777777" w:rsidR="00EA3C12" w:rsidRDefault="00EA3C12" w:rsidP="00AD36B8">
            <w:pPr>
              <w:pStyle w:val="TableTextRight"/>
              <w:keepNext/>
              <w:keepLines/>
            </w:pPr>
            <w:r w:rsidRPr="0003138A">
              <w:rPr>
                <w:rFonts w:eastAsiaTheme="minorEastAsia"/>
              </w:rPr>
              <w:t>10</w:t>
            </w:r>
          </w:p>
        </w:tc>
        <w:tc>
          <w:tcPr>
            <w:tcW w:w="1260" w:type="dxa"/>
          </w:tcPr>
          <w:p w14:paraId="00350AA3" w14:textId="77777777" w:rsidR="00EA3C12" w:rsidRDefault="00EA3C12" w:rsidP="00AD36B8">
            <w:pPr>
              <w:pStyle w:val="TableText"/>
              <w:keepNext/>
              <w:keepLines/>
            </w:pPr>
            <w:r w:rsidRPr="0003138A">
              <w:rPr>
                <w:rFonts w:eastAsiaTheme="minorEastAsia"/>
              </w:rPr>
              <w:t>Bukalara Sst</w:t>
            </w:r>
          </w:p>
        </w:tc>
        <w:tc>
          <w:tcPr>
            <w:tcW w:w="2706" w:type="dxa"/>
          </w:tcPr>
          <w:p w14:paraId="0DE5B73B" w14:textId="60D9AEB5" w:rsidR="00EA3C12" w:rsidRPr="0003138A" w:rsidRDefault="00EA3C12" w:rsidP="00AD36B8">
            <w:pPr>
              <w:pStyle w:val="TableText"/>
              <w:keepNext/>
              <w:keepLines/>
              <w:rPr>
                <w:rFonts w:eastAsiaTheme="minorEastAsia"/>
              </w:rPr>
            </w:pPr>
            <w:r w:rsidRPr="0003138A">
              <w:rPr>
                <w:rFonts w:eastAsiaTheme="minorEastAsia"/>
              </w:rPr>
              <w:t>Strong water inflow</w:t>
            </w:r>
          </w:p>
          <w:p w14:paraId="40B305C3" w14:textId="77777777" w:rsidR="00EA3C12" w:rsidRDefault="00EA3C12" w:rsidP="00AD36B8">
            <w:pPr>
              <w:pStyle w:val="TableText"/>
              <w:keepNext/>
              <w:keepLines/>
            </w:pPr>
            <w:r w:rsidRPr="0003138A">
              <w:rPr>
                <w:rFonts w:eastAsiaTheme="minorEastAsia"/>
              </w:rPr>
              <w:t xml:space="preserve"> </w:t>
            </w:r>
          </w:p>
        </w:tc>
      </w:tr>
      <w:tr w:rsidR="000941E5" w14:paraId="47DE3BE4" w14:textId="77777777" w:rsidTr="000941E5">
        <w:trPr>
          <w:cnfStyle w:val="000000010000" w:firstRow="0" w:lastRow="0" w:firstColumn="0" w:lastColumn="0" w:oddVBand="0" w:evenVBand="0" w:oddHBand="0" w:evenHBand="1" w:firstRowFirstColumn="0" w:firstRowLastColumn="0" w:lastRowFirstColumn="0" w:lastRowLastColumn="0"/>
        </w:trPr>
        <w:tc>
          <w:tcPr>
            <w:tcW w:w="1196" w:type="dxa"/>
          </w:tcPr>
          <w:p w14:paraId="69329141" w14:textId="77777777" w:rsidR="000941E5" w:rsidRDefault="000941E5" w:rsidP="000941E5">
            <w:pPr>
              <w:pStyle w:val="TableText"/>
              <w:keepNext/>
              <w:keepLines/>
            </w:pPr>
            <w:r w:rsidRPr="0003138A">
              <w:rPr>
                <w:rFonts w:eastAsiaTheme="minorEastAsia"/>
              </w:rPr>
              <w:t>Tarlee S3</w:t>
            </w:r>
          </w:p>
        </w:tc>
        <w:tc>
          <w:tcPr>
            <w:tcW w:w="816" w:type="dxa"/>
          </w:tcPr>
          <w:p w14:paraId="53FB493F" w14:textId="77777777" w:rsidR="000941E5" w:rsidRPr="00F63A4D" w:rsidRDefault="000941E5" w:rsidP="000941E5">
            <w:pPr>
              <w:pStyle w:val="TableTextRight"/>
              <w:keepNext/>
              <w:keepLines/>
            </w:pPr>
            <w:r w:rsidRPr="0003138A">
              <w:rPr>
                <w:rFonts w:eastAsiaTheme="minorEastAsia"/>
              </w:rPr>
              <w:t>280</w:t>
            </w:r>
          </w:p>
        </w:tc>
        <w:tc>
          <w:tcPr>
            <w:tcW w:w="810" w:type="dxa"/>
          </w:tcPr>
          <w:p w14:paraId="6A35DF89" w14:textId="4C79714B" w:rsidR="000941E5" w:rsidRPr="00F63A4D" w:rsidRDefault="000941E5" w:rsidP="000941E5">
            <w:pPr>
              <w:pStyle w:val="TableTextRight"/>
              <w:keepNext/>
              <w:keepLines/>
            </w:pPr>
            <w:r w:rsidRPr="00664797">
              <w:t>na</w:t>
            </w:r>
          </w:p>
        </w:tc>
        <w:tc>
          <w:tcPr>
            <w:tcW w:w="810" w:type="dxa"/>
          </w:tcPr>
          <w:p w14:paraId="2FCD68F5" w14:textId="07D35F3F" w:rsidR="000941E5" w:rsidRDefault="000941E5" w:rsidP="000941E5">
            <w:pPr>
              <w:pStyle w:val="TableTextRight"/>
              <w:keepNext/>
              <w:keepLines/>
            </w:pPr>
            <w:r w:rsidRPr="00664797">
              <w:t>na</w:t>
            </w:r>
          </w:p>
        </w:tc>
        <w:tc>
          <w:tcPr>
            <w:tcW w:w="1260" w:type="dxa"/>
          </w:tcPr>
          <w:p w14:paraId="76403ED7" w14:textId="50203ABD" w:rsidR="000941E5" w:rsidRDefault="000941E5" w:rsidP="000941E5">
            <w:pPr>
              <w:pStyle w:val="TableText"/>
              <w:keepNext/>
              <w:keepLines/>
            </w:pPr>
            <w:r w:rsidRPr="00664797">
              <w:t>na</w:t>
            </w:r>
          </w:p>
        </w:tc>
        <w:tc>
          <w:tcPr>
            <w:tcW w:w="723" w:type="dxa"/>
          </w:tcPr>
          <w:p w14:paraId="19B7B505" w14:textId="114C1433" w:rsidR="000941E5" w:rsidRDefault="000941E5" w:rsidP="000941E5">
            <w:pPr>
              <w:pStyle w:val="TableTextRight"/>
              <w:keepNext/>
              <w:keepLines/>
            </w:pPr>
            <w:r w:rsidRPr="00664797">
              <w:t>na</w:t>
            </w:r>
          </w:p>
        </w:tc>
        <w:tc>
          <w:tcPr>
            <w:tcW w:w="1260" w:type="dxa"/>
          </w:tcPr>
          <w:p w14:paraId="37A83E7C" w14:textId="77777777" w:rsidR="000941E5" w:rsidRDefault="000941E5" w:rsidP="000941E5">
            <w:pPr>
              <w:pStyle w:val="TableText"/>
              <w:keepNext/>
              <w:keepLines/>
            </w:pPr>
            <w:r w:rsidRPr="0003138A">
              <w:rPr>
                <w:rFonts w:eastAsiaTheme="minorEastAsia"/>
              </w:rPr>
              <w:t>Bukalara Sst</w:t>
            </w:r>
          </w:p>
        </w:tc>
        <w:tc>
          <w:tcPr>
            <w:tcW w:w="2706" w:type="dxa"/>
          </w:tcPr>
          <w:p w14:paraId="4C71E154" w14:textId="5AE81140" w:rsidR="000941E5" w:rsidRDefault="000941E5" w:rsidP="000941E5">
            <w:pPr>
              <w:pStyle w:val="TableText"/>
              <w:keepNext/>
              <w:keepLines/>
            </w:pPr>
            <w:r w:rsidRPr="0003138A">
              <w:rPr>
                <w:rFonts w:eastAsiaTheme="minorEastAsia"/>
              </w:rPr>
              <w:t>Water influx increased once Buckalara Sst was intersected</w:t>
            </w:r>
          </w:p>
        </w:tc>
      </w:tr>
      <w:tr w:rsidR="000941E5" w14:paraId="2EB2B365" w14:textId="77777777" w:rsidTr="000941E5">
        <w:trPr>
          <w:cnfStyle w:val="000000100000" w:firstRow="0" w:lastRow="0" w:firstColumn="0" w:lastColumn="0" w:oddVBand="0" w:evenVBand="0" w:oddHBand="1" w:evenHBand="0" w:firstRowFirstColumn="0" w:firstRowLastColumn="0" w:lastRowFirstColumn="0" w:lastRowLastColumn="0"/>
        </w:trPr>
        <w:tc>
          <w:tcPr>
            <w:tcW w:w="1196" w:type="dxa"/>
          </w:tcPr>
          <w:p w14:paraId="33AC74A4" w14:textId="77777777" w:rsidR="000941E5" w:rsidRDefault="000941E5" w:rsidP="000941E5">
            <w:pPr>
              <w:pStyle w:val="TableText"/>
              <w:keepNext/>
              <w:keepLines/>
            </w:pPr>
            <w:r w:rsidRPr="0003138A">
              <w:rPr>
                <w:rFonts w:eastAsiaTheme="minorEastAsia"/>
              </w:rPr>
              <w:t>Shanandoah Sh</w:t>
            </w:r>
            <w:r>
              <w:rPr>
                <w:rFonts w:eastAsiaTheme="minorEastAsia"/>
              </w:rPr>
              <w:t>e</w:t>
            </w:r>
            <w:r w:rsidRPr="0003138A">
              <w:rPr>
                <w:rFonts w:eastAsiaTheme="minorEastAsia"/>
              </w:rPr>
              <w:t>nandoah 1</w:t>
            </w:r>
          </w:p>
        </w:tc>
        <w:tc>
          <w:tcPr>
            <w:tcW w:w="816" w:type="dxa"/>
          </w:tcPr>
          <w:p w14:paraId="7A03971C" w14:textId="77777777" w:rsidR="000941E5" w:rsidRPr="00F63A4D" w:rsidRDefault="000941E5" w:rsidP="000941E5">
            <w:pPr>
              <w:pStyle w:val="TableTextRight"/>
              <w:keepNext/>
              <w:keepLines/>
            </w:pPr>
            <w:r w:rsidRPr="0003138A">
              <w:rPr>
                <w:rFonts w:eastAsiaTheme="minorEastAsia"/>
              </w:rPr>
              <w:t>360</w:t>
            </w:r>
          </w:p>
        </w:tc>
        <w:tc>
          <w:tcPr>
            <w:tcW w:w="810" w:type="dxa"/>
          </w:tcPr>
          <w:p w14:paraId="76C8FDB6" w14:textId="18EBD47F" w:rsidR="000941E5" w:rsidRPr="00F63A4D" w:rsidRDefault="000941E5" w:rsidP="000941E5">
            <w:pPr>
              <w:pStyle w:val="TableTextRight"/>
              <w:keepNext/>
              <w:keepLines/>
            </w:pPr>
            <w:r w:rsidRPr="001C39AF">
              <w:t>na</w:t>
            </w:r>
          </w:p>
        </w:tc>
        <w:tc>
          <w:tcPr>
            <w:tcW w:w="810" w:type="dxa"/>
          </w:tcPr>
          <w:p w14:paraId="17BA28BB" w14:textId="03826291" w:rsidR="000941E5" w:rsidRDefault="000941E5" w:rsidP="000941E5">
            <w:pPr>
              <w:pStyle w:val="TableTextRight"/>
              <w:keepNext/>
              <w:keepLines/>
            </w:pPr>
            <w:r w:rsidRPr="001C39AF">
              <w:t>na</w:t>
            </w:r>
          </w:p>
        </w:tc>
        <w:tc>
          <w:tcPr>
            <w:tcW w:w="1260" w:type="dxa"/>
          </w:tcPr>
          <w:p w14:paraId="5BB939EA" w14:textId="32CD06EC" w:rsidR="000941E5" w:rsidRDefault="000941E5" w:rsidP="000941E5">
            <w:pPr>
              <w:pStyle w:val="TableText"/>
              <w:keepNext/>
              <w:keepLines/>
            </w:pPr>
            <w:r w:rsidRPr="001C39AF">
              <w:t>na</w:t>
            </w:r>
          </w:p>
        </w:tc>
        <w:tc>
          <w:tcPr>
            <w:tcW w:w="723" w:type="dxa"/>
          </w:tcPr>
          <w:p w14:paraId="6BEFB7BF" w14:textId="5B55CB4F" w:rsidR="000941E5" w:rsidRDefault="000941E5" w:rsidP="000941E5">
            <w:pPr>
              <w:pStyle w:val="TableTextRight"/>
              <w:keepNext/>
              <w:keepLines/>
            </w:pPr>
            <w:r w:rsidRPr="001C39AF">
              <w:t>na</w:t>
            </w:r>
          </w:p>
        </w:tc>
        <w:tc>
          <w:tcPr>
            <w:tcW w:w="1260" w:type="dxa"/>
          </w:tcPr>
          <w:p w14:paraId="6669103F" w14:textId="77777777" w:rsidR="000941E5" w:rsidRDefault="000941E5" w:rsidP="000941E5">
            <w:pPr>
              <w:pStyle w:val="TableText"/>
              <w:keepNext/>
              <w:keepLines/>
            </w:pPr>
            <w:r w:rsidRPr="0003138A">
              <w:rPr>
                <w:rFonts w:eastAsiaTheme="minorEastAsia"/>
              </w:rPr>
              <w:t>Bukalara Sst</w:t>
            </w:r>
          </w:p>
        </w:tc>
        <w:tc>
          <w:tcPr>
            <w:tcW w:w="2706" w:type="dxa"/>
          </w:tcPr>
          <w:p w14:paraId="67A13672" w14:textId="128F89B6" w:rsidR="000941E5" w:rsidRDefault="000941E5" w:rsidP="000941E5">
            <w:pPr>
              <w:pStyle w:val="TableText"/>
              <w:keepNext/>
              <w:keepLines/>
            </w:pPr>
            <w:r>
              <w:t>Strong water inflows</w:t>
            </w:r>
          </w:p>
        </w:tc>
      </w:tr>
      <w:tr w:rsidR="000941E5" w14:paraId="46BC7366" w14:textId="77777777" w:rsidTr="000941E5">
        <w:trPr>
          <w:cnfStyle w:val="000000010000" w:firstRow="0" w:lastRow="0" w:firstColumn="0" w:lastColumn="0" w:oddVBand="0" w:evenVBand="0" w:oddHBand="0" w:evenHBand="1" w:firstRowFirstColumn="0" w:firstRowLastColumn="0" w:lastRowFirstColumn="0" w:lastRowLastColumn="0"/>
        </w:trPr>
        <w:tc>
          <w:tcPr>
            <w:tcW w:w="1196" w:type="dxa"/>
          </w:tcPr>
          <w:p w14:paraId="1898E676" w14:textId="77777777" w:rsidR="000941E5" w:rsidRDefault="000941E5" w:rsidP="000941E5">
            <w:pPr>
              <w:pStyle w:val="TableText"/>
              <w:keepNext/>
              <w:keepLines/>
            </w:pPr>
            <w:r w:rsidRPr="00F63A4D">
              <w:t>Ronald 1</w:t>
            </w:r>
          </w:p>
        </w:tc>
        <w:tc>
          <w:tcPr>
            <w:tcW w:w="816" w:type="dxa"/>
          </w:tcPr>
          <w:p w14:paraId="3CCDFC42" w14:textId="77777777" w:rsidR="000941E5" w:rsidRDefault="000941E5" w:rsidP="000941E5">
            <w:pPr>
              <w:pStyle w:val="TableTextRight"/>
              <w:keepNext/>
              <w:keepLines/>
            </w:pPr>
            <w:r w:rsidRPr="00F63A4D">
              <w:t>831.7</w:t>
            </w:r>
          </w:p>
        </w:tc>
        <w:tc>
          <w:tcPr>
            <w:tcW w:w="810" w:type="dxa"/>
          </w:tcPr>
          <w:p w14:paraId="45533D14" w14:textId="77777777" w:rsidR="000941E5" w:rsidRDefault="000941E5" w:rsidP="000941E5">
            <w:pPr>
              <w:pStyle w:val="TableTextRight"/>
              <w:keepNext/>
              <w:keepLines/>
            </w:pPr>
            <w:r w:rsidRPr="00F63A4D">
              <w:t>871.7</w:t>
            </w:r>
          </w:p>
        </w:tc>
        <w:tc>
          <w:tcPr>
            <w:tcW w:w="810" w:type="dxa"/>
          </w:tcPr>
          <w:p w14:paraId="255AFE96" w14:textId="3578BA73" w:rsidR="000941E5" w:rsidRDefault="000941E5" w:rsidP="000941E5">
            <w:pPr>
              <w:pStyle w:val="TableTextRight"/>
              <w:keepNext/>
              <w:keepLines/>
            </w:pPr>
            <w:r w:rsidRPr="000269A7">
              <w:t>na</w:t>
            </w:r>
          </w:p>
        </w:tc>
        <w:tc>
          <w:tcPr>
            <w:tcW w:w="1260" w:type="dxa"/>
          </w:tcPr>
          <w:p w14:paraId="2EE57D8F" w14:textId="4F12ACA8" w:rsidR="000941E5" w:rsidRDefault="000941E5" w:rsidP="000941E5">
            <w:pPr>
              <w:pStyle w:val="TableText"/>
              <w:keepNext/>
              <w:keepLines/>
            </w:pPr>
            <w:r w:rsidRPr="000269A7">
              <w:t>na</w:t>
            </w:r>
          </w:p>
        </w:tc>
        <w:tc>
          <w:tcPr>
            <w:tcW w:w="723" w:type="dxa"/>
          </w:tcPr>
          <w:p w14:paraId="350EB236" w14:textId="50566D5F" w:rsidR="000941E5" w:rsidRDefault="000941E5" w:rsidP="000941E5">
            <w:pPr>
              <w:pStyle w:val="TableTextRight"/>
              <w:keepNext/>
              <w:keepLines/>
            </w:pPr>
            <w:r w:rsidRPr="000269A7">
              <w:t>na</w:t>
            </w:r>
          </w:p>
        </w:tc>
        <w:tc>
          <w:tcPr>
            <w:tcW w:w="1260" w:type="dxa"/>
          </w:tcPr>
          <w:p w14:paraId="0FD7A49A" w14:textId="77777777" w:rsidR="000941E5" w:rsidRDefault="000941E5" w:rsidP="000941E5">
            <w:pPr>
              <w:pStyle w:val="TableText"/>
              <w:keepNext/>
              <w:keepLines/>
            </w:pPr>
            <w:r>
              <w:t>Jamison Sst</w:t>
            </w:r>
          </w:p>
        </w:tc>
        <w:tc>
          <w:tcPr>
            <w:tcW w:w="2706" w:type="dxa"/>
          </w:tcPr>
          <w:p w14:paraId="5ED25965" w14:textId="77777777" w:rsidR="000941E5" w:rsidRDefault="000941E5" w:rsidP="000941E5">
            <w:pPr>
              <w:pStyle w:val="TableText"/>
              <w:keepNext/>
              <w:keepLines/>
            </w:pPr>
            <w:r>
              <w:t>Influxes of small volumes of formation water from basal parts of Jamison sandstone</w:t>
            </w:r>
          </w:p>
        </w:tc>
      </w:tr>
    </w:tbl>
    <w:bookmarkEnd w:id="432"/>
    <w:p w14:paraId="45206121" w14:textId="51EB64EB" w:rsidR="00EA3C12" w:rsidRDefault="00EA3C12" w:rsidP="00AD36B8">
      <w:pPr>
        <w:pStyle w:val="SourceornoteforTableorFigure"/>
        <w:keepNext/>
        <w:keepLines/>
      </w:pPr>
      <w:r>
        <w:t xml:space="preserve">1 barrel = 159 litres </w:t>
      </w:r>
      <w:r>
        <w:br/>
      </w:r>
      <w:r w:rsidR="000941E5">
        <w:t xml:space="preserve">na = not applicable; </w:t>
      </w:r>
      <w:r>
        <w:t>Sst = Sandstone</w:t>
      </w:r>
      <w:r w:rsidR="00667CED">
        <w:br/>
      </w:r>
      <w:r w:rsidR="00667CED" w:rsidRPr="00E34A4C">
        <w:t xml:space="preserve">Whether an inflow to a petroleum well occurs </w:t>
      </w:r>
      <w:r w:rsidR="00667CED">
        <w:t xml:space="preserve">or not </w:t>
      </w:r>
      <w:r w:rsidR="00667CED" w:rsidRPr="00E34A4C">
        <w:t>is in part dependent on drilling method and condition of the hole at time of drilling. For instance, in a well where no inflow</w:t>
      </w:r>
      <w:r w:rsidR="00667CED">
        <w:t>s</w:t>
      </w:r>
      <w:r w:rsidR="00667CED" w:rsidRPr="00E34A4C">
        <w:t xml:space="preserve"> </w:t>
      </w:r>
      <w:r w:rsidR="00667CED">
        <w:t>are</w:t>
      </w:r>
      <w:r w:rsidR="00667CED" w:rsidRPr="00E34A4C">
        <w:t xml:space="preserve"> recorded, the drilling mud densit</w:t>
      </w:r>
      <w:r w:rsidR="00667CED">
        <w:t>y</w:t>
      </w:r>
      <w:r w:rsidR="00667CED" w:rsidRPr="00E34A4C">
        <w:t xml:space="preserve"> </w:t>
      </w:r>
      <w:r w:rsidR="00B4647B">
        <w:t>could</w:t>
      </w:r>
      <w:r w:rsidR="00667CED" w:rsidRPr="00E34A4C">
        <w:t xml:space="preserve"> have been </w:t>
      </w:r>
      <w:r w:rsidR="00667CED">
        <w:t>have been high enough to</w:t>
      </w:r>
      <w:r w:rsidR="00667CED" w:rsidRPr="00E34A4C">
        <w:t xml:space="preserve"> impede</w:t>
      </w:r>
      <w:r w:rsidR="00667CED">
        <w:t xml:space="preserve"> inflows</w:t>
      </w:r>
      <w:r w:rsidR="00667CED" w:rsidRPr="00E34A4C">
        <w:t xml:space="preserve">, or alternatively the formation </w:t>
      </w:r>
      <w:r w:rsidR="00667CED">
        <w:t xml:space="preserve">was naturally </w:t>
      </w:r>
      <w:r w:rsidR="00667CED" w:rsidRPr="00E34A4C">
        <w:t xml:space="preserve">tight with low permeability, </w:t>
      </w:r>
      <w:r w:rsidR="00667CED">
        <w:t xml:space="preserve">which </w:t>
      </w:r>
      <w:r w:rsidR="00667CED" w:rsidRPr="00E34A4C">
        <w:t>reduc</w:t>
      </w:r>
      <w:r w:rsidR="00667CED">
        <w:t>es</w:t>
      </w:r>
      <w:r w:rsidR="00667CED" w:rsidRPr="00E34A4C">
        <w:t xml:space="preserve"> the ability for groundwater to flow</w:t>
      </w:r>
      <w:r w:rsidR="00667CED">
        <w:t xml:space="preserve"> at a noticeable rate</w:t>
      </w:r>
      <w:r w:rsidR="00667CED" w:rsidRPr="00E34A4C">
        <w:t>.</w:t>
      </w:r>
      <w:r w:rsidR="00FE54F3">
        <w:br/>
        <w:t xml:space="preserve">Data: </w:t>
      </w:r>
      <w:r w:rsidR="00FE54F3">
        <w:fldChar w:fldCharType="begin"/>
      </w:r>
      <w:r w:rsidR="008F30E0">
        <w:instrText xml:space="preserve"> ADDIN EN.CITE &lt;EndNote&gt;&lt;Cite AuthorYear="1"&gt;&lt;Author&gt;Geological and Bioregional Assessment Program&lt;/Author&gt;&lt;Year&gt;2019&lt;/Year&gt;&lt;RecNum&gt;1003&lt;/RecNum&gt;&lt;DisplayText&gt;Geological and Bioregional Assessment Program (2019f)&lt;/DisplayText&gt;&lt;record&gt;&lt;rec-number&gt;1003&lt;/rec-number&gt;&lt;foreign-keys&gt;&lt;key app="EN" db-id="wdf9tzzdhw2saee559kv0vezt0wfsta0zedv" timestamp="1559184265"&gt;1003&lt;/key&gt;&lt;/foreign-keys&gt;&lt;ref-type name="Dataset"&gt;59&lt;/ref-type&gt;&lt;contributors&gt;&lt;authors&gt;&lt;author&gt;Geological and Bioregional Assessment Program,&lt;/author&gt;&lt;/authors&gt;&lt;/contributors&gt;&lt;titles&gt;&lt;title&gt;Beetaloo formation pressure and temperature data compiled from petroleum well completion reports&lt;/title&gt;&lt;/titles&gt;&lt;dates&gt;&lt;year&gt;2019&lt;/year&gt;&lt;/dates&gt;&lt;label&gt;65CF9145-483A-45E5-9349-CC66647731F1&lt;/label&gt;&lt;urls&gt;&lt;related-urls&gt;&lt;url&gt;&lt;style face="underline" font="default" size="100%"&gt;https://repo.bioregionalassessments.gov.au/metadata/65CF9145-483A-45E5-9349-CC66647731F1&lt;/style&gt;&lt;/url&gt;&lt;/related-urls&gt;&lt;/urls&gt;&lt;access-date&gt;08 March 2019&lt;/access-date&gt;&lt;/record&gt;&lt;/Cite&gt;&lt;/EndNote&gt;</w:instrText>
      </w:r>
      <w:r w:rsidR="00FE54F3">
        <w:fldChar w:fldCharType="separate"/>
      </w:r>
      <w:r w:rsidR="008F30E0">
        <w:rPr>
          <w:noProof/>
        </w:rPr>
        <w:t>Geological and Bioregional Assessment Program (2019f)</w:t>
      </w:r>
      <w:r w:rsidR="00FE54F3">
        <w:fldChar w:fldCharType="end"/>
      </w:r>
    </w:p>
    <w:p w14:paraId="11C0D8C7" w14:textId="25F2B1CF" w:rsidR="008A530E" w:rsidRDefault="004C65B2" w:rsidP="00CF40AD">
      <w:pPr>
        <w:pStyle w:val="Figures"/>
      </w:pPr>
      <w:r>
        <w:rPr>
          <w:noProof/>
        </w:rPr>
        <w:drawing>
          <wp:inline distT="0" distB="0" distL="0" distR="0" wp14:anchorId="1953018C" wp14:editId="71862A1D">
            <wp:extent cx="6115050" cy="6210298"/>
            <wp:effectExtent l="0" t="0" r="0" b="0"/>
            <wp:docPr id="1491529120" name="Picture 21" descr="T:\proj\ba2\Stage2\3_Beetaloo\MapsAndFigures\Figures\GBA-BEE-2-091_jamison_Buckalara_hydrodynamic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71">
                      <a:extLst>
                        <a:ext uri="{28A0092B-C50C-407E-A947-70E740481C1C}">
                          <a14:useLocalDpi xmlns:a14="http://schemas.microsoft.com/office/drawing/2010/main" val="0"/>
                        </a:ext>
                      </a:extLst>
                    </a:blip>
                    <a:stretch>
                      <a:fillRect/>
                    </a:stretch>
                  </pic:blipFill>
                  <pic:spPr>
                    <a:xfrm>
                      <a:off x="0" y="0"/>
                      <a:ext cx="6115050" cy="6210298"/>
                    </a:xfrm>
                    <a:prstGeom prst="rect">
                      <a:avLst/>
                    </a:prstGeom>
                  </pic:spPr>
                </pic:pic>
              </a:graphicData>
            </a:graphic>
          </wp:inline>
        </w:drawing>
      </w:r>
    </w:p>
    <w:p w14:paraId="3CD87E9F" w14:textId="74720B80" w:rsidR="00F853D4" w:rsidRDefault="00F853D4" w:rsidP="00F853D4">
      <w:pPr>
        <w:pStyle w:val="Caption"/>
      </w:pPr>
      <w:bookmarkStart w:id="433" w:name="_Ref10031338"/>
      <w:bookmarkStart w:id="434" w:name="_Toc38990468"/>
      <w:r>
        <w:t xml:space="preserve">Figure </w:t>
      </w:r>
      <w:r w:rsidRPr="0003138A">
        <w:fldChar w:fldCharType="begin"/>
      </w:r>
      <w:r>
        <w:rPr>
          <w:noProof/>
        </w:rPr>
        <w:instrText xml:space="preserve"> SEQ Figure \* ARABIC </w:instrText>
      </w:r>
      <w:r w:rsidRPr="0003138A">
        <w:rPr>
          <w:noProof/>
        </w:rPr>
        <w:fldChar w:fldCharType="separate"/>
      </w:r>
      <w:r w:rsidR="00B177F5">
        <w:rPr>
          <w:noProof/>
        </w:rPr>
        <w:t>14</w:t>
      </w:r>
      <w:r w:rsidRPr="0003138A">
        <w:fldChar w:fldCharType="end"/>
      </w:r>
      <w:bookmarkEnd w:id="433"/>
      <w:r w:rsidRPr="1C8FA629">
        <w:t xml:space="preserve"> </w:t>
      </w:r>
      <w:r>
        <w:t>Groundwater inflows to petroleum wells from Jamison and Bukalara sandstones</w:t>
      </w:r>
      <w:r w:rsidR="000C671D">
        <w:t>,</w:t>
      </w:r>
      <w:r>
        <w:t xml:space="preserve"> and calculated hydraulic head levels derived from </w:t>
      </w:r>
      <w:r w:rsidR="000371D5">
        <w:t>drill stem test</w:t>
      </w:r>
      <w:r>
        <w:t xml:space="preserve"> pressure data</w:t>
      </w:r>
      <w:bookmarkEnd w:id="434"/>
    </w:p>
    <w:p w14:paraId="21F25E28" w14:textId="364BBA9B" w:rsidR="00A15FBC" w:rsidRPr="00C7607F" w:rsidRDefault="2777F559" w:rsidP="00A15FBC">
      <w:pPr>
        <w:pStyle w:val="SourceornoteforTableorFigure"/>
      </w:pPr>
      <w:r>
        <w:t>Whether an inflow to a petroleum well occurs is in part dependent on drilling method and condition of the hole at time of drilling. For instance, in a well where no inflow was recorded, the drilling mud densities could have been such that any inflows are impeded, or alternatively the formation could be naturally tight with low permeability, reducing the ability for groundwater to flow.</w:t>
      </w:r>
      <w:r w:rsidR="000371D5">
        <w:br/>
      </w:r>
      <w:r w:rsidR="00A15FBC" w:rsidRPr="00E34A4C">
        <w:t xml:space="preserve">Data: </w:t>
      </w:r>
      <w:r w:rsidR="000371D5">
        <w:t>g</w:t>
      </w:r>
      <w:r w:rsidR="00A15FBC" w:rsidRPr="00CF40AD">
        <w:t xml:space="preserve">roundwater inflows </w:t>
      </w:r>
      <w:r w:rsidR="006B710B">
        <w:fldChar w:fldCharType="begin"/>
      </w:r>
      <w:r w:rsidR="008F30E0">
        <w:instrText xml:space="preserve"> ADDIN EN.CITE &lt;EndNote&gt;&lt;Cite&gt;&lt;Author&gt;Geological and Bioregional Assessment Program&lt;/Author&gt;&lt;Year&gt;2019&lt;/Year&gt;&lt;RecNum&gt;1003&lt;/RecNum&gt;&lt;DisplayText&gt;(Geological and Bioregional Assessment Program, 2019f)&lt;/DisplayText&gt;&lt;record&gt;&lt;rec-number&gt;1003&lt;/rec-number&gt;&lt;foreign-keys&gt;&lt;key app="EN" db-id="wdf9tzzdhw2saee559kv0vezt0wfsta0zedv" timestamp="1559184265"&gt;1003&lt;/key&gt;&lt;/foreign-keys&gt;&lt;ref-type name="Dataset"&gt;59&lt;/ref-type&gt;&lt;contributors&gt;&lt;authors&gt;&lt;author&gt;Geological and Bioregional Assessment Program,&lt;/author&gt;&lt;/authors&gt;&lt;/contributors&gt;&lt;titles&gt;&lt;title&gt;Beetaloo formation pressure and temperature data compiled from petroleum well completion reports&lt;/title&gt;&lt;/titles&gt;&lt;dates&gt;&lt;year&gt;2019&lt;/year&gt;&lt;/dates&gt;&lt;label&gt;65CF9145-483A-45E5-9349-CC66647731F1&lt;/label&gt;&lt;urls&gt;&lt;related-urls&gt;&lt;url&gt;&lt;style face="underline" font="default" size="100%"&gt;https://repo.bioregionalassessments.gov.au/metadata/65CF9145-483A-45E5-9349-CC66647731F1&lt;/style&gt;&lt;/url&gt;&lt;/related-urls&gt;&lt;/urls&gt;&lt;access-date&gt;08 March 2019&lt;/access-date&gt;&lt;/record&gt;&lt;/Cite&gt;&lt;/EndNote&gt;</w:instrText>
      </w:r>
      <w:r w:rsidR="006B710B">
        <w:fldChar w:fldCharType="separate"/>
      </w:r>
      <w:r w:rsidR="008F30E0">
        <w:rPr>
          <w:noProof/>
        </w:rPr>
        <w:t>(Geological and Bioregional Assessment Program, 2019f)</w:t>
      </w:r>
      <w:r w:rsidR="006B710B">
        <w:fldChar w:fldCharType="end"/>
      </w:r>
      <w:r w:rsidR="00C56524">
        <w:t>;</w:t>
      </w:r>
      <w:r w:rsidR="00EB21B1">
        <w:t xml:space="preserve"> </w:t>
      </w:r>
      <w:r w:rsidR="00EB21B1" w:rsidRPr="000B7B82">
        <w:t xml:space="preserve">Kalkarindji Suite Volcanics extent </w:t>
      </w:r>
      <w:r w:rsidR="00EB21B1" w:rsidRPr="000B7B82">
        <w:fldChar w:fldCharType="begin"/>
      </w:r>
      <w:r w:rsidR="00867932">
        <w:instrText xml:space="preserve"> ADDIN EN.CITE &lt;EndNote&gt;&lt;Cite&gt;&lt;Author&gt;Frogtech Geoscience&lt;/Author&gt;&lt;Year&gt;2018&lt;/Year&gt;&lt;RecNum&gt;952&lt;/RecNum&gt;&lt;DisplayText&gt;(Frogtech Geoscience, 2018b)&lt;/DisplayText&gt;&lt;record&gt;&lt;rec-number&gt;952&lt;/rec-number&gt;&lt;foreign-keys&gt;&lt;key app="EN" db-id="wdf9tzzdhw2saee559kv0vezt0wfsta0zedv" timestamp="1557990658"&gt;952&lt;/key&gt;&lt;/foreign-keys&gt;&lt;ref-type name="Dataset"&gt;59&lt;/ref-type&gt;&lt;contributors&gt;&lt;authors&gt;&lt;author&gt;Frogtech Geoscience,&lt;/author&gt;&lt;/authors&gt;&lt;/contributors&gt;&lt;titles&gt;&lt;title&gt;SEEBASE® study and GIS for greater McArthur Basin: Supplementary Data. Northern Territory Geological Survey, Digital Information Package DIP 018&lt;/title&gt;&lt;/titles&gt;&lt;pages&gt;3&lt;/pages&gt;&lt;dates&gt;&lt;year&gt;2018&lt;/year&gt;&lt;/dates&gt;&lt;pub-location&gt;Darwin&lt;/pub-location&gt;&lt;publisher&gt;Northern Territory Geological Survey&lt;/publisher&gt;&lt;label&gt;EC6D7486-30C9-4D19-92C6-57879C00A363&lt;/label&gt;&lt;urls&gt;&lt;related-urls&gt;&lt;url&gt;https://geoscience.nt.gov.au/gemis/ntgsjspui/handle/1/87062&lt;/url&gt;&lt;/related-urls&gt;&lt;/urls&gt;&lt;access-date&gt;18 February 2019&lt;/access-date&gt;&lt;/record&gt;&lt;/Cite&gt;&lt;/EndNote&gt;</w:instrText>
      </w:r>
      <w:r w:rsidR="00EB21B1" w:rsidRPr="000B7B82">
        <w:fldChar w:fldCharType="separate"/>
      </w:r>
      <w:r w:rsidR="00867932">
        <w:rPr>
          <w:noProof/>
        </w:rPr>
        <w:t>(Frogtech Geoscience, 2018b)</w:t>
      </w:r>
      <w:r w:rsidR="00EB21B1" w:rsidRPr="000B7B82">
        <w:fldChar w:fldCharType="end"/>
      </w:r>
      <w:r w:rsidR="00A15FBC">
        <w:br/>
      </w:r>
      <w:r w:rsidR="00A15FBC" w:rsidRPr="00E34A4C">
        <w:t>Element: GBA-BEE-2-0</w:t>
      </w:r>
      <w:r w:rsidR="00A15FBC">
        <w:t>91</w:t>
      </w:r>
    </w:p>
    <w:p w14:paraId="057F64EB" w14:textId="38928D28" w:rsidR="00470EDF" w:rsidRDefault="00470EDF" w:rsidP="00C00F6D">
      <w:pPr>
        <w:pStyle w:val="Heading4"/>
      </w:pPr>
      <w:bookmarkStart w:id="435" w:name="_Ref5108327"/>
      <w:r>
        <w:t>Kalkarindji Province</w:t>
      </w:r>
      <w:r w:rsidR="000371D5">
        <w:t xml:space="preserve"> and</w:t>
      </w:r>
      <w:r>
        <w:t xml:space="preserve"> Georgina, Daly and Wiso basins</w:t>
      </w:r>
      <w:bookmarkEnd w:id="435"/>
    </w:p>
    <w:p w14:paraId="33B5EF1F" w14:textId="16424234" w:rsidR="00C418BB" w:rsidRDefault="00C418BB" w:rsidP="00C00F6D">
      <w:pPr>
        <w:pStyle w:val="Heading5"/>
      </w:pPr>
      <w:r>
        <w:t xml:space="preserve">Antrim </w:t>
      </w:r>
      <w:r w:rsidR="00D66B08">
        <w:t>Plateau V</w:t>
      </w:r>
      <w:r>
        <w:t>olcanics</w:t>
      </w:r>
    </w:p>
    <w:p w14:paraId="41A27454" w14:textId="5902127F" w:rsidR="006A1EE6" w:rsidRDefault="006A1EE6" w:rsidP="00C00F6D">
      <w:pPr>
        <w:pStyle w:val="BodyText"/>
      </w:pPr>
      <w:r>
        <w:t xml:space="preserve">The Antrim Plateau Volcanics is utilised as a water supply in the Beetaloo GBA region, where insufficient groundwater </w:t>
      </w:r>
      <w:r w:rsidR="00066A2F">
        <w:t xml:space="preserve">is </w:t>
      </w:r>
      <w:r w:rsidR="007265CC">
        <w:t>available</w:t>
      </w:r>
      <w:r>
        <w:t xml:space="preserve"> from the </w:t>
      </w:r>
      <w:r w:rsidR="000371D5">
        <w:t>CLA</w:t>
      </w:r>
      <w:r w:rsidR="00066A2F">
        <w:t xml:space="preserve"> or the aquifer is unsaturated (see Section </w:t>
      </w:r>
      <w:r w:rsidR="00066A2F">
        <w:fldChar w:fldCharType="begin"/>
      </w:r>
      <w:r w:rsidR="00066A2F">
        <w:instrText xml:space="preserve"> REF _Ref5187386 \r \h </w:instrText>
      </w:r>
      <w:r w:rsidR="00066A2F">
        <w:fldChar w:fldCharType="separate"/>
      </w:r>
      <w:r w:rsidR="00B177F5">
        <w:t>3.2.3.2</w:t>
      </w:r>
      <w:r w:rsidR="00066A2F">
        <w:fldChar w:fldCharType="end"/>
      </w:r>
      <w:r w:rsidR="00066A2F">
        <w:t xml:space="preserve"> and </w:t>
      </w:r>
      <w:r w:rsidR="00066A2F">
        <w:fldChar w:fldCharType="begin"/>
      </w:r>
      <w:r w:rsidR="00066A2F">
        <w:instrText xml:space="preserve"> REF _Ref1137606 \h </w:instrText>
      </w:r>
      <w:r w:rsidR="00066A2F">
        <w:fldChar w:fldCharType="separate"/>
      </w:r>
      <w:r w:rsidR="00B177F5">
        <w:t xml:space="preserve">Figure </w:t>
      </w:r>
      <w:r w:rsidR="00B177F5">
        <w:rPr>
          <w:noProof/>
        </w:rPr>
        <w:t>16</w:t>
      </w:r>
      <w:r w:rsidR="00066A2F">
        <w:fldChar w:fldCharType="end"/>
      </w:r>
      <w:r w:rsidR="00066A2F">
        <w:t>)</w:t>
      </w:r>
      <w:r>
        <w:t xml:space="preserve">. </w:t>
      </w:r>
      <w:r w:rsidR="00BC178D">
        <w:t xml:space="preserve">This is </w:t>
      </w:r>
      <w:bookmarkStart w:id="436" w:name="_Hlk37767033"/>
      <w:r w:rsidR="00BC178D">
        <w:t xml:space="preserve">primarily the case in </w:t>
      </w:r>
      <w:r w:rsidR="007265CC">
        <w:t xml:space="preserve">the </w:t>
      </w:r>
      <w:r w:rsidR="00BC178D">
        <w:t>north-western part of the Beetaloo GBA region</w:t>
      </w:r>
      <w:bookmarkEnd w:id="436"/>
      <w:r w:rsidR="007265CC">
        <w:t xml:space="preserve"> (</w:t>
      </w:r>
      <w:r w:rsidR="007265CC">
        <w:fldChar w:fldCharType="begin"/>
      </w:r>
      <w:r w:rsidR="007265CC">
        <w:instrText xml:space="preserve"> REF _Ref10035956 \h </w:instrText>
      </w:r>
      <w:r w:rsidR="007265CC">
        <w:fldChar w:fldCharType="separate"/>
      </w:r>
      <w:r w:rsidR="00B177F5">
        <w:t xml:space="preserve">Figure </w:t>
      </w:r>
      <w:r w:rsidR="00B177F5">
        <w:rPr>
          <w:noProof/>
        </w:rPr>
        <w:t>15</w:t>
      </w:r>
      <w:r w:rsidR="007265CC">
        <w:fldChar w:fldCharType="end"/>
      </w:r>
      <w:r w:rsidR="00066A2F">
        <w:t xml:space="preserve">, </w:t>
      </w:r>
      <w:r w:rsidR="00066A2F">
        <w:fldChar w:fldCharType="begin"/>
      </w:r>
      <w:r w:rsidR="00066A2F">
        <w:instrText xml:space="preserve"> REF _Ref1137606 \h </w:instrText>
      </w:r>
      <w:r w:rsidR="00066A2F">
        <w:fldChar w:fldCharType="separate"/>
      </w:r>
      <w:r w:rsidR="00B177F5">
        <w:t xml:space="preserve">Figure </w:t>
      </w:r>
      <w:r w:rsidR="00B177F5">
        <w:rPr>
          <w:noProof/>
        </w:rPr>
        <w:t>16</w:t>
      </w:r>
      <w:r w:rsidR="00066A2F">
        <w:fldChar w:fldCharType="end"/>
      </w:r>
      <w:r w:rsidR="007265CC">
        <w:t>)</w:t>
      </w:r>
      <w:r w:rsidR="00BC178D">
        <w:t xml:space="preserve">. </w:t>
      </w:r>
      <w:r>
        <w:t xml:space="preserve">Water quality </w:t>
      </w:r>
      <w:r w:rsidR="00BC178D">
        <w:t>information</w:t>
      </w:r>
      <w:r w:rsidDel="007265CC">
        <w:t xml:space="preserve"> </w:t>
      </w:r>
      <w:r>
        <w:t xml:space="preserve">for Antrim Plateau Volcanics </w:t>
      </w:r>
      <w:r w:rsidR="007265CC">
        <w:t>is</w:t>
      </w:r>
      <w:r>
        <w:t xml:space="preserve"> detailed in Section </w:t>
      </w:r>
      <w:r>
        <w:fldChar w:fldCharType="begin"/>
      </w:r>
      <w:r>
        <w:instrText xml:space="preserve"> REF _Ref944981 \r \h </w:instrText>
      </w:r>
      <w:r>
        <w:fldChar w:fldCharType="separate"/>
      </w:r>
      <w:r w:rsidR="00B177F5">
        <w:t>3.3.4</w:t>
      </w:r>
      <w:r>
        <w:fldChar w:fldCharType="end"/>
      </w:r>
      <w:r>
        <w:t xml:space="preserve"> and </w:t>
      </w:r>
      <w:r>
        <w:fldChar w:fldCharType="begin"/>
      </w:r>
      <w:r>
        <w:instrText xml:space="preserve"> REF _Ref536019117 \h </w:instrText>
      </w:r>
      <w:r>
        <w:fldChar w:fldCharType="separate"/>
      </w:r>
      <w:r w:rsidR="00B177F5" w:rsidRPr="00ED145E">
        <w:t xml:space="preserve">Figure </w:t>
      </w:r>
      <w:r w:rsidR="00B177F5">
        <w:rPr>
          <w:noProof/>
        </w:rPr>
        <w:t>36</w:t>
      </w:r>
      <w:r>
        <w:fldChar w:fldCharType="end"/>
      </w:r>
      <w:r>
        <w:t xml:space="preserve">. </w:t>
      </w:r>
      <w:r w:rsidR="00BE680B">
        <w:fldChar w:fldCharType="begin"/>
      </w:r>
      <w:r w:rsidR="008F30E0">
        <w:instrText xml:space="preserve"> ADDIN EN.CITE &lt;EndNote&gt;&lt;Cite AuthorYear="1"&gt;&lt;Author&gt;Fulton&lt;/Author&gt;&lt;Year&gt;2015&lt;/Year&gt;&lt;RecNum&gt;671&lt;/RecNum&gt;&lt;DisplayText&gt;Fulton and Knapton (2015b)&lt;/DisplayText&gt;&lt;record&gt;&lt;rec-number&gt;671&lt;/rec-number&gt;&lt;foreign-keys&gt;&lt;key app="EN" db-id="wdf9tzzdhw2saee559kv0vezt0wfsta0zedv" timestamp="1545264407"&gt;671&lt;/key&gt;&lt;key app="ENWeb" db-id=""&gt;0&lt;/key&gt;&lt;/foreign-keys&gt;&lt;ref-type name="Report"&gt;27&lt;/ref-type&gt;&lt;contributors&gt;&lt;authors&gt;&lt;author&gt;Fulton, S.&lt;/author&gt;&lt;author&gt;Knapton, A.&lt;/author&gt;&lt;/authors&gt;&lt;/contributors&gt;&lt;titles&gt;&lt;title&gt;Beetaloo Basin hydrogeological assessment. Cloud GMS&lt;/title&gt;&lt;/titles&gt;&lt;pages&gt;70&lt;/pages&gt;&lt;dates&gt;&lt;year&gt;2015&lt;/year&gt;&lt;pub-dates&gt;&lt;date&gt;February 2015&lt;/date&gt;&lt;/pub-dates&gt;&lt;/dates&gt;&lt;publisher&gt;Origin Energy Report 1 for Fracking Enquiry NT&lt;/publisher&gt;&lt;urls&gt;&lt;related-urls&gt;&lt;url&gt;https://frackinginquiry.nt.gov.au/?a=410609&lt;/url&gt;&lt;/related-urls&gt;&lt;/urls&gt;&lt;access-date&gt;28 November 2019&lt;/access-date&gt;&lt;/record&gt;&lt;/Cite&gt;&lt;/EndNote&gt;</w:instrText>
      </w:r>
      <w:r w:rsidR="00BE680B">
        <w:fldChar w:fldCharType="separate"/>
      </w:r>
      <w:r w:rsidR="008F30E0">
        <w:rPr>
          <w:noProof/>
        </w:rPr>
        <w:t>Fulton and Knapton (2015b)</w:t>
      </w:r>
      <w:r w:rsidR="00BE680B">
        <w:fldChar w:fldCharType="end"/>
      </w:r>
      <w:r w:rsidR="007265CC">
        <w:t xml:space="preserve"> found that w</w:t>
      </w:r>
      <w:r w:rsidR="00C418BB">
        <w:t xml:space="preserve">ater bore completion depths </w:t>
      </w:r>
      <w:r w:rsidR="00D66B08">
        <w:t xml:space="preserve">in this unit </w:t>
      </w:r>
      <w:r w:rsidR="00C418BB">
        <w:t>range from 61</w:t>
      </w:r>
      <w:r w:rsidR="000371D5">
        <w:t xml:space="preserve"> to </w:t>
      </w:r>
      <w:r w:rsidR="00C418BB">
        <w:t xml:space="preserve">240 </w:t>
      </w:r>
      <w:r w:rsidR="00D50A79">
        <w:t>mBGL</w:t>
      </w:r>
      <w:r w:rsidR="00C418BB">
        <w:t xml:space="preserve"> (average 115 </w:t>
      </w:r>
      <w:r w:rsidR="00D50A79">
        <w:t>mBGL</w:t>
      </w:r>
      <w:r w:rsidR="00C418BB">
        <w:t>) and bore yields are estimated at between 0.3</w:t>
      </w:r>
      <w:r w:rsidR="000371D5">
        <w:t xml:space="preserve"> to </w:t>
      </w:r>
      <w:r w:rsidR="00C418BB">
        <w:t xml:space="preserve">5 </w:t>
      </w:r>
      <w:r w:rsidR="00C418BB" w:rsidDel="006B739D">
        <w:t>L/</w:t>
      </w:r>
      <w:r w:rsidR="006B739D">
        <w:t xml:space="preserve">second </w:t>
      </w:r>
      <w:r w:rsidR="00C418BB">
        <w:t>(average 1.5 L/s</w:t>
      </w:r>
      <w:r w:rsidR="000371D5">
        <w:t>econd</w:t>
      </w:r>
      <w:r w:rsidR="00C418BB">
        <w:t>). Groundwater levels in the basalt aquifer range from 14</w:t>
      </w:r>
      <w:r w:rsidR="000371D5">
        <w:t xml:space="preserve"> to </w:t>
      </w:r>
      <w:r w:rsidR="00C418BB">
        <w:t xml:space="preserve">89 </w:t>
      </w:r>
      <w:r w:rsidR="00C418BB" w:rsidDel="00D50A79">
        <w:t>m</w:t>
      </w:r>
      <w:r w:rsidR="000371D5">
        <w:t xml:space="preserve">BGL </w:t>
      </w:r>
      <w:r w:rsidR="00C418BB">
        <w:t xml:space="preserve">(average 59 </w:t>
      </w:r>
      <w:r w:rsidR="00D50A79">
        <w:t>mBGL</w:t>
      </w:r>
      <w:r w:rsidR="007265CC">
        <w:t>)</w:t>
      </w:r>
      <w:r w:rsidR="00C418BB">
        <w:t>.</w:t>
      </w:r>
      <w:r w:rsidR="00E07870" w:rsidRPr="00E07870">
        <w:t xml:space="preserve"> </w:t>
      </w:r>
    </w:p>
    <w:p w14:paraId="399F1CEB" w14:textId="1EAE23EB" w:rsidR="00A82743" w:rsidRDefault="00A82743" w:rsidP="00C00F6D">
      <w:pPr>
        <w:pStyle w:val="BodyText"/>
      </w:pPr>
      <w:r>
        <w:t xml:space="preserve">Some isolated inflows to </w:t>
      </w:r>
      <w:r w:rsidR="00BB6D37">
        <w:t>p</w:t>
      </w:r>
      <w:r>
        <w:t>etroleum wells</w:t>
      </w:r>
      <w:r w:rsidR="00EC49E8">
        <w:t xml:space="preserve"> (</w:t>
      </w:r>
      <w:r w:rsidR="00EC49E8">
        <w:fldChar w:fldCharType="begin"/>
      </w:r>
      <w:r w:rsidR="00EC49E8">
        <w:instrText xml:space="preserve"> REF _Ref4058475 \h </w:instrText>
      </w:r>
      <w:r w:rsidR="00EC49E8">
        <w:fldChar w:fldCharType="separate"/>
      </w:r>
      <w:r w:rsidR="00B177F5">
        <w:t xml:space="preserve">Table </w:t>
      </w:r>
      <w:r w:rsidR="00B177F5">
        <w:rPr>
          <w:noProof/>
        </w:rPr>
        <w:t>4</w:t>
      </w:r>
      <w:r w:rsidR="00EC49E8">
        <w:fldChar w:fldCharType="end"/>
      </w:r>
      <w:r w:rsidR="00A06196">
        <w:t xml:space="preserve">, </w:t>
      </w:r>
      <w:r w:rsidR="00A06196">
        <w:fldChar w:fldCharType="begin"/>
      </w:r>
      <w:r w:rsidR="00A06196">
        <w:instrText xml:space="preserve"> REF _Ref4421356 \h </w:instrText>
      </w:r>
      <w:r w:rsidR="00A06196">
        <w:fldChar w:fldCharType="separate"/>
      </w:r>
      <w:r w:rsidR="00B177F5">
        <w:t xml:space="preserve">Figure </w:t>
      </w:r>
      <w:r w:rsidR="00B177F5">
        <w:rPr>
          <w:noProof/>
        </w:rPr>
        <w:t>15</w:t>
      </w:r>
      <w:r w:rsidR="00A06196">
        <w:fldChar w:fldCharType="end"/>
      </w:r>
      <w:r>
        <w:t xml:space="preserve">) are reported </w:t>
      </w:r>
      <w:r w:rsidR="007265CC">
        <w:t xml:space="preserve">from </w:t>
      </w:r>
      <w:r>
        <w:t xml:space="preserve">well completion reports, including intersection of 1.5 m deep cavity at </w:t>
      </w:r>
      <w:r w:rsidR="00D66B08">
        <w:t xml:space="preserve">the </w:t>
      </w:r>
      <w:r>
        <w:t xml:space="preserve">base of the </w:t>
      </w:r>
      <w:r w:rsidR="00D66B08">
        <w:t>volcanics where inflow of 28</w:t>
      </w:r>
      <w:r w:rsidR="00CF643D">
        <w:t> </w:t>
      </w:r>
      <w:r w:rsidR="00D66B08" w:rsidDel="006B739D">
        <w:t>L</w:t>
      </w:r>
      <w:r w:rsidDel="006B739D">
        <w:t>/</w:t>
      </w:r>
      <w:r w:rsidR="006B739D">
        <w:t>second</w:t>
      </w:r>
      <w:r w:rsidR="00D66B08">
        <w:t xml:space="preserve"> was recorded</w:t>
      </w:r>
      <w:r>
        <w:t xml:space="preserve">. </w:t>
      </w:r>
    </w:p>
    <w:p w14:paraId="798C0E34" w14:textId="418FFD65" w:rsidR="007D3004" w:rsidRPr="00FE028C" w:rsidRDefault="001475FE" w:rsidP="00FE028C">
      <w:pPr>
        <w:pStyle w:val="BodyText"/>
      </w:pPr>
      <w:r w:rsidRPr="001475FE">
        <w:t>In parts of the Beetaloo GBA region where the Antrim Plateau Volcanics do not underlie the CLA (</w:t>
      </w:r>
      <w:r w:rsidR="00A14450">
        <w:fldChar w:fldCharType="begin"/>
      </w:r>
      <w:r w:rsidR="00A14450">
        <w:instrText xml:space="preserve"> REF _Ref4421356 \h </w:instrText>
      </w:r>
      <w:r w:rsidR="00A14450">
        <w:fldChar w:fldCharType="separate"/>
      </w:r>
      <w:r w:rsidR="00B177F5">
        <w:t xml:space="preserve">Figure </w:t>
      </w:r>
      <w:r w:rsidR="00B177F5">
        <w:rPr>
          <w:noProof/>
        </w:rPr>
        <w:t>15</w:t>
      </w:r>
      <w:r w:rsidR="00A14450">
        <w:fldChar w:fldCharType="end"/>
      </w:r>
      <w:r w:rsidRPr="001475FE">
        <w:t xml:space="preserve">) there is potential for leakage between the CLA and the underlying Bukalara Sandstone aquifer, </w:t>
      </w:r>
      <w:r w:rsidR="00A76A99">
        <w:t>s</w:t>
      </w:r>
      <w:r w:rsidR="00A76A99" w:rsidRPr="00A76A99">
        <w:t xml:space="preserve">imilar potential for leakage between the CLA and Roper Group </w:t>
      </w:r>
      <w:r w:rsidR="00C97CF0">
        <w:t>exists</w:t>
      </w:r>
      <w:r w:rsidR="00C97CF0" w:rsidRPr="00A76A99">
        <w:t xml:space="preserve"> </w:t>
      </w:r>
      <w:r w:rsidR="00A76A99" w:rsidRPr="00A76A99">
        <w:t>in discrete areas near the margins of the Beetaloo GBA region, where the Hayfield mudstone and Jamison sandstone are absent or thin towards the sub-basin’s margin</w:t>
      </w:r>
      <w:r w:rsidRPr="001475FE">
        <w:t xml:space="preserve">. </w:t>
      </w:r>
      <w:r w:rsidR="007D3004" w:rsidRPr="00FE028C">
        <w:t xml:space="preserve">Whether leakage between units </w:t>
      </w:r>
      <w:r w:rsidR="00B016D3" w:rsidRPr="00FE028C">
        <w:t xml:space="preserve">actually </w:t>
      </w:r>
      <w:r w:rsidR="007D3004" w:rsidRPr="00FE028C">
        <w:t>occurs is difficult to ascertain, with</w:t>
      </w:r>
      <w:r w:rsidR="00B016D3" w:rsidRPr="00FE028C">
        <w:t>out</w:t>
      </w:r>
      <w:r w:rsidR="007D3004" w:rsidRPr="00FE028C">
        <w:t xml:space="preserve"> pressure or hydraulic head data,</w:t>
      </w:r>
      <w:r w:rsidR="00B016D3" w:rsidRPr="00FE028C">
        <w:t xml:space="preserve"> or hydrochemistry from</w:t>
      </w:r>
      <w:r w:rsidR="007D3004" w:rsidRPr="00FE028C">
        <w:t xml:space="preserve"> aquifers below the </w:t>
      </w:r>
      <w:r w:rsidR="00B016D3" w:rsidRPr="00FE028C">
        <w:t xml:space="preserve">CLA, where the Antrim Plateau </w:t>
      </w:r>
      <w:r w:rsidR="002E6955" w:rsidRPr="00FE028C">
        <w:t>Volca</w:t>
      </w:r>
      <w:r w:rsidR="002E6955">
        <w:t>n</w:t>
      </w:r>
      <w:r w:rsidR="002E6955" w:rsidRPr="00FE028C">
        <w:t>ics</w:t>
      </w:r>
      <w:r w:rsidR="00B016D3" w:rsidRPr="00FE028C">
        <w:t xml:space="preserve"> are absent</w:t>
      </w:r>
      <w:r w:rsidR="007D3004" w:rsidRPr="00FE028C">
        <w:t>.</w:t>
      </w:r>
    </w:p>
    <w:p w14:paraId="168273F5" w14:textId="5589CC00" w:rsidR="005A4ADB" w:rsidRDefault="005A4ADB" w:rsidP="066F357C">
      <w:pPr>
        <w:pStyle w:val="Caption"/>
        <w:rPr>
          <w:noProof/>
        </w:rPr>
      </w:pPr>
      <w:bookmarkStart w:id="437" w:name="_Ref4058475"/>
      <w:bookmarkStart w:id="438" w:name="_Toc4072425"/>
      <w:bookmarkStart w:id="439" w:name="_Toc4670937"/>
      <w:bookmarkStart w:id="440" w:name="_Toc4754357"/>
      <w:bookmarkStart w:id="441" w:name="_Toc5020742"/>
      <w:bookmarkStart w:id="442" w:name="_Toc5021549"/>
      <w:bookmarkStart w:id="443" w:name="_Toc5097075"/>
      <w:bookmarkStart w:id="444" w:name="_Toc5108467"/>
      <w:bookmarkStart w:id="445" w:name="_Toc5284131"/>
      <w:bookmarkStart w:id="446" w:name="_Toc5635346"/>
      <w:bookmarkStart w:id="447" w:name="_Toc5808305"/>
      <w:bookmarkStart w:id="448" w:name="_Toc5894908"/>
      <w:bookmarkStart w:id="449" w:name="_Toc5894997"/>
      <w:bookmarkStart w:id="450" w:name="_Toc6308886"/>
      <w:bookmarkStart w:id="451" w:name="_Toc6327551"/>
      <w:bookmarkStart w:id="452" w:name="_Toc38990504"/>
      <w:bookmarkStart w:id="453" w:name="_Hlk35341220"/>
      <w:r>
        <w:t xml:space="preserve">Table </w:t>
      </w:r>
      <w:r w:rsidRPr="003C3A5C">
        <w:fldChar w:fldCharType="begin"/>
      </w:r>
      <w:r>
        <w:rPr>
          <w:noProof/>
        </w:rPr>
        <w:instrText xml:space="preserve"> SEQ Table \* ARABIC </w:instrText>
      </w:r>
      <w:r w:rsidRPr="003C3A5C">
        <w:rPr>
          <w:noProof/>
        </w:rPr>
        <w:fldChar w:fldCharType="separate"/>
      </w:r>
      <w:r w:rsidR="00B177F5">
        <w:rPr>
          <w:noProof/>
        </w:rPr>
        <w:t>4</w:t>
      </w:r>
      <w:r w:rsidRPr="003C3A5C">
        <w:fldChar w:fldCharType="end"/>
      </w:r>
      <w:bookmarkEnd w:id="437"/>
      <w:r>
        <w:rPr>
          <w:noProof/>
        </w:rPr>
        <w:t xml:space="preserve"> Water </w:t>
      </w:r>
      <w:r w:rsidR="00350D4F">
        <w:rPr>
          <w:noProof/>
        </w:rPr>
        <w:t>information</w:t>
      </w:r>
      <w:r>
        <w:rPr>
          <w:noProof/>
        </w:rPr>
        <w:t xml:space="preserve"> from </w:t>
      </w:r>
      <w:r w:rsidR="00BB6D37">
        <w:rPr>
          <w:noProof/>
        </w:rPr>
        <w:t>p</w:t>
      </w:r>
      <w:r>
        <w:rPr>
          <w:noProof/>
        </w:rPr>
        <w:t xml:space="preserve">etroleum wells </w:t>
      </w:r>
      <w:r w:rsidR="00350D4F">
        <w:rPr>
          <w:noProof/>
        </w:rPr>
        <w:t>for</w:t>
      </w:r>
      <w:r>
        <w:rPr>
          <w:noProof/>
        </w:rPr>
        <w:t xml:space="preserve"> the Antrim Plateau Volcanics</w:t>
      </w:r>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p>
    <w:tbl>
      <w:tblPr>
        <w:tblStyle w:val="TableBAHeaderRow"/>
        <w:tblW w:w="9639" w:type="dxa"/>
        <w:tblLayout w:type="fixed"/>
        <w:tblLook w:val="04A0" w:firstRow="1" w:lastRow="0" w:firstColumn="1" w:lastColumn="0" w:noHBand="0" w:noVBand="1"/>
      </w:tblPr>
      <w:tblGrid>
        <w:gridCol w:w="1251"/>
        <w:gridCol w:w="1251"/>
        <w:gridCol w:w="1251"/>
        <w:gridCol w:w="1251"/>
        <w:gridCol w:w="1251"/>
        <w:gridCol w:w="1251"/>
        <w:gridCol w:w="2133"/>
      </w:tblGrid>
      <w:tr w:rsidR="002970B6" w14:paraId="15019CEF" w14:textId="77777777" w:rsidTr="00AE6881">
        <w:trPr>
          <w:cnfStyle w:val="100000000000" w:firstRow="1" w:lastRow="0" w:firstColumn="0" w:lastColumn="0" w:oddVBand="0" w:evenVBand="0" w:oddHBand="0" w:evenHBand="0" w:firstRowFirstColumn="0" w:firstRowLastColumn="0" w:lastRowFirstColumn="0" w:lastRowLastColumn="0"/>
        </w:trPr>
        <w:tc>
          <w:tcPr>
            <w:tcW w:w="1251" w:type="dxa"/>
          </w:tcPr>
          <w:p w14:paraId="50DF137D" w14:textId="000533A6" w:rsidR="002970B6" w:rsidRDefault="00AD36B8" w:rsidP="00AE6881">
            <w:pPr>
              <w:pStyle w:val="TableText"/>
            </w:pPr>
            <w:r>
              <w:t>W</w:t>
            </w:r>
            <w:r w:rsidR="002970B6">
              <w:t>ell</w:t>
            </w:r>
          </w:p>
        </w:tc>
        <w:tc>
          <w:tcPr>
            <w:tcW w:w="1251" w:type="dxa"/>
          </w:tcPr>
          <w:p w14:paraId="18FB86AB" w14:textId="77777777" w:rsidR="002970B6" w:rsidRDefault="002970B6" w:rsidP="00F75ED1">
            <w:pPr>
              <w:pStyle w:val="TableTextCentred"/>
            </w:pPr>
            <w:r>
              <w:t>From</w:t>
            </w:r>
          </w:p>
          <w:p w14:paraId="046A02F3" w14:textId="77777777" w:rsidR="002970B6" w:rsidRDefault="002970B6" w:rsidP="00F75ED1">
            <w:pPr>
              <w:pStyle w:val="TableTextCentred"/>
            </w:pPr>
            <w:r>
              <w:t>(m)</w:t>
            </w:r>
          </w:p>
        </w:tc>
        <w:tc>
          <w:tcPr>
            <w:tcW w:w="1251" w:type="dxa"/>
          </w:tcPr>
          <w:p w14:paraId="71FFD9EC" w14:textId="5CAA6245" w:rsidR="002970B6" w:rsidRDefault="00AD36B8" w:rsidP="00F75ED1">
            <w:pPr>
              <w:pStyle w:val="TableTextCentred"/>
            </w:pPr>
            <w:r>
              <w:t>F</w:t>
            </w:r>
            <w:r w:rsidR="002970B6">
              <w:t>low</w:t>
            </w:r>
          </w:p>
        </w:tc>
        <w:tc>
          <w:tcPr>
            <w:tcW w:w="1251" w:type="dxa"/>
          </w:tcPr>
          <w:p w14:paraId="7F583508" w14:textId="77777777" w:rsidR="002970B6" w:rsidRDefault="002970B6" w:rsidP="00F75ED1">
            <w:pPr>
              <w:pStyle w:val="TableTextCentred"/>
            </w:pPr>
            <w:r>
              <w:t>Flow unit (as reported in WCR)</w:t>
            </w:r>
          </w:p>
        </w:tc>
        <w:tc>
          <w:tcPr>
            <w:tcW w:w="1251" w:type="dxa"/>
          </w:tcPr>
          <w:p w14:paraId="75F76F4F" w14:textId="77777777" w:rsidR="002970B6" w:rsidRDefault="002970B6" w:rsidP="00F75ED1">
            <w:pPr>
              <w:pStyle w:val="TableTextCentred"/>
            </w:pPr>
            <w:r>
              <w:t>Flow (L/second)</w:t>
            </w:r>
          </w:p>
        </w:tc>
        <w:tc>
          <w:tcPr>
            <w:tcW w:w="1251" w:type="dxa"/>
          </w:tcPr>
          <w:p w14:paraId="30763032" w14:textId="77777777" w:rsidR="002970B6" w:rsidRDefault="002970B6" w:rsidP="00AE6881">
            <w:pPr>
              <w:pStyle w:val="TableText"/>
            </w:pPr>
            <w:r>
              <w:t>Formation</w:t>
            </w:r>
          </w:p>
        </w:tc>
        <w:tc>
          <w:tcPr>
            <w:tcW w:w="2133" w:type="dxa"/>
          </w:tcPr>
          <w:p w14:paraId="4123C9CD" w14:textId="1DEA7E54" w:rsidR="002970B6" w:rsidRDefault="00AD36B8" w:rsidP="00AE6881">
            <w:pPr>
              <w:pStyle w:val="TableText"/>
            </w:pPr>
            <w:r>
              <w:t>C</w:t>
            </w:r>
            <w:r w:rsidR="002970B6">
              <w:t>omment</w:t>
            </w:r>
          </w:p>
        </w:tc>
      </w:tr>
      <w:tr w:rsidR="002970B6" w14:paraId="5E9CCB05" w14:textId="77777777" w:rsidTr="00AE6881">
        <w:trPr>
          <w:cnfStyle w:val="000000100000" w:firstRow="0" w:lastRow="0" w:firstColumn="0" w:lastColumn="0" w:oddVBand="0" w:evenVBand="0" w:oddHBand="1" w:evenHBand="0" w:firstRowFirstColumn="0" w:firstRowLastColumn="0" w:lastRowFirstColumn="0" w:lastRowLastColumn="0"/>
        </w:trPr>
        <w:tc>
          <w:tcPr>
            <w:tcW w:w="1251" w:type="dxa"/>
          </w:tcPr>
          <w:p w14:paraId="79EE4008" w14:textId="77777777" w:rsidR="002970B6" w:rsidRDefault="002970B6" w:rsidP="00AE6881">
            <w:pPr>
              <w:pStyle w:val="TableText"/>
            </w:pPr>
            <w:r w:rsidRPr="00046483">
              <w:rPr>
                <w:rFonts w:eastAsiaTheme="minorEastAsia"/>
              </w:rPr>
              <w:t>McManus 1</w:t>
            </w:r>
          </w:p>
        </w:tc>
        <w:tc>
          <w:tcPr>
            <w:tcW w:w="1251" w:type="dxa"/>
          </w:tcPr>
          <w:p w14:paraId="441B707C" w14:textId="77777777" w:rsidR="002970B6" w:rsidRDefault="002970B6" w:rsidP="00F75ED1">
            <w:pPr>
              <w:pStyle w:val="TableTextRight"/>
            </w:pPr>
            <w:r w:rsidRPr="00046483">
              <w:rPr>
                <w:rFonts w:eastAsiaTheme="minorEastAsia"/>
              </w:rPr>
              <w:t>227</w:t>
            </w:r>
          </w:p>
        </w:tc>
        <w:tc>
          <w:tcPr>
            <w:tcW w:w="1251" w:type="dxa"/>
          </w:tcPr>
          <w:p w14:paraId="6BB72F5E" w14:textId="77777777" w:rsidR="002970B6" w:rsidRDefault="002970B6" w:rsidP="00F75ED1">
            <w:pPr>
              <w:pStyle w:val="TableTextRight"/>
            </w:pPr>
          </w:p>
        </w:tc>
        <w:tc>
          <w:tcPr>
            <w:tcW w:w="1251" w:type="dxa"/>
          </w:tcPr>
          <w:p w14:paraId="6DA11FAF" w14:textId="77777777" w:rsidR="002970B6" w:rsidRDefault="002970B6" w:rsidP="00F75ED1">
            <w:pPr>
              <w:pStyle w:val="TableTextRight"/>
            </w:pPr>
          </w:p>
        </w:tc>
        <w:tc>
          <w:tcPr>
            <w:tcW w:w="1251" w:type="dxa"/>
          </w:tcPr>
          <w:p w14:paraId="59496433" w14:textId="77777777" w:rsidR="002970B6" w:rsidRDefault="002970B6" w:rsidP="00F75ED1">
            <w:pPr>
              <w:pStyle w:val="TableTextRight"/>
            </w:pPr>
          </w:p>
        </w:tc>
        <w:tc>
          <w:tcPr>
            <w:tcW w:w="1251" w:type="dxa"/>
          </w:tcPr>
          <w:p w14:paraId="6F95DA75" w14:textId="77777777" w:rsidR="002970B6" w:rsidRDefault="002970B6" w:rsidP="00AE6881">
            <w:pPr>
              <w:pStyle w:val="TableText"/>
            </w:pPr>
            <w:r w:rsidRPr="00046483">
              <w:rPr>
                <w:rFonts w:eastAsiaTheme="minorHAnsi"/>
              </w:rPr>
              <w:t xml:space="preserve">Antrim </w:t>
            </w:r>
            <w:r>
              <w:rPr>
                <w:rFonts w:eastAsiaTheme="minorHAnsi"/>
              </w:rPr>
              <w:t>Plateau V</w:t>
            </w:r>
            <w:r w:rsidRPr="00046483">
              <w:rPr>
                <w:rFonts w:eastAsiaTheme="minorHAnsi"/>
              </w:rPr>
              <w:t>olcanics</w:t>
            </w:r>
          </w:p>
        </w:tc>
        <w:tc>
          <w:tcPr>
            <w:tcW w:w="2133" w:type="dxa"/>
          </w:tcPr>
          <w:p w14:paraId="62EAA3DA" w14:textId="2E209F8B" w:rsidR="002970B6" w:rsidRDefault="002970B6" w:rsidP="00AE6881">
            <w:pPr>
              <w:pStyle w:val="TableText"/>
            </w:pPr>
            <w:r>
              <w:rPr>
                <w:rFonts w:eastAsiaTheme="minorEastAsia"/>
              </w:rPr>
              <w:t>St</w:t>
            </w:r>
            <w:r w:rsidRPr="00046483">
              <w:rPr>
                <w:rFonts w:eastAsiaTheme="minorEastAsia"/>
              </w:rPr>
              <w:t>rong water inflows</w:t>
            </w:r>
          </w:p>
        </w:tc>
      </w:tr>
      <w:tr w:rsidR="002970B6" w14:paraId="0885F96F" w14:textId="77777777" w:rsidTr="00AE6881">
        <w:trPr>
          <w:cnfStyle w:val="000000010000" w:firstRow="0" w:lastRow="0" w:firstColumn="0" w:lastColumn="0" w:oddVBand="0" w:evenVBand="0" w:oddHBand="0" w:evenHBand="1" w:firstRowFirstColumn="0" w:firstRowLastColumn="0" w:lastRowFirstColumn="0" w:lastRowLastColumn="0"/>
        </w:trPr>
        <w:tc>
          <w:tcPr>
            <w:tcW w:w="1251" w:type="dxa"/>
          </w:tcPr>
          <w:p w14:paraId="40255D14" w14:textId="77777777" w:rsidR="002970B6" w:rsidRDefault="002970B6" w:rsidP="00AE6881">
            <w:pPr>
              <w:pStyle w:val="TableText"/>
            </w:pPr>
            <w:r w:rsidRPr="00046483">
              <w:rPr>
                <w:rFonts w:eastAsiaTheme="minorEastAsia"/>
              </w:rPr>
              <w:t>Tarlee S3</w:t>
            </w:r>
          </w:p>
        </w:tc>
        <w:tc>
          <w:tcPr>
            <w:tcW w:w="1251" w:type="dxa"/>
          </w:tcPr>
          <w:p w14:paraId="74708F12" w14:textId="77777777" w:rsidR="002970B6" w:rsidRDefault="002970B6" w:rsidP="00F75ED1">
            <w:pPr>
              <w:pStyle w:val="TableTextRight"/>
            </w:pPr>
            <w:r w:rsidRPr="00046483">
              <w:rPr>
                <w:rFonts w:eastAsiaTheme="minorHAnsi"/>
              </w:rPr>
              <w:t>235</w:t>
            </w:r>
          </w:p>
        </w:tc>
        <w:tc>
          <w:tcPr>
            <w:tcW w:w="1251" w:type="dxa"/>
          </w:tcPr>
          <w:p w14:paraId="1D2D9855" w14:textId="77777777" w:rsidR="002970B6" w:rsidRDefault="002970B6" w:rsidP="00F75ED1">
            <w:pPr>
              <w:pStyle w:val="TableTextRight"/>
            </w:pPr>
          </w:p>
        </w:tc>
        <w:tc>
          <w:tcPr>
            <w:tcW w:w="1251" w:type="dxa"/>
          </w:tcPr>
          <w:p w14:paraId="7939B2D7" w14:textId="77777777" w:rsidR="002970B6" w:rsidRDefault="002970B6" w:rsidP="00F75ED1">
            <w:pPr>
              <w:pStyle w:val="TableTextRight"/>
            </w:pPr>
          </w:p>
        </w:tc>
        <w:tc>
          <w:tcPr>
            <w:tcW w:w="1251" w:type="dxa"/>
          </w:tcPr>
          <w:p w14:paraId="358EEAA0" w14:textId="77777777" w:rsidR="002970B6" w:rsidRDefault="002970B6" w:rsidP="00F75ED1">
            <w:pPr>
              <w:pStyle w:val="TableTextRight"/>
            </w:pPr>
          </w:p>
        </w:tc>
        <w:tc>
          <w:tcPr>
            <w:tcW w:w="1251" w:type="dxa"/>
          </w:tcPr>
          <w:p w14:paraId="46CBD42A" w14:textId="77777777" w:rsidR="002970B6" w:rsidRDefault="002970B6" w:rsidP="00AE6881">
            <w:pPr>
              <w:pStyle w:val="TableText"/>
            </w:pPr>
            <w:r w:rsidRPr="00046483">
              <w:rPr>
                <w:rFonts w:eastAsiaTheme="minorHAnsi"/>
              </w:rPr>
              <w:t>Antrim Plateau Volcanics</w:t>
            </w:r>
          </w:p>
        </w:tc>
        <w:tc>
          <w:tcPr>
            <w:tcW w:w="2133" w:type="dxa"/>
          </w:tcPr>
          <w:p w14:paraId="14973982" w14:textId="77777777" w:rsidR="002970B6" w:rsidRDefault="002970B6" w:rsidP="00AE6881">
            <w:pPr>
              <w:pStyle w:val="TableText"/>
            </w:pPr>
            <w:r w:rsidRPr="00046483">
              <w:rPr>
                <w:rFonts w:eastAsiaTheme="minorHAnsi"/>
              </w:rPr>
              <w:t xml:space="preserve">No noticeable increase </w:t>
            </w:r>
            <w:r>
              <w:rPr>
                <w:rFonts w:eastAsiaTheme="minorHAnsi"/>
              </w:rPr>
              <w:t>in water flow at base of basalt</w:t>
            </w:r>
            <w:r w:rsidRPr="00046483">
              <w:rPr>
                <w:rFonts w:eastAsiaTheme="minorHAnsi"/>
              </w:rPr>
              <w:t xml:space="preserve"> suggests that</w:t>
            </w:r>
            <w:r>
              <w:rPr>
                <w:rFonts w:eastAsiaTheme="minorHAnsi"/>
              </w:rPr>
              <w:t xml:space="preserve"> the volcanics and underlying units are tight here</w:t>
            </w:r>
          </w:p>
        </w:tc>
      </w:tr>
      <w:tr w:rsidR="002970B6" w14:paraId="547B7A46" w14:textId="77777777" w:rsidTr="00AE6881">
        <w:trPr>
          <w:cnfStyle w:val="000000100000" w:firstRow="0" w:lastRow="0" w:firstColumn="0" w:lastColumn="0" w:oddVBand="0" w:evenVBand="0" w:oddHBand="1" w:evenHBand="0" w:firstRowFirstColumn="0" w:firstRowLastColumn="0" w:lastRowFirstColumn="0" w:lastRowLastColumn="0"/>
        </w:trPr>
        <w:tc>
          <w:tcPr>
            <w:tcW w:w="1251" w:type="dxa"/>
          </w:tcPr>
          <w:p w14:paraId="16BEDC90" w14:textId="77777777" w:rsidR="002970B6" w:rsidRDefault="002970B6" w:rsidP="00AE6881">
            <w:pPr>
              <w:pStyle w:val="TableText"/>
            </w:pPr>
            <w:r w:rsidRPr="00046483">
              <w:rPr>
                <w:rFonts w:eastAsiaTheme="minorEastAsia"/>
              </w:rPr>
              <w:t>Walton 2</w:t>
            </w:r>
          </w:p>
        </w:tc>
        <w:tc>
          <w:tcPr>
            <w:tcW w:w="1251" w:type="dxa"/>
          </w:tcPr>
          <w:p w14:paraId="33202D7F" w14:textId="77777777" w:rsidR="002970B6" w:rsidRDefault="002970B6" w:rsidP="00F75ED1">
            <w:pPr>
              <w:pStyle w:val="TableTextRight"/>
            </w:pPr>
            <w:r w:rsidRPr="00046483">
              <w:rPr>
                <w:rFonts w:eastAsiaTheme="minorHAnsi"/>
              </w:rPr>
              <w:t>120</w:t>
            </w:r>
          </w:p>
        </w:tc>
        <w:tc>
          <w:tcPr>
            <w:tcW w:w="1251" w:type="dxa"/>
          </w:tcPr>
          <w:p w14:paraId="747E28EA" w14:textId="25569AE0" w:rsidR="002970B6" w:rsidRDefault="002970B6" w:rsidP="00F75ED1">
            <w:pPr>
              <w:pStyle w:val="TableTextRight"/>
            </w:pPr>
            <w:r w:rsidRPr="00046483">
              <w:rPr>
                <w:rFonts w:eastAsiaTheme="minorHAnsi"/>
              </w:rPr>
              <w:t>1</w:t>
            </w:r>
            <w:r w:rsidR="00F75ED1">
              <w:rPr>
                <w:rFonts w:eastAsiaTheme="minorHAnsi"/>
              </w:rPr>
              <w:t>,</w:t>
            </w:r>
            <w:r w:rsidRPr="00046483">
              <w:rPr>
                <w:rFonts w:eastAsiaTheme="minorHAnsi"/>
              </w:rPr>
              <w:t>500</w:t>
            </w:r>
          </w:p>
        </w:tc>
        <w:tc>
          <w:tcPr>
            <w:tcW w:w="1251" w:type="dxa"/>
          </w:tcPr>
          <w:p w14:paraId="26F499A9" w14:textId="0AF12598" w:rsidR="002970B6" w:rsidRDefault="002970B6" w:rsidP="00F75ED1">
            <w:pPr>
              <w:pStyle w:val="TableTextRight"/>
            </w:pPr>
            <w:r w:rsidRPr="00046483">
              <w:rPr>
                <w:rFonts w:eastAsiaTheme="minorEastAsia"/>
              </w:rPr>
              <w:t>gal/h</w:t>
            </w:r>
            <w:r w:rsidR="00F75ED1">
              <w:rPr>
                <w:rFonts w:eastAsiaTheme="minorEastAsia"/>
              </w:rPr>
              <w:t>ou</w:t>
            </w:r>
            <w:r w:rsidRPr="00046483">
              <w:rPr>
                <w:rFonts w:eastAsiaTheme="minorEastAsia"/>
              </w:rPr>
              <w:t>r</w:t>
            </w:r>
          </w:p>
        </w:tc>
        <w:tc>
          <w:tcPr>
            <w:tcW w:w="1251" w:type="dxa"/>
          </w:tcPr>
          <w:p w14:paraId="10B7BD97" w14:textId="77777777" w:rsidR="002970B6" w:rsidRDefault="002970B6" w:rsidP="00F75ED1">
            <w:pPr>
              <w:pStyle w:val="TableTextRight"/>
            </w:pPr>
            <w:r w:rsidRPr="00046483">
              <w:rPr>
                <w:rFonts w:eastAsiaTheme="minorHAnsi"/>
              </w:rPr>
              <w:t>2</w:t>
            </w:r>
          </w:p>
        </w:tc>
        <w:tc>
          <w:tcPr>
            <w:tcW w:w="1251" w:type="dxa"/>
          </w:tcPr>
          <w:p w14:paraId="73F1117C" w14:textId="77777777" w:rsidR="002970B6" w:rsidRDefault="002970B6" w:rsidP="00AE6881">
            <w:pPr>
              <w:pStyle w:val="TableText"/>
            </w:pPr>
            <w:r w:rsidRPr="00046483">
              <w:rPr>
                <w:rFonts w:eastAsiaTheme="minorHAnsi"/>
              </w:rPr>
              <w:t>Antrim Plateau Volcanics</w:t>
            </w:r>
          </w:p>
        </w:tc>
        <w:tc>
          <w:tcPr>
            <w:tcW w:w="2133" w:type="dxa"/>
          </w:tcPr>
          <w:p w14:paraId="0238B4C4" w14:textId="6EC854C7" w:rsidR="002970B6" w:rsidRDefault="002970B6" w:rsidP="00AE6881">
            <w:pPr>
              <w:pStyle w:val="TableText"/>
            </w:pPr>
            <w:r>
              <w:rPr>
                <w:rFonts w:eastAsiaTheme="minorEastAsia"/>
              </w:rPr>
              <w:t>S</w:t>
            </w:r>
            <w:r w:rsidRPr="00046483">
              <w:rPr>
                <w:rFonts w:eastAsiaTheme="minorEastAsia"/>
              </w:rPr>
              <w:t>ignificant water inflow</w:t>
            </w:r>
          </w:p>
        </w:tc>
      </w:tr>
      <w:tr w:rsidR="002970B6" w14:paraId="423F94F1" w14:textId="77777777" w:rsidTr="00AE6881">
        <w:trPr>
          <w:cnfStyle w:val="000000010000" w:firstRow="0" w:lastRow="0" w:firstColumn="0" w:lastColumn="0" w:oddVBand="0" w:evenVBand="0" w:oddHBand="0" w:evenHBand="1" w:firstRowFirstColumn="0" w:firstRowLastColumn="0" w:lastRowFirstColumn="0" w:lastRowLastColumn="0"/>
        </w:trPr>
        <w:tc>
          <w:tcPr>
            <w:tcW w:w="1251" w:type="dxa"/>
          </w:tcPr>
          <w:p w14:paraId="200EBCAE" w14:textId="77777777" w:rsidR="002970B6" w:rsidRDefault="002970B6" w:rsidP="00AE6881">
            <w:pPr>
              <w:pStyle w:val="TableText"/>
            </w:pPr>
            <w:r w:rsidRPr="00046483">
              <w:rPr>
                <w:rFonts w:eastAsiaTheme="minorEastAsia"/>
              </w:rPr>
              <w:t>Sever 1</w:t>
            </w:r>
          </w:p>
        </w:tc>
        <w:tc>
          <w:tcPr>
            <w:tcW w:w="1251" w:type="dxa"/>
          </w:tcPr>
          <w:p w14:paraId="7069233E" w14:textId="77777777" w:rsidR="002970B6" w:rsidRDefault="002970B6" w:rsidP="00F75ED1">
            <w:pPr>
              <w:pStyle w:val="TableTextRight"/>
            </w:pPr>
            <w:r w:rsidRPr="00046483">
              <w:rPr>
                <w:rFonts w:eastAsiaTheme="minorHAnsi"/>
              </w:rPr>
              <w:t>151.47</w:t>
            </w:r>
          </w:p>
        </w:tc>
        <w:tc>
          <w:tcPr>
            <w:tcW w:w="1251" w:type="dxa"/>
          </w:tcPr>
          <w:p w14:paraId="0C79FF08" w14:textId="77777777" w:rsidR="002970B6" w:rsidRDefault="002970B6" w:rsidP="00F75ED1">
            <w:pPr>
              <w:pStyle w:val="TableTextRight"/>
            </w:pPr>
            <w:r w:rsidRPr="00046483">
              <w:rPr>
                <w:rFonts w:eastAsiaTheme="minorHAnsi"/>
              </w:rPr>
              <w:t>100</w:t>
            </w:r>
            <w:r>
              <w:rPr>
                <w:rFonts w:eastAsiaTheme="minorHAnsi"/>
              </w:rPr>
              <w:t>,</w:t>
            </w:r>
            <w:r w:rsidRPr="00046483">
              <w:rPr>
                <w:rFonts w:eastAsiaTheme="minorHAnsi"/>
              </w:rPr>
              <w:t>000</w:t>
            </w:r>
          </w:p>
        </w:tc>
        <w:tc>
          <w:tcPr>
            <w:tcW w:w="1251" w:type="dxa"/>
          </w:tcPr>
          <w:p w14:paraId="3F3992F9" w14:textId="0324DDE0" w:rsidR="002970B6" w:rsidRDefault="002970B6" w:rsidP="00F75ED1">
            <w:pPr>
              <w:pStyle w:val="TableTextRight"/>
            </w:pPr>
            <w:r>
              <w:rPr>
                <w:rFonts w:eastAsiaTheme="minorEastAsia"/>
              </w:rPr>
              <w:t>L</w:t>
            </w:r>
            <w:r w:rsidRPr="00046483">
              <w:rPr>
                <w:rFonts w:eastAsiaTheme="minorEastAsia"/>
              </w:rPr>
              <w:t>/h</w:t>
            </w:r>
            <w:r w:rsidR="00F75ED1">
              <w:rPr>
                <w:rFonts w:eastAsiaTheme="minorEastAsia"/>
              </w:rPr>
              <w:t>ou</w:t>
            </w:r>
            <w:r w:rsidRPr="00046483">
              <w:rPr>
                <w:rFonts w:eastAsiaTheme="minorEastAsia"/>
              </w:rPr>
              <w:t>r</w:t>
            </w:r>
          </w:p>
        </w:tc>
        <w:tc>
          <w:tcPr>
            <w:tcW w:w="1251" w:type="dxa"/>
          </w:tcPr>
          <w:p w14:paraId="1EC835B9" w14:textId="77777777" w:rsidR="002970B6" w:rsidRDefault="002970B6" w:rsidP="00F75ED1">
            <w:pPr>
              <w:pStyle w:val="TableTextRight"/>
            </w:pPr>
            <w:r w:rsidRPr="00046483">
              <w:rPr>
                <w:rFonts w:eastAsiaTheme="minorHAnsi"/>
              </w:rPr>
              <w:t>28</w:t>
            </w:r>
          </w:p>
        </w:tc>
        <w:tc>
          <w:tcPr>
            <w:tcW w:w="1251" w:type="dxa"/>
          </w:tcPr>
          <w:p w14:paraId="01C1B6D4" w14:textId="77777777" w:rsidR="002970B6" w:rsidRDefault="002970B6" w:rsidP="00AE6881">
            <w:pPr>
              <w:pStyle w:val="TableText"/>
            </w:pPr>
            <w:r w:rsidRPr="00046483">
              <w:rPr>
                <w:rFonts w:eastAsiaTheme="minorHAnsi"/>
              </w:rPr>
              <w:t>Antrim Plateau Volcanics</w:t>
            </w:r>
            <w:r>
              <w:t xml:space="preserve"> </w:t>
            </w:r>
          </w:p>
        </w:tc>
        <w:tc>
          <w:tcPr>
            <w:tcW w:w="2133" w:type="dxa"/>
          </w:tcPr>
          <w:p w14:paraId="7F8F9477" w14:textId="7B3949C2" w:rsidR="002970B6" w:rsidRPr="6944C3BE" w:rsidRDefault="002970B6" w:rsidP="00AE6881">
            <w:pPr>
              <w:pStyle w:val="TableText"/>
            </w:pPr>
            <w:r w:rsidRPr="00046483">
              <w:rPr>
                <w:rFonts w:eastAsiaTheme="minorHAnsi"/>
              </w:rPr>
              <w:t xml:space="preserve">Intersected a 1.5 m deep cavity with </w:t>
            </w:r>
            <w:r>
              <w:rPr>
                <w:rFonts w:eastAsiaTheme="minorHAnsi"/>
              </w:rPr>
              <w:t>some sand at base of volcanics. D</w:t>
            </w:r>
            <w:r w:rsidRPr="00046483">
              <w:rPr>
                <w:rFonts w:eastAsiaTheme="minorEastAsia"/>
              </w:rPr>
              <w:t xml:space="preserve">rilling technique </w:t>
            </w:r>
            <w:r>
              <w:rPr>
                <w:rFonts w:eastAsiaTheme="minorEastAsia"/>
              </w:rPr>
              <w:t xml:space="preserve">was changed </w:t>
            </w:r>
            <w:r w:rsidRPr="00046483">
              <w:rPr>
                <w:rFonts w:eastAsiaTheme="minorEastAsia"/>
              </w:rPr>
              <w:t>to cope with strong water inflows</w:t>
            </w:r>
          </w:p>
        </w:tc>
      </w:tr>
    </w:tbl>
    <w:bookmarkEnd w:id="453"/>
    <w:p w14:paraId="05A5ABE9" w14:textId="344C973C" w:rsidR="002970B6" w:rsidRPr="002970B6" w:rsidRDefault="00667CED" w:rsidP="002970B6">
      <w:pPr>
        <w:pStyle w:val="SourceornoteforTableorFigure"/>
      </w:pPr>
      <w:r w:rsidRPr="00E34A4C">
        <w:t xml:space="preserve">Whether an inflow to a petroleum well occurs </w:t>
      </w:r>
      <w:r>
        <w:t xml:space="preserve">or not </w:t>
      </w:r>
      <w:r w:rsidRPr="00E34A4C">
        <w:t>is in part dependent on drilling method and condition of the hole at time of drilling. For instance, in a well where no inflow</w:t>
      </w:r>
      <w:r>
        <w:t>s</w:t>
      </w:r>
      <w:r w:rsidRPr="00E34A4C">
        <w:t xml:space="preserve"> </w:t>
      </w:r>
      <w:r>
        <w:t>are</w:t>
      </w:r>
      <w:r w:rsidRPr="00E34A4C">
        <w:t xml:space="preserve"> recorded, the drilling mud densit</w:t>
      </w:r>
      <w:r>
        <w:t>y</w:t>
      </w:r>
      <w:r w:rsidRPr="00E34A4C">
        <w:t xml:space="preserve"> </w:t>
      </w:r>
      <w:r w:rsidR="00B4647B">
        <w:t>could</w:t>
      </w:r>
      <w:r w:rsidRPr="00E34A4C">
        <w:t xml:space="preserve"> have been </w:t>
      </w:r>
      <w:r>
        <w:t>have been high enough to</w:t>
      </w:r>
      <w:r w:rsidRPr="00E34A4C">
        <w:t xml:space="preserve"> impede</w:t>
      </w:r>
      <w:r>
        <w:t xml:space="preserve"> inflows</w:t>
      </w:r>
      <w:r w:rsidRPr="00E34A4C">
        <w:t xml:space="preserve">, or alternatively the formation </w:t>
      </w:r>
      <w:r>
        <w:t xml:space="preserve">was naturally </w:t>
      </w:r>
      <w:r w:rsidRPr="00E34A4C">
        <w:t xml:space="preserve">tight with low permeability, </w:t>
      </w:r>
      <w:r>
        <w:t xml:space="preserve">which </w:t>
      </w:r>
      <w:r w:rsidRPr="00E34A4C">
        <w:t>reduc</w:t>
      </w:r>
      <w:r>
        <w:t>es</w:t>
      </w:r>
      <w:r w:rsidRPr="00E34A4C">
        <w:t xml:space="preserve"> the ability for groundwater to flow</w:t>
      </w:r>
      <w:r>
        <w:t xml:space="preserve"> at a noticeable rate</w:t>
      </w:r>
      <w:r w:rsidRPr="00E34A4C">
        <w:t>.</w:t>
      </w:r>
      <w:r>
        <w:br/>
      </w:r>
      <w:r w:rsidR="002970B6">
        <w:t xml:space="preserve">Data: </w:t>
      </w:r>
      <w:r w:rsidR="002970B6">
        <w:fldChar w:fldCharType="begin"/>
      </w:r>
      <w:r w:rsidR="008F30E0">
        <w:instrText xml:space="preserve"> ADDIN EN.CITE &lt;EndNote&gt;&lt;Cite AuthorYear="1"&gt;&lt;Author&gt;Geological and Bioregional Assessment Program&lt;/Author&gt;&lt;Year&gt;2019&lt;/Year&gt;&lt;RecNum&gt;1003&lt;/RecNum&gt;&lt;DisplayText&gt;Geological and Bioregional Assessment Program (2019f)&lt;/DisplayText&gt;&lt;record&gt;&lt;rec-number&gt;1003&lt;/rec-number&gt;&lt;foreign-keys&gt;&lt;key app="EN" db-id="wdf9tzzdhw2saee559kv0vezt0wfsta0zedv" timestamp="1559184265"&gt;1003&lt;/key&gt;&lt;/foreign-keys&gt;&lt;ref-type name="Dataset"&gt;59&lt;/ref-type&gt;&lt;contributors&gt;&lt;authors&gt;&lt;author&gt;Geological and Bioregional Assessment Program,&lt;/author&gt;&lt;/authors&gt;&lt;/contributors&gt;&lt;titles&gt;&lt;title&gt;Beetaloo formation pressure and temperature data compiled from petroleum well completion reports&lt;/title&gt;&lt;/titles&gt;&lt;dates&gt;&lt;year&gt;2019&lt;/year&gt;&lt;/dates&gt;&lt;label&gt;65CF9145-483A-45E5-9349-CC66647731F1&lt;/label&gt;&lt;urls&gt;&lt;related-urls&gt;&lt;url&gt;&lt;style face="underline" font="default" size="100%"&gt;https://repo.bioregionalassessments.gov.au/metadata/65CF9145-483A-45E5-9349-CC66647731F1&lt;/style&gt;&lt;/url&gt;&lt;/related-urls&gt;&lt;/urls&gt;&lt;access-date&gt;08 March 2019&lt;/access-date&gt;&lt;/record&gt;&lt;/Cite&gt;&lt;/EndNote&gt;</w:instrText>
      </w:r>
      <w:r w:rsidR="002970B6">
        <w:fldChar w:fldCharType="separate"/>
      </w:r>
      <w:r w:rsidR="008F30E0">
        <w:rPr>
          <w:noProof/>
        </w:rPr>
        <w:t>Geological and Bioregional Assessment Program (2019f)</w:t>
      </w:r>
      <w:r w:rsidR="002970B6">
        <w:fldChar w:fldCharType="end"/>
      </w:r>
    </w:p>
    <w:p w14:paraId="7C74E615" w14:textId="4EEDF269" w:rsidR="00C418BB" w:rsidRDefault="006867EA" w:rsidP="005C67B8">
      <w:pPr>
        <w:pStyle w:val="Figures"/>
      </w:pPr>
      <w:r>
        <w:rPr>
          <w:noProof/>
        </w:rPr>
        <w:drawing>
          <wp:inline distT="0" distB="0" distL="0" distR="0" wp14:anchorId="6E025473" wp14:editId="7908B191">
            <wp:extent cx="6115050" cy="6210298"/>
            <wp:effectExtent l="0" t="0" r="0" b="0"/>
            <wp:docPr id="1087211496" name="Picture 1" descr="T:\proj\ba2\Stage2\3_Beetaloo\MapsAndFigures\Figures\GBA-BEE-2-194_Antrim_hydrodynamic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72">
                      <a:extLst>
                        <a:ext uri="{28A0092B-C50C-407E-A947-70E740481C1C}">
                          <a14:useLocalDpi xmlns:a14="http://schemas.microsoft.com/office/drawing/2010/main" val="0"/>
                        </a:ext>
                      </a:extLst>
                    </a:blip>
                    <a:stretch>
                      <a:fillRect/>
                    </a:stretch>
                  </pic:blipFill>
                  <pic:spPr>
                    <a:xfrm>
                      <a:off x="0" y="0"/>
                      <a:ext cx="6115050" cy="6210298"/>
                    </a:xfrm>
                    <a:prstGeom prst="rect">
                      <a:avLst/>
                    </a:prstGeom>
                  </pic:spPr>
                </pic:pic>
              </a:graphicData>
            </a:graphic>
          </wp:inline>
        </w:drawing>
      </w:r>
    </w:p>
    <w:p w14:paraId="7F6CBF99" w14:textId="617CBE57" w:rsidR="00607DCF" w:rsidRDefault="00607DCF" w:rsidP="00C00F6D">
      <w:pPr>
        <w:pStyle w:val="Caption"/>
      </w:pPr>
      <w:bookmarkStart w:id="454" w:name="_Ref4421356"/>
      <w:bookmarkStart w:id="455" w:name="_Ref10035956"/>
      <w:bookmarkStart w:id="456" w:name="_Toc4072438"/>
      <w:bookmarkStart w:id="457" w:name="_Toc4670951"/>
      <w:bookmarkStart w:id="458" w:name="_Toc4754371"/>
      <w:bookmarkStart w:id="459" w:name="_Toc5020756"/>
      <w:bookmarkStart w:id="460" w:name="_Toc5021563"/>
      <w:bookmarkStart w:id="461" w:name="_Toc5097089"/>
      <w:bookmarkStart w:id="462" w:name="_Toc5108481"/>
      <w:bookmarkStart w:id="463" w:name="_Toc5284146"/>
      <w:bookmarkStart w:id="464" w:name="_Toc5635360"/>
      <w:bookmarkStart w:id="465" w:name="_Toc5808319"/>
      <w:bookmarkStart w:id="466" w:name="_Toc5895011"/>
      <w:bookmarkStart w:id="467" w:name="_Toc6308900"/>
      <w:bookmarkStart w:id="468" w:name="_Toc6327565"/>
      <w:bookmarkStart w:id="469" w:name="_Ref34295621"/>
      <w:bookmarkStart w:id="470" w:name="_Toc38990469"/>
      <w:r>
        <w:t xml:space="preserve">Figure </w:t>
      </w:r>
      <w:r w:rsidRPr="78541554">
        <w:fldChar w:fldCharType="begin"/>
      </w:r>
      <w:r>
        <w:rPr>
          <w:noProof/>
        </w:rPr>
        <w:instrText xml:space="preserve"> SEQ Figure \* ARABIC </w:instrText>
      </w:r>
      <w:r w:rsidRPr="78541554">
        <w:rPr>
          <w:noProof/>
        </w:rPr>
        <w:fldChar w:fldCharType="separate"/>
      </w:r>
      <w:r w:rsidR="00B177F5">
        <w:rPr>
          <w:noProof/>
        </w:rPr>
        <w:t>15</w:t>
      </w:r>
      <w:r w:rsidRPr="78541554">
        <w:fldChar w:fldCharType="end"/>
      </w:r>
      <w:bookmarkEnd w:id="454"/>
      <w:bookmarkEnd w:id="455"/>
      <w:r>
        <w:t xml:space="preserve"> </w:t>
      </w:r>
      <w:r w:rsidR="007265CC">
        <w:t xml:space="preserve">Groundwater bores and </w:t>
      </w:r>
      <w:r w:rsidR="00113140">
        <w:t>i</w:t>
      </w:r>
      <w:r w:rsidR="005A4ADB">
        <w:t xml:space="preserve">nflows to </w:t>
      </w:r>
      <w:r w:rsidR="00CC3C8A">
        <w:t xml:space="preserve">the </w:t>
      </w:r>
      <w:r>
        <w:t xml:space="preserve">Antrim </w:t>
      </w:r>
      <w:r w:rsidR="00304DC8">
        <w:t xml:space="preserve">Plateau </w:t>
      </w:r>
      <w:r w:rsidR="005A4ADB">
        <w:t>Volcanics from petroleum wells</w:t>
      </w:r>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p>
    <w:p w14:paraId="1532ECBD" w14:textId="44E09AE7" w:rsidR="00633C5C" w:rsidRPr="00E74BE8" w:rsidRDefault="00B016D3" w:rsidP="00633C5C">
      <w:pPr>
        <w:pStyle w:val="SourceornoteforTableorFigure"/>
        <w:contextualSpacing/>
      </w:pPr>
      <w:r>
        <w:t xml:space="preserve">Where the Antrim Plateau </w:t>
      </w:r>
      <w:r w:rsidR="002E6955">
        <w:t>Volcanism</w:t>
      </w:r>
      <w:r>
        <w:t xml:space="preserve"> </w:t>
      </w:r>
      <w:r w:rsidR="00113140">
        <w:t>are</w:t>
      </w:r>
      <w:r>
        <w:t xml:space="preserve"> not present</w:t>
      </w:r>
      <w:r w:rsidR="006867EA">
        <w:t xml:space="preserve"> in the Beetaloo GBA region (i.e. areas without striping)</w:t>
      </w:r>
      <w:r w:rsidR="00113140">
        <w:t xml:space="preserve">, </w:t>
      </w:r>
      <w:r w:rsidR="006867EA">
        <w:t>the CLA is in direct contact with Bukalara Sandstone or other underlying units. Depending on local hydraulic conditions direct leakage could occur across the boundary with the CLA.</w:t>
      </w:r>
      <w:r w:rsidR="006867EA">
        <w:br/>
      </w:r>
      <w:r w:rsidR="2777F559">
        <w:t>Whether an inflow to a petroleum well occurs is in part dependent on drilling method and condition of the hole at time of drilling. For instance, in a well where no inflow was recorded, the drilling mud densities could have been such that any inflows are impeded, or alternatively the formation could be naturally tight with low permeability, reducing the ability for groundwater to flow.</w:t>
      </w:r>
      <w:r w:rsidR="00F75ED1">
        <w:br/>
      </w:r>
      <w:r w:rsidR="00633C5C" w:rsidRPr="00E74BE8">
        <w:t>Data:</w:t>
      </w:r>
      <w:r w:rsidR="002970B6">
        <w:t xml:space="preserve"> </w:t>
      </w:r>
      <w:r w:rsidR="00F75ED1">
        <w:t>g</w:t>
      </w:r>
      <w:r w:rsidR="002970B6">
        <w:t>roundwater inflows to petroleum wells</w:t>
      </w:r>
      <w:r w:rsidR="002970B6" w:rsidRPr="00CF40AD">
        <w:t xml:space="preserve"> </w:t>
      </w:r>
      <w:r w:rsidR="002970B6">
        <w:fldChar w:fldCharType="begin"/>
      </w:r>
      <w:r w:rsidR="008F30E0">
        <w:instrText xml:space="preserve"> ADDIN EN.CITE &lt;EndNote&gt;&lt;Cite&gt;&lt;Author&gt;Geological and Bioregional Assessment Program&lt;/Author&gt;&lt;Year&gt;2019&lt;/Year&gt;&lt;RecNum&gt;1003&lt;/RecNum&gt;&lt;DisplayText&gt;(Geological and Bioregional Assessment Program, 2019f)&lt;/DisplayText&gt;&lt;record&gt;&lt;rec-number&gt;1003&lt;/rec-number&gt;&lt;foreign-keys&gt;&lt;key app="EN" db-id="wdf9tzzdhw2saee559kv0vezt0wfsta0zedv" timestamp="1559184265"&gt;1003&lt;/key&gt;&lt;/foreign-keys&gt;&lt;ref-type name="Dataset"&gt;59&lt;/ref-type&gt;&lt;contributors&gt;&lt;authors&gt;&lt;author&gt;Geological and Bioregional Assessment Program,&lt;/author&gt;&lt;/authors&gt;&lt;/contributors&gt;&lt;titles&gt;&lt;title&gt;Beetaloo formation pressure and temperature data compiled from petroleum well completion reports&lt;/title&gt;&lt;/titles&gt;&lt;dates&gt;&lt;year&gt;2019&lt;/year&gt;&lt;/dates&gt;&lt;label&gt;65CF9145-483A-45E5-9349-CC66647731F1&lt;/label&gt;&lt;urls&gt;&lt;related-urls&gt;&lt;url&gt;&lt;style face="underline" font="default" size="100%"&gt;https://repo.bioregionalassessments.gov.au/metadata/65CF9145-483A-45E5-9349-CC66647731F1&lt;/style&gt;&lt;/url&gt;&lt;/related-urls&gt;&lt;/urls&gt;&lt;access-date&gt;08 March 2019&lt;/access-date&gt;&lt;/record&gt;&lt;/Cite&gt;&lt;/EndNote&gt;</w:instrText>
      </w:r>
      <w:r w:rsidR="002970B6">
        <w:fldChar w:fldCharType="separate"/>
      </w:r>
      <w:r w:rsidR="008F30E0">
        <w:rPr>
          <w:noProof/>
        </w:rPr>
        <w:t>(Geological and Bioregional Assessment Program, 2019f)</w:t>
      </w:r>
      <w:r w:rsidR="002970B6">
        <w:fldChar w:fldCharType="end"/>
      </w:r>
      <w:r w:rsidR="00F75ED1">
        <w:t>;</w:t>
      </w:r>
      <w:r w:rsidR="002970B6">
        <w:t xml:space="preserve"> groundwater bores screened in the Antrim Plateau Volcanics</w:t>
      </w:r>
      <w:r w:rsidR="00F76E0D">
        <w:t xml:space="preserve"> </w:t>
      </w:r>
      <w:r w:rsidR="00F76E0D">
        <w:fldChar w:fldCharType="begin"/>
      </w:r>
      <w:r w:rsidR="00F76E0D">
        <w:instrText xml:space="preserve"> ADDIN EN.CITE &lt;EndNote&gt;&lt;Cite&gt;&lt;Author&gt;Origin Energy&lt;/Author&gt;&lt;Year&gt;2019&lt;/Year&gt;&lt;RecNum&gt;1519&lt;/RecNum&gt;&lt;DisplayText&gt;(Origin Energy, 2019)&lt;/DisplayText&gt;&lt;record&gt;&lt;rec-number&gt;1519&lt;/rec-number&gt;&lt;foreign-keys&gt;&lt;key app="EN" db-id="wdf9tzzdhw2saee559kv0vezt0wfsta0zedv" timestamp="1587707256"&gt;1519&lt;/key&gt;&lt;/foreign-keys&gt;&lt;ref-type name="Dataset"&gt;59&lt;/ref-type&gt;&lt;contributors&gt;&lt;authors&gt;&lt;author&gt;Origin Energy,&lt;/author&gt;&lt;/authors&gt;&lt;secondary-authors&gt;&lt;author&gt;Geoscience Australia,&lt;/author&gt;&lt;/secondary-authors&gt;&lt;/contributors&gt;&lt;titles&gt;&lt;title&gt;Origin Data Package&lt;/title&gt;&lt;/titles&gt;&lt;keywords&gt;&lt;keyword&gt;WATER Quality, hydrogeology&lt;/keyword&gt;&lt;/keywords&gt;&lt;dates&gt;&lt;year&gt;2019&lt;/year&gt;&lt;/dates&gt;&lt;pub-location&gt;Canberra&lt;/pub-location&gt;&lt;label&gt;0BE0A3FE-7C2E-48EF-B890-F42C38EEF24F&lt;/label&gt;&lt;urls&gt;&lt;related-urls&gt;&lt;url&gt;https://www.originenergy.com.au/&lt;/url&gt;&lt;/related-urls&gt;&lt;/urls&gt;&lt;custom2&gt;unit of observation&lt;/custom2&gt;&lt;custom3&gt;tabular&lt;/custom3&gt;&lt;custom4&gt;dataset&lt;/custom4&gt;&lt;access-date&gt;24 April 2020&lt;/access-date&gt;&lt;/record&gt;&lt;/Cite&gt;&lt;/EndNote&gt;</w:instrText>
      </w:r>
      <w:r w:rsidR="00F76E0D">
        <w:fldChar w:fldCharType="separate"/>
      </w:r>
      <w:r w:rsidR="00F76E0D">
        <w:rPr>
          <w:noProof/>
        </w:rPr>
        <w:t>(Origin Energy, 2019)</w:t>
      </w:r>
      <w:r w:rsidR="00F76E0D">
        <w:fldChar w:fldCharType="end"/>
      </w:r>
      <w:r w:rsidR="002970B6">
        <w:t>;</w:t>
      </w:r>
      <w:r w:rsidR="00EB21B1" w:rsidRPr="00EB21B1">
        <w:t xml:space="preserve"> </w:t>
      </w:r>
      <w:r w:rsidR="00EB21B1" w:rsidRPr="000B7B82">
        <w:t>Kalkari</w:t>
      </w:r>
      <w:r w:rsidR="003A22C2">
        <w:t>ndji Suite Volcanics extent</w:t>
      </w:r>
      <w:r w:rsidR="00EB21B1" w:rsidRPr="000B7B82">
        <w:t xml:space="preserve"> </w:t>
      </w:r>
      <w:r w:rsidR="00EB21B1" w:rsidRPr="000B7B82">
        <w:fldChar w:fldCharType="begin"/>
      </w:r>
      <w:r w:rsidR="00867932">
        <w:instrText xml:space="preserve"> ADDIN EN.CITE &lt;EndNote&gt;&lt;Cite&gt;&lt;Author&gt;Frogtech Geoscience&lt;/Author&gt;&lt;Year&gt;2018&lt;/Year&gt;&lt;RecNum&gt;952&lt;/RecNum&gt;&lt;DisplayText&gt;(Frogtech Geoscience, 2018b)&lt;/DisplayText&gt;&lt;record&gt;&lt;rec-number&gt;952&lt;/rec-number&gt;&lt;foreign-keys&gt;&lt;key app="EN" db-id="wdf9tzzdhw2saee559kv0vezt0wfsta0zedv" timestamp="1557990658"&gt;952&lt;/key&gt;&lt;/foreign-keys&gt;&lt;ref-type name="Dataset"&gt;59&lt;/ref-type&gt;&lt;contributors&gt;&lt;authors&gt;&lt;author&gt;Frogtech Geoscience,&lt;/author&gt;&lt;/authors&gt;&lt;/contributors&gt;&lt;titles&gt;&lt;title&gt;SEEBASE® study and GIS for greater McArthur Basin: Supplementary Data. Northern Territory Geological Survey, Digital Information Package DIP 018&lt;/title&gt;&lt;/titles&gt;&lt;pages&gt;3&lt;/pages&gt;&lt;dates&gt;&lt;year&gt;2018&lt;/year&gt;&lt;/dates&gt;&lt;pub-location&gt;Darwin&lt;/pub-location&gt;&lt;publisher&gt;Northern Territory Geological Survey&lt;/publisher&gt;&lt;label&gt;EC6D7486-30C9-4D19-92C6-57879C00A363&lt;/label&gt;&lt;urls&gt;&lt;related-urls&gt;&lt;url&gt;https://geoscience.nt.gov.au/gemis/ntgsjspui/handle/1/87062&lt;/url&gt;&lt;/related-urls&gt;&lt;/urls&gt;&lt;access-date&gt;18 February 2019&lt;/access-date&gt;&lt;/record&gt;&lt;/Cite&gt;&lt;/EndNote&gt;</w:instrText>
      </w:r>
      <w:r w:rsidR="00EB21B1" w:rsidRPr="000B7B82">
        <w:fldChar w:fldCharType="separate"/>
      </w:r>
      <w:r w:rsidR="00867932">
        <w:rPr>
          <w:noProof/>
        </w:rPr>
        <w:t>(Frogtech Geoscience, 2018b)</w:t>
      </w:r>
      <w:r w:rsidR="00EB21B1" w:rsidRPr="000B7B82">
        <w:fldChar w:fldCharType="end"/>
      </w:r>
    </w:p>
    <w:p w14:paraId="67B88227" w14:textId="6E1C3712" w:rsidR="00633C5C" w:rsidRPr="004C61D8" w:rsidRDefault="00633C5C" w:rsidP="006867EA">
      <w:pPr>
        <w:pStyle w:val="SourceornoteforTableorFigure"/>
        <w:contextualSpacing/>
      </w:pPr>
      <w:r w:rsidRPr="00E74BE8">
        <w:t>Element: GBA-BEE-2-</w:t>
      </w:r>
      <w:r w:rsidR="007265CC">
        <w:t>194</w:t>
      </w:r>
    </w:p>
    <w:p w14:paraId="5907EFF4" w14:textId="50340074" w:rsidR="00F61FF2" w:rsidRDefault="00D75043" w:rsidP="00C00F6D">
      <w:pPr>
        <w:pStyle w:val="Heading5"/>
      </w:pPr>
      <w:bookmarkStart w:id="471" w:name="_Ref5787823"/>
      <w:r>
        <w:t>Cambrian Limestone Aquifer</w:t>
      </w:r>
      <w:bookmarkEnd w:id="471"/>
    </w:p>
    <w:p w14:paraId="451A320E" w14:textId="032145B0" w:rsidR="005C749E" w:rsidRDefault="00066A2F" w:rsidP="00C00F6D">
      <w:pPr>
        <w:pStyle w:val="Heading6"/>
      </w:pPr>
      <w:bookmarkStart w:id="472" w:name="_Ref1561690"/>
      <w:r>
        <w:t>O</w:t>
      </w:r>
      <w:r w:rsidR="005C749E">
        <w:t>verview</w:t>
      </w:r>
      <w:bookmarkEnd w:id="472"/>
    </w:p>
    <w:p w14:paraId="1954F79E" w14:textId="4782A5FE" w:rsidR="00C2742F" w:rsidRDefault="00C2742F" w:rsidP="00C00F6D">
      <w:r>
        <w:fldChar w:fldCharType="begin"/>
      </w:r>
      <w:r>
        <w:instrText xml:space="preserve"> REF _Ref1137606 \h </w:instrText>
      </w:r>
      <w:r>
        <w:fldChar w:fldCharType="separate"/>
      </w:r>
      <w:r w:rsidR="00B177F5">
        <w:t xml:space="preserve">Figure </w:t>
      </w:r>
      <w:r w:rsidR="00B177F5">
        <w:rPr>
          <w:noProof/>
        </w:rPr>
        <w:t>16</w:t>
      </w:r>
      <w:r>
        <w:fldChar w:fldCharType="end"/>
      </w:r>
      <w:r>
        <w:t xml:space="preserve"> outlines some of the regional</w:t>
      </w:r>
      <w:r w:rsidR="00C30378">
        <w:t>-</w:t>
      </w:r>
      <w:r>
        <w:t xml:space="preserve">scale features that influence </w:t>
      </w:r>
      <w:r w:rsidR="0015744F">
        <w:t xml:space="preserve">the </w:t>
      </w:r>
      <w:r>
        <w:t xml:space="preserve">hydrodynamics and groundwater </w:t>
      </w:r>
      <w:r w:rsidR="00304DC8">
        <w:t xml:space="preserve">flow in the </w:t>
      </w:r>
      <w:r w:rsidR="00627A80">
        <w:t xml:space="preserve">CLA </w:t>
      </w:r>
      <w:r w:rsidR="00D228BB">
        <w:t xml:space="preserve">across </w:t>
      </w:r>
      <w:r>
        <w:t xml:space="preserve">the Beetaloo GBA region. </w:t>
      </w:r>
      <w:r w:rsidR="00627A80">
        <w:t>These</w:t>
      </w:r>
      <w:r w:rsidR="0015744F">
        <w:t xml:space="preserve"> features </w:t>
      </w:r>
      <w:r w:rsidR="00733449">
        <w:t>include</w:t>
      </w:r>
      <w:r>
        <w:t>:</w:t>
      </w:r>
    </w:p>
    <w:p w14:paraId="2B1D99B7" w14:textId="656AB36D" w:rsidR="00627A80" w:rsidRDefault="00627A80" w:rsidP="00C00F6D">
      <w:pPr>
        <w:pStyle w:val="ListBullet"/>
      </w:pPr>
      <w:r>
        <w:t xml:space="preserve">At least two major groundwater flow systems are recognised in the </w:t>
      </w:r>
      <w:r w:rsidR="00DC407A">
        <w:t xml:space="preserve">CLA in the </w:t>
      </w:r>
      <w:r>
        <w:t xml:space="preserve">Beetaloo GBA region: from the Georgina Basin into the Daly Basin, </w:t>
      </w:r>
      <w:r w:rsidR="00544D08">
        <w:t xml:space="preserve">and </w:t>
      </w:r>
      <w:r>
        <w:t>from the Wiso Basin into the Daly Basin.</w:t>
      </w:r>
      <w:r w:rsidRPr="00770EA7">
        <w:t xml:space="preserve"> </w:t>
      </w:r>
      <w:r>
        <w:t>The inferred regional groundwater flow direction</w:t>
      </w:r>
      <w:r w:rsidRPr="00884C50">
        <w:t xml:space="preserve"> </w:t>
      </w:r>
      <w:r>
        <w:t>from potentiometric contours is generally north</w:t>
      </w:r>
      <w:r w:rsidR="00304DC8">
        <w:t>-</w:t>
      </w:r>
      <w:r>
        <w:t>westwards. However, there are possible significant deviations to this trend, at least at a local scale, as a result of structure and discrete karst systems.</w:t>
      </w:r>
    </w:p>
    <w:p w14:paraId="299EDC85" w14:textId="1172A123" w:rsidR="00627A80" w:rsidRDefault="00627A80" w:rsidP="00C00F6D">
      <w:pPr>
        <w:pStyle w:val="ListBullet"/>
      </w:pPr>
      <w:r>
        <w:t xml:space="preserve">Eastern Beetaloo Sub-basin is overlain by the </w:t>
      </w:r>
      <w:r w:rsidR="00F75ED1">
        <w:t>CLA</w:t>
      </w:r>
      <w:r>
        <w:t xml:space="preserve"> </w:t>
      </w:r>
      <w:r w:rsidR="00F75ED1">
        <w:t xml:space="preserve">system </w:t>
      </w:r>
      <w:r>
        <w:t xml:space="preserve">that is within the Georgina Basin, whereas the western Beetaloo Sub-basin is predominantly overlain by </w:t>
      </w:r>
      <w:r w:rsidR="00F75ED1">
        <w:t xml:space="preserve">the </w:t>
      </w:r>
      <w:r w:rsidR="00DC407A">
        <w:t>CLA</w:t>
      </w:r>
      <w:r>
        <w:t xml:space="preserve"> </w:t>
      </w:r>
      <w:r w:rsidR="00DC407A">
        <w:t xml:space="preserve">system </w:t>
      </w:r>
      <w:r>
        <w:t>within the Wiso and adjoining Daly basins</w:t>
      </w:r>
      <w:r w:rsidR="00DC407A">
        <w:t xml:space="preserve"> (</w:t>
      </w:r>
      <w:r w:rsidR="00DC407A">
        <w:fldChar w:fldCharType="begin"/>
      </w:r>
      <w:r w:rsidR="00DC407A">
        <w:instrText xml:space="preserve"> REF _Ref1116992 \h </w:instrText>
      </w:r>
      <w:r w:rsidR="00DC407A">
        <w:fldChar w:fldCharType="separate"/>
      </w:r>
      <w:r w:rsidR="00B177F5">
        <w:t xml:space="preserve">Figure </w:t>
      </w:r>
      <w:r w:rsidR="00B177F5">
        <w:rPr>
          <w:noProof/>
        </w:rPr>
        <w:t>8</w:t>
      </w:r>
      <w:r w:rsidR="00DC407A">
        <w:fldChar w:fldCharType="end"/>
      </w:r>
      <w:r w:rsidR="00DC407A">
        <w:t>)</w:t>
      </w:r>
      <w:r>
        <w:t>.</w:t>
      </w:r>
    </w:p>
    <w:p w14:paraId="4E7EA864" w14:textId="6E5415FD" w:rsidR="00627A80" w:rsidRDefault="00627A80" w:rsidP="00C00F6D">
      <w:pPr>
        <w:pStyle w:val="ListBullet"/>
      </w:pPr>
      <w:r>
        <w:t>Regional groundwater divides segregate flow in different parts of the aquifer. A north</w:t>
      </w:r>
      <w:r w:rsidR="00737C45">
        <w:t>-</w:t>
      </w:r>
      <w:r>
        <w:t xml:space="preserve">west trending groundwater divide separates the Georgina-Daly and Wiso-Daly </w:t>
      </w:r>
      <w:r w:rsidR="00F75ED1">
        <w:t>b</w:t>
      </w:r>
      <w:r>
        <w:t xml:space="preserve">asin systems. This divide results from a combination of the Birdum Creek Fault and </w:t>
      </w:r>
      <w:r w:rsidR="009854DD">
        <w:t>Daly Waters High</w:t>
      </w:r>
      <w:r w:rsidR="008010BA">
        <w:t xml:space="preserve"> (see </w:t>
      </w:r>
      <w:r w:rsidR="008010BA" w:rsidRPr="0027225A">
        <w:fldChar w:fldCharType="begin"/>
      </w:r>
      <w:r w:rsidR="008010BA" w:rsidRPr="00364AA4">
        <w:instrText xml:space="preserve"> REF _Ref1116992 \h </w:instrText>
      </w:r>
      <w:r w:rsidR="00364AA4">
        <w:instrText xml:space="preserve"> \* MERGEFORMAT </w:instrText>
      </w:r>
      <w:r w:rsidR="008010BA" w:rsidRPr="0027225A">
        <w:fldChar w:fldCharType="separate"/>
      </w:r>
      <w:r w:rsidR="00B177F5">
        <w:t xml:space="preserve">Figure </w:t>
      </w:r>
      <w:r w:rsidR="00B177F5">
        <w:rPr>
          <w:noProof/>
        </w:rPr>
        <w:t>8</w:t>
      </w:r>
      <w:r w:rsidR="008010BA" w:rsidRPr="0027225A">
        <w:fldChar w:fldCharType="end"/>
      </w:r>
      <w:r w:rsidR="008010BA" w:rsidRPr="00364AA4">
        <w:t xml:space="preserve"> for location of fault)</w:t>
      </w:r>
      <w:r w:rsidRPr="00364AA4">
        <w:t xml:space="preserve">. In the Daly Basin there are several groundwater divides which largely </w:t>
      </w:r>
      <w:r w:rsidR="00D228BB">
        <w:t>associate</w:t>
      </w:r>
      <w:r w:rsidR="00D228BB" w:rsidRPr="00364AA4">
        <w:t xml:space="preserve"> </w:t>
      </w:r>
      <w:r w:rsidRPr="00364AA4">
        <w:t>with surface water catchment</w:t>
      </w:r>
      <w:r w:rsidR="00D228BB">
        <w:t xml:space="preserve"> boundaries</w:t>
      </w:r>
      <w:r w:rsidR="00B326AD" w:rsidRPr="00364AA4">
        <w:t xml:space="preserve"> </w:t>
      </w:r>
      <w:r w:rsidR="00364AA4">
        <w:t>(</w:t>
      </w:r>
      <w:r w:rsidR="008D0F5D" w:rsidRPr="0027225A">
        <w:fldChar w:fldCharType="begin"/>
      </w:r>
      <w:r w:rsidR="008D0F5D" w:rsidRPr="00364AA4">
        <w:instrText xml:space="preserve"> REF _Ref1137606 \h </w:instrText>
      </w:r>
      <w:r w:rsidR="00364AA4">
        <w:instrText xml:space="preserve"> \* MERGEFORMAT </w:instrText>
      </w:r>
      <w:r w:rsidR="008D0F5D" w:rsidRPr="0027225A">
        <w:fldChar w:fldCharType="separate"/>
      </w:r>
      <w:r w:rsidR="00B177F5">
        <w:t xml:space="preserve">Figure </w:t>
      </w:r>
      <w:r w:rsidR="00B177F5">
        <w:rPr>
          <w:noProof/>
        </w:rPr>
        <w:t>16</w:t>
      </w:r>
      <w:r w:rsidR="008D0F5D" w:rsidRPr="0027225A">
        <w:fldChar w:fldCharType="end"/>
      </w:r>
      <w:r w:rsidR="008D0F5D" w:rsidRPr="00746B2A">
        <w:t xml:space="preserve"> </w:t>
      </w:r>
      <w:r w:rsidR="00364AA4">
        <w:t xml:space="preserve">and </w:t>
      </w:r>
      <w:r w:rsidR="00B326AD" w:rsidRPr="0027225A">
        <w:fldChar w:fldCharType="begin"/>
      </w:r>
      <w:r w:rsidR="00F76E0D">
        <w:instrText xml:space="preserve"> ADDIN EN.CITE &lt;EndNote&gt;&lt;Cite AuthorYear="1"&gt;&lt;Author&gt;Tickell&lt;/Author&gt;&lt;Year&gt;2005&lt;/Year&gt;&lt;RecNum&gt;733&lt;/RecNum&gt;&lt;DisplayText&gt;Tickell (2005)&lt;/DisplayText&gt;&lt;record&gt;&lt;rec-number&gt;733&lt;/rec-number&gt;&lt;foreign-keys&gt;&lt;key app="EN" db-id="wdf9tzzdhw2saee559kv0vezt0wfsta0zedv" timestamp="1550544784"&gt;733&lt;/key&gt;&lt;/foreign-keys&gt;&lt;ref-type name="Report"&gt;27&lt;/ref-type&gt;&lt;contributors&gt;&lt;authors&gt;&lt;author&gt;Tickell, Stephen. J.&lt;/author&gt;&lt;/authors&gt;&lt;secondary-authors&gt;&lt;author&gt;DEPARTMENT OF NATURAL RESOURCES THE ENVIRONMENT AND THE ARTS&lt;/author&gt;&lt;author&gt;NATURAL RESOURCES DIVISION&lt;/author&gt;&lt;/secondary-authors&gt;&lt;/contributors&gt;&lt;titles&gt;&lt;title&gt;Groundwater resources of the Tindall Limestone. Report 34/2005&lt;/title&gt;&lt;secondary-title&gt;REPORT 34/2005&lt;/secondary-title&gt;&lt;/titles&gt;&lt;dates&gt;&lt;year&gt;2005&lt;/year&gt;&lt;/dates&gt;&lt;publisher&gt;Department of Natural Resources, The Environment and The Arts Natural Resources Division&lt;/publisher&gt;&lt;urls&gt;&lt;/urls&gt;&lt;/record&gt;&lt;/Cite&gt;&lt;/EndNote&gt;</w:instrText>
      </w:r>
      <w:r w:rsidR="00B326AD" w:rsidRPr="0027225A">
        <w:fldChar w:fldCharType="separate"/>
      </w:r>
      <w:r w:rsidR="00364AA4">
        <w:rPr>
          <w:noProof/>
        </w:rPr>
        <w:t>Tickell (2005)</w:t>
      </w:r>
      <w:r w:rsidR="00B326AD" w:rsidRPr="0027225A">
        <w:fldChar w:fldCharType="end"/>
      </w:r>
      <w:r w:rsidR="00364AA4">
        <w:t>)</w:t>
      </w:r>
      <w:r w:rsidRPr="00746B2A">
        <w:t>. W</w:t>
      </w:r>
      <w:r w:rsidRPr="00364AA4">
        <w:t>ithin the</w:t>
      </w:r>
      <w:r>
        <w:t xml:space="preserve"> Beetaloo GBA region, a key divide in the Daly Basin approximates the catchment divide between the King and Roper rivers (north</w:t>
      </w:r>
      <w:r w:rsidR="00737C45">
        <w:t>-</w:t>
      </w:r>
      <w:r>
        <w:t>west of Mataranka). This east-trending groundwater divide segregates groundwater flow into north and south-directed flow components along the eastern side of the Daly Basin. The south-directed groundwater flow discharges at Mataranka Thermal Pools</w:t>
      </w:r>
      <w:r w:rsidR="00786A5B">
        <w:t>.</w:t>
      </w:r>
    </w:p>
    <w:p w14:paraId="32B50446" w14:textId="09729A7F" w:rsidR="007D4205" w:rsidRDefault="00820231" w:rsidP="00C00F6D">
      <w:pPr>
        <w:pStyle w:val="ListBullet"/>
      </w:pPr>
      <w:r>
        <w:t xml:space="preserve">Holes </w:t>
      </w:r>
      <w:r w:rsidR="00D228BB">
        <w:t xml:space="preserve">that occur in the CLA </w:t>
      </w:r>
      <w:r>
        <w:t>are the result of</w:t>
      </w:r>
      <w:r w:rsidDel="00977935">
        <w:t xml:space="preserve"> </w:t>
      </w:r>
      <w:r w:rsidR="00066A2F">
        <w:t>erosion or</w:t>
      </w:r>
      <w:r>
        <w:t xml:space="preserve"> faulting</w:t>
      </w:r>
      <w:r w:rsidR="00D228BB">
        <w:t>, resulting in</w:t>
      </w:r>
      <w:r w:rsidR="002F21A4">
        <w:t xml:space="preserve"> </w:t>
      </w:r>
      <w:r w:rsidR="00627A80">
        <w:t xml:space="preserve">inliers </w:t>
      </w:r>
      <w:r w:rsidR="002F21A4">
        <w:t xml:space="preserve">of older rocks (e.g. Antrim Plateau Volcanics) </w:t>
      </w:r>
      <w:r w:rsidR="007D4205">
        <w:t xml:space="preserve">subcrop or outcrop </w:t>
      </w:r>
      <w:r w:rsidR="0060557D">
        <w:t>(</w:t>
      </w:r>
      <w:r w:rsidR="0060557D">
        <w:fldChar w:fldCharType="begin"/>
      </w:r>
      <w:r w:rsidR="0060557D">
        <w:instrText xml:space="preserve"> REF _Ref1137606 \h </w:instrText>
      </w:r>
      <w:r w:rsidR="0060557D">
        <w:fldChar w:fldCharType="separate"/>
      </w:r>
      <w:r w:rsidR="00B177F5">
        <w:t xml:space="preserve">Figure </w:t>
      </w:r>
      <w:r w:rsidR="00B177F5">
        <w:rPr>
          <w:noProof/>
        </w:rPr>
        <w:t>16</w:t>
      </w:r>
      <w:r w:rsidR="0060557D">
        <w:fldChar w:fldCharType="end"/>
      </w:r>
      <w:r w:rsidR="0060557D">
        <w:t>)</w:t>
      </w:r>
      <w:r w:rsidR="00627A80">
        <w:t xml:space="preserve">. </w:t>
      </w:r>
      <w:r>
        <w:t xml:space="preserve">These </w:t>
      </w:r>
      <w:r w:rsidR="00D228BB">
        <w:t>would</w:t>
      </w:r>
      <w:r>
        <w:t xml:space="preserve"> influence inferred groundwater flow. </w:t>
      </w:r>
    </w:p>
    <w:p w14:paraId="6C0EE881" w14:textId="2A6D463D" w:rsidR="00627A80" w:rsidRDefault="00CC3C8A" w:rsidP="00C00F6D">
      <w:pPr>
        <w:pStyle w:val="ListBullet"/>
      </w:pPr>
      <w:r>
        <w:t>T</w:t>
      </w:r>
      <w:r w:rsidR="00627A80">
        <w:t xml:space="preserve">he </w:t>
      </w:r>
      <w:r w:rsidR="002E6955">
        <w:t>Cambrian limestone is</w:t>
      </w:r>
      <w:r>
        <w:t xml:space="preserve"> </w:t>
      </w:r>
      <w:r w:rsidR="00627A80">
        <w:t xml:space="preserve">unsaturated in some areas. </w:t>
      </w:r>
      <w:r w:rsidR="0060557D">
        <w:t>In the north of the western Beetaloo GBA region, a relatively large area exists</w:t>
      </w:r>
      <w:r w:rsidR="00977935">
        <w:t xml:space="preserve"> </w:t>
      </w:r>
      <w:r w:rsidR="0060557D">
        <w:t>west of the Birdum Creek Fault</w:t>
      </w:r>
      <w:r w:rsidR="007D4205">
        <w:t>,</w:t>
      </w:r>
      <w:r w:rsidR="0060557D">
        <w:t xml:space="preserve"> where the shallowest regional groundwater is present in the </w:t>
      </w:r>
      <w:r w:rsidR="00627A80">
        <w:t xml:space="preserve">Antrim Plateau Volcanics </w:t>
      </w:r>
      <w:r w:rsidR="0060557D">
        <w:t>and not in the CLA</w:t>
      </w:r>
      <w:r w:rsidR="00627A80">
        <w:t xml:space="preserve">. A </w:t>
      </w:r>
      <w:r w:rsidR="0060557D">
        <w:t>substantial</w:t>
      </w:r>
      <w:r w:rsidR="00627A80">
        <w:t xml:space="preserve"> unsaturated area of </w:t>
      </w:r>
      <w:r w:rsidR="0060557D">
        <w:t>limestone is also present</w:t>
      </w:r>
      <w:r w:rsidR="00627A80">
        <w:t xml:space="preserve"> </w:t>
      </w:r>
      <w:r w:rsidR="0060557D">
        <w:t>to the west of</w:t>
      </w:r>
      <w:r w:rsidR="00627A80">
        <w:t xml:space="preserve"> the Beetaloo </w:t>
      </w:r>
      <w:r w:rsidR="0060557D">
        <w:t>GBA region</w:t>
      </w:r>
      <w:r w:rsidR="00627A80">
        <w:t xml:space="preserve">. </w:t>
      </w:r>
      <w:r w:rsidR="00312E95">
        <w:t xml:space="preserve">The Antrim Plateau Volcanics </w:t>
      </w:r>
      <w:r w:rsidR="00A27EDB">
        <w:t>and the Birdum Creek Fault ma</w:t>
      </w:r>
      <w:r w:rsidR="00312E95">
        <w:t>y impede flow, so t</w:t>
      </w:r>
      <w:r w:rsidR="00627A80">
        <w:t xml:space="preserve">hese </w:t>
      </w:r>
      <w:r w:rsidR="0060557D">
        <w:t>features</w:t>
      </w:r>
      <w:r w:rsidR="00312E95">
        <w:t xml:space="preserve"> </w:t>
      </w:r>
      <w:r w:rsidR="00A27EDB">
        <w:t>could</w:t>
      </w:r>
      <w:r w:rsidR="00312E95">
        <w:t xml:space="preserve"> partially confine</w:t>
      </w:r>
      <w:r w:rsidR="00627A80">
        <w:t xml:space="preserve"> </w:t>
      </w:r>
      <w:r w:rsidR="0060557D">
        <w:t xml:space="preserve">northward </w:t>
      </w:r>
      <w:r w:rsidR="00627A80">
        <w:t xml:space="preserve">groundwater </w:t>
      </w:r>
      <w:r w:rsidR="00A27EDB">
        <w:t>migration</w:t>
      </w:r>
      <w:r w:rsidR="00627A80">
        <w:t xml:space="preserve"> </w:t>
      </w:r>
      <w:r w:rsidR="0060557D">
        <w:t xml:space="preserve">in the CLA </w:t>
      </w:r>
      <w:r w:rsidR="00627A80">
        <w:t xml:space="preserve">to discrete pathways </w:t>
      </w:r>
      <w:r w:rsidR="004E7B03">
        <w:t>(</w:t>
      </w:r>
      <w:r w:rsidR="004E7B03">
        <w:fldChar w:fldCharType="begin"/>
      </w:r>
      <w:r w:rsidR="004E7B03">
        <w:instrText xml:space="preserve"> REF _Ref1137606 \h </w:instrText>
      </w:r>
      <w:r w:rsidR="004E7B03">
        <w:fldChar w:fldCharType="separate"/>
      </w:r>
      <w:r w:rsidR="00B177F5">
        <w:t xml:space="preserve">Figure </w:t>
      </w:r>
      <w:r w:rsidR="00B177F5">
        <w:rPr>
          <w:noProof/>
        </w:rPr>
        <w:t>16</w:t>
      </w:r>
      <w:r w:rsidR="004E7B03">
        <w:fldChar w:fldCharType="end"/>
      </w:r>
      <w:r w:rsidR="004E7B03">
        <w:t>)</w:t>
      </w:r>
      <w:r w:rsidR="00627A80">
        <w:t>.</w:t>
      </w:r>
      <w:r w:rsidR="0060557D">
        <w:t xml:space="preserve"> </w:t>
      </w:r>
    </w:p>
    <w:p w14:paraId="12FA9773" w14:textId="49B45226" w:rsidR="00627A80" w:rsidRDefault="00627A80" w:rsidP="00C00F6D">
      <w:pPr>
        <w:pStyle w:val="ListBullet"/>
      </w:pPr>
      <w:r>
        <w:t xml:space="preserve">The generally upward-tilted margins of the </w:t>
      </w:r>
      <w:r w:rsidR="00F75ED1">
        <w:t>CLA</w:t>
      </w:r>
      <w:r>
        <w:t xml:space="preserve"> can be unsaturated to a variable degree. </w:t>
      </w:r>
      <w:r w:rsidR="004E7B03">
        <w:t>T</w:t>
      </w:r>
      <w:r>
        <w:t xml:space="preserve">he degree of saturation is </w:t>
      </w:r>
      <w:r w:rsidR="004E7B03">
        <w:t xml:space="preserve">in part </w:t>
      </w:r>
      <w:r>
        <w:t>dependent o</w:t>
      </w:r>
      <w:r w:rsidR="00786A5B">
        <w:t>n</w:t>
      </w:r>
      <w:r>
        <w:t xml:space="preserve"> local groundwater conditions and climat</w:t>
      </w:r>
      <w:r w:rsidR="008867D1">
        <w:t>e</w:t>
      </w:r>
      <w:r>
        <w:t xml:space="preserve"> variability.</w:t>
      </w:r>
      <w:r w:rsidR="004E7B03">
        <w:t xml:space="preserve"> For instance, during periods of high rainfall groundwater levels may rise by several metres, which would have the effect of increasing the saturated area both horizontally as well as vertically. </w:t>
      </w:r>
    </w:p>
    <w:p w14:paraId="3290D08C" w14:textId="0BBAB7C0" w:rsidR="00627A80" w:rsidRDefault="00627A80" w:rsidP="00C00F6D">
      <w:pPr>
        <w:pStyle w:val="ListBullet"/>
      </w:pPr>
      <w:r>
        <w:t>Mataranka Thermal Pools and Roper River are fed by regional groundwater discharge from the CLA. In the Daly Basin, regional groundwater flow is driven largely by local recharge as well as by a contribution out of the Georgina Basin</w:t>
      </w:r>
      <w:r w:rsidR="004E7B03">
        <w:t xml:space="preserve"> to the south (Section </w:t>
      </w:r>
      <w:r w:rsidR="004E7B03">
        <w:fldChar w:fldCharType="begin"/>
      </w:r>
      <w:r w:rsidR="004E7B03">
        <w:instrText xml:space="preserve"> REF _Ref3476167 \r \h </w:instrText>
      </w:r>
      <w:r w:rsidR="004E7B03">
        <w:fldChar w:fldCharType="separate"/>
      </w:r>
      <w:r w:rsidR="00B177F5">
        <w:t>3.3.3.2.9</w:t>
      </w:r>
      <w:r w:rsidR="004E7B03">
        <w:fldChar w:fldCharType="end"/>
      </w:r>
      <w:r w:rsidR="004E7B03">
        <w:t>)</w:t>
      </w:r>
      <w:r>
        <w:t>.</w:t>
      </w:r>
      <w:r w:rsidR="004E7B03">
        <w:t xml:space="preserve"> Southward directed flow</w:t>
      </w:r>
      <w:r>
        <w:t xml:space="preserve"> </w:t>
      </w:r>
      <w:r w:rsidR="004E7B03">
        <w:t xml:space="preserve">in the Daly Basin </w:t>
      </w:r>
      <w:r>
        <w:t xml:space="preserve">from the King/Roper groundwater divide discharges at Mataranka Thermal Pools and Roper River. </w:t>
      </w:r>
    </w:p>
    <w:p w14:paraId="14482027" w14:textId="2409B254" w:rsidR="00FB4962" w:rsidRDefault="2777F559" w:rsidP="00C00F6D">
      <w:pPr>
        <w:pStyle w:val="ListBullet"/>
      </w:pPr>
      <w:r>
        <w:t xml:space="preserve">For the Tindall Limestone aquifer, the Flora River and associated springs are the regional groundwater discharge zone for flow northward out of the Wiso Basin in the Beetaloo GBA region into the western side of the Daly Basin. Inferred flow also continues northwards of the Flora River further into the Daly Basin. </w:t>
      </w:r>
    </w:p>
    <w:p w14:paraId="7DFD5F17" w14:textId="70485006" w:rsidR="00D228BB" w:rsidRDefault="007D3701" w:rsidP="004C78A2">
      <w:pPr>
        <w:pStyle w:val="BodyText"/>
      </w:pPr>
      <w:r w:rsidRPr="007D3701">
        <w:t xml:space="preserve">Understanding </w:t>
      </w:r>
      <w:r w:rsidR="00D228BB">
        <w:t xml:space="preserve">the </w:t>
      </w:r>
      <w:r w:rsidR="002E6955">
        <w:t>occurrence</w:t>
      </w:r>
      <w:r w:rsidR="00D228BB">
        <w:t xml:space="preserve"> of </w:t>
      </w:r>
      <w:r w:rsidRPr="007D3701">
        <w:t>large groundwater divides and other potential barriers to flow (e.g.</w:t>
      </w:r>
      <w:r w:rsidR="00D228BB">
        <w:t xml:space="preserve"> </w:t>
      </w:r>
      <w:r w:rsidRPr="007D3701">
        <w:t>major faults)</w:t>
      </w:r>
      <w:r w:rsidR="00B611FC">
        <w:t xml:space="preserve"> are</w:t>
      </w:r>
      <w:r w:rsidRPr="007D3701">
        <w:t xml:space="preserve"> important for understanding how an aquifer system works. Essentially these types of boundaries compartmentalise groundwater flow in an aquifer. They can act as a barrier to flow, minimising interactions (and spread of potential impacts) between different aquifer systems. It should be kept in mind that groundwater flow divides </w:t>
      </w:r>
      <w:r w:rsidR="00D228BB">
        <w:t>may</w:t>
      </w:r>
      <w:r w:rsidR="00EC58EB">
        <w:t xml:space="preserve"> migrate</w:t>
      </w:r>
      <w:r w:rsidRPr="007D3701">
        <w:t>, if groundwater is pumped excessively</w:t>
      </w:r>
      <w:r w:rsidR="00D228BB">
        <w:t xml:space="preserve">. </w:t>
      </w:r>
      <w:r w:rsidRPr="007D3701">
        <w:t>Whether</w:t>
      </w:r>
      <w:r w:rsidR="00D228BB">
        <w:t xml:space="preserve">, </w:t>
      </w:r>
      <w:r w:rsidR="002E6955">
        <w:t>and if, a groundwater divide</w:t>
      </w:r>
      <w:r w:rsidRPr="007D3701">
        <w:t xml:space="preserve"> move</w:t>
      </w:r>
      <w:r w:rsidR="002E6955">
        <w:t>s</w:t>
      </w:r>
      <w:r w:rsidRPr="007D3701">
        <w:t xml:space="preserve"> depends on </w:t>
      </w:r>
      <w:r w:rsidR="00D228BB">
        <w:t>a number of</w:t>
      </w:r>
      <w:r w:rsidRPr="007D3701">
        <w:t xml:space="preserve"> factors</w:t>
      </w:r>
      <w:r w:rsidR="00EC58EB">
        <w:t xml:space="preserve">, including the geology, </w:t>
      </w:r>
      <w:r w:rsidR="00D228BB">
        <w:t xml:space="preserve">as well </w:t>
      </w:r>
      <w:r w:rsidR="002E6955">
        <w:t>as the</w:t>
      </w:r>
      <w:r w:rsidR="00D228BB">
        <w:t xml:space="preserve"> </w:t>
      </w:r>
      <w:r w:rsidRPr="007D3701">
        <w:t>duration</w:t>
      </w:r>
      <w:r w:rsidR="00EC58EB">
        <w:t xml:space="preserve"> and volume</w:t>
      </w:r>
      <w:r w:rsidRPr="007D3701">
        <w:t xml:space="preserve"> of </w:t>
      </w:r>
      <w:r w:rsidR="00EC58EB">
        <w:t xml:space="preserve">groundwater </w:t>
      </w:r>
      <w:r w:rsidRPr="007D3701">
        <w:t>pumping.</w:t>
      </w:r>
    </w:p>
    <w:p w14:paraId="27FCC8A6" w14:textId="2CAC8943" w:rsidR="00EB2761" w:rsidRDefault="00E64CEA" w:rsidP="004C78A2">
      <w:pPr>
        <w:pStyle w:val="BodyText"/>
      </w:pPr>
      <w:r>
        <w:t>S</w:t>
      </w:r>
      <w:r w:rsidR="00304DC8">
        <w:t xml:space="preserve">ome </w:t>
      </w:r>
      <w:r w:rsidR="00D228BB">
        <w:t>discrepancies are apparent in</w:t>
      </w:r>
      <w:r w:rsidR="004C78A2">
        <w:t xml:space="preserve"> the regional groundwater flow patterns </w:t>
      </w:r>
      <w:r w:rsidR="00D228BB">
        <w:t xml:space="preserve">as </w:t>
      </w:r>
      <w:r>
        <w:t xml:space="preserve">outlined on </w:t>
      </w:r>
      <w:r>
        <w:fldChar w:fldCharType="begin"/>
      </w:r>
      <w:r>
        <w:instrText xml:space="preserve"> REF _Ref1137606 \h  \* MERGEFORMAT </w:instrText>
      </w:r>
      <w:r>
        <w:fldChar w:fldCharType="separate"/>
      </w:r>
      <w:r w:rsidR="00B177F5">
        <w:t xml:space="preserve">Figure </w:t>
      </w:r>
      <w:r w:rsidR="00B177F5">
        <w:rPr>
          <w:noProof/>
        </w:rPr>
        <w:t>16</w:t>
      </w:r>
      <w:r>
        <w:fldChar w:fldCharType="end"/>
      </w:r>
      <w:r w:rsidR="008F788E">
        <w:t>. For instance</w:t>
      </w:r>
      <w:r w:rsidR="004C78A2">
        <w:t xml:space="preserve">, springs </w:t>
      </w:r>
      <w:r>
        <w:t xml:space="preserve">located </w:t>
      </w:r>
      <w:r w:rsidR="008F788E">
        <w:t xml:space="preserve">along the south-western margin of the </w:t>
      </w:r>
      <w:r>
        <w:t>CLA</w:t>
      </w:r>
      <w:r w:rsidR="008F788E">
        <w:t xml:space="preserve"> are situated in</w:t>
      </w:r>
      <w:r w:rsidR="004C78A2">
        <w:t xml:space="preserve"> </w:t>
      </w:r>
      <w:r>
        <w:t xml:space="preserve">an </w:t>
      </w:r>
      <w:r w:rsidR="004C78A2">
        <w:t xml:space="preserve">area where regional groundwater flow is </w:t>
      </w:r>
      <w:r w:rsidR="00D228BB">
        <w:t xml:space="preserve">apparently </w:t>
      </w:r>
      <w:r w:rsidR="004C78A2">
        <w:t>directed</w:t>
      </w:r>
      <w:r w:rsidR="008F788E">
        <w:t xml:space="preserve"> away from the </w:t>
      </w:r>
      <w:r>
        <w:t xml:space="preserve">limestone </w:t>
      </w:r>
      <w:r w:rsidR="008F788E">
        <w:t>margins. This cannot be the ca</w:t>
      </w:r>
      <w:r>
        <w:t>se as</w:t>
      </w:r>
      <w:r w:rsidR="008F788E">
        <w:t xml:space="preserve"> these springs </w:t>
      </w:r>
      <w:r w:rsidR="002F21A4">
        <w:t xml:space="preserve">are </w:t>
      </w:r>
      <w:r w:rsidR="00EF0CBA">
        <w:t xml:space="preserve">thought </w:t>
      </w:r>
      <w:r w:rsidR="002F21A4">
        <w:t>to</w:t>
      </w:r>
      <w:r>
        <w:t xml:space="preserve"> source</w:t>
      </w:r>
      <w:r w:rsidR="008F788E">
        <w:t xml:space="preserve"> water from </w:t>
      </w:r>
      <w:r w:rsidR="004C78A2">
        <w:t xml:space="preserve">the </w:t>
      </w:r>
      <w:r w:rsidR="00EF0CBA">
        <w:t>CLA</w:t>
      </w:r>
      <w:r w:rsidR="002F21A4">
        <w:t xml:space="preserve"> </w:t>
      </w:r>
      <w:r w:rsidR="00A541ED">
        <w:fldChar w:fldCharType="begin"/>
      </w:r>
      <w:r w:rsidR="00F76E0D">
        <w:instrText xml:space="preserve"> ADDIN EN.CITE &lt;EndNote&gt;&lt;Cite&gt;&lt;Author&gt;Department of Environment and Natural Resources (NT)&lt;/Author&gt;&lt;Year&gt;2013&lt;/Year&gt;&lt;RecNum&gt;830&lt;/RecNum&gt;&lt;DisplayText&gt;(Department of Environment and Natural Resources (NT), 2013)&lt;/DisplayText&gt;&lt;record&gt;&lt;rec-number&gt;830&lt;/rec-number&gt;&lt;foreign-keys&gt;&lt;key app="EN" db-id="wdf9tzzdhw2saee559kv0vezt0wfsta0zedv" timestamp="1553215245"&gt;830&lt;/key&gt;&lt;/foreign-keys&gt;&lt;ref-type name="Dataset"&gt;59&lt;/ref-type&gt;&lt;contributors&gt;&lt;authors&gt;&lt;author&gt;Department of Environment and Natural Resources (NT),&lt;/author&gt;&lt;/authors&gt;&lt;secondary-authors&gt;&lt;author&gt;,&lt;/author&gt;&lt;/secondary-authors&gt;&lt;/contributors&gt;&lt;titles&gt;&lt;title&gt;Springs of the Northern Territory&lt;/title&gt;&lt;/titles&gt;&lt;keywords&gt;&lt;keyword&gt;WATER Hydrology Mapping, ECOLOGY biophysical, WATER Hydrology Mapping&lt;/keyword&gt;&lt;/keywords&gt;&lt;dates&gt;&lt;year&gt;2013&lt;/year&gt;&lt;/dates&gt;&lt;pub-location&gt;Canberra&lt;/pub-location&gt;&lt;label&gt;1D351848-02FB-4E90-9390-4E2F895B9F89&lt;/label&gt;&lt;urls&gt;&lt;related-urls&gt;&lt;url&gt;http://www.ntlis.nt.gov.au/metadata/export_data?type=html&amp;amp;metadata_id=E9D78F668FC02B33E040CD9B214403C3&lt;/url&gt;&lt;/related-urls&gt;&lt;/urls&gt;&lt;custom2&gt;unit of observation&lt;/custom2&gt;&lt;custom3&gt;spatial&lt;/custom3&gt;&lt;custom4&gt;dataset&lt;/custom4&gt;&lt;access-date&gt;20 March 2019&lt;/access-date&gt;&lt;/record&gt;&lt;/Cite&gt;&lt;/EndNote&gt;</w:instrText>
      </w:r>
      <w:r w:rsidR="00A541ED">
        <w:fldChar w:fldCharType="separate"/>
      </w:r>
      <w:r w:rsidR="00CF643D">
        <w:rPr>
          <w:noProof/>
        </w:rPr>
        <w:t>(Department of Environment and Natural Resources (NT), 2013)</w:t>
      </w:r>
      <w:r w:rsidR="00A541ED">
        <w:fldChar w:fldCharType="end"/>
      </w:r>
      <w:r>
        <w:t xml:space="preserve">. </w:t>
      </w:r>
      <w:r w:rsidR="00E75C2E">
        <w:t>In the CLA s</w:t>
      </w:r>
      <w:r w:rsidR="004C78A2">
        <w:t>ome</w:t>
      </w:r>
      <w:r w:rsidR="008F788E">
        <w:t xml:space="preserve"> groundw</w:t>
      </w:r>
      <w:r w:rsidR="004C78A2">
        <w:t>ater flow would need to be directed</w:t>
      </w:r>
      <w:r w:rsidR="008F788E">
        <w:t xml:space="preserve"> towards the margins </w:t>
      </w:r>
      <w:r w:rsidR="00E75C2E">
        <w:t>to</w:t>
      </w:r>
      <w:r w:rsidR="00EF0CBA">
        <w:t xml:space="preserve"> a groundwater </w:t>
      </w:r>
      <w:r>
        <w:t>source for</w:t>
      </w:r>
      <w:r w:rsidR="004C78A2">
        <w:t xml:space="preserve"> </w:t>
      </w:r>
      <w:r w:rsidR="008F788E">
        <w:t>the springs</w:t>
      </w:r>
      <w:r w:rsidR="004C78A2">
        <w:t xml:space="preserve">. This </w:t>
      </w:r>
      <w:r w:rsidR="00EF0CBA">
        <w:t>suggests</w:t>
      </w:r>
      <w:r w:rsidR="004C78A2">
        <w:t xml:space="preserve"> that </w:t>
      </w:r>
      <w:r w:rsidR="00EF0CBA">
        <w:t xml:space="preserve">that there are other factors influencing groundwater flow, such as another regional </w:t>
      </w:r>
      <w:r w:rsidR="004C78A2">
        <w:t xml:space="preserve">groundwater divide </w:t>
      </w:r>
      <w:r w:rsidR="002E6955">
        <w:t>occurring</w:t>
      </w:r>
      <w:r w:rsidR="00EF0CBA">
        <w:t xml:space="preserve"> </w:t>
      </w:r>
      <w:r>
        <w:t>near the margin</w:t>
      </w:r>
      <w:r w:rsidR="00EF0CBA">
        <w:t xml:space="preserve"> of the systems</w:t>
      </w:r>
      <w:r>
        <w:t>. Th</w:t>
      </w:r>
      <w:r w:rsidR="00EF0CBA">
        <w:t>ese aspects are discussed</w:t>
      </w:r>
      <w:r>
        <w:t xml:space="preserve"> further</w:t>
      </w:r>
      <w:r w:rsidR="004C78A2">
        <w:t xml:space="preserve"> in Section </w:t>
      </w:r>
      <w:r w:rsidR="004C78A2">
        <w:fldChar w:fldCharType="begin"/>
      </w:r>
      <w:r w:rsidR="004C78A2">
        <w:instrText xml:space="preserve"> REF _Ref4056897 \r \h  \* MERGEFORMAT </w:instrText>
      </w:r>
      <w:r w:rsidR="004C78A2">
        <w:fldChar w:fldCharType="separate"/>
      </w:r>
      <w:r w:rsidR="00B177F5">
        <w:t>3.3.3.2.2</w:t>
      </w:r>
      <w:r w:rsidR="004C78A2">
        <w:fldChar w:fldCharType="end"/>
      </w:r>
      <w:r w:rsidR="004C78A2">
        <w:t xml:space="preserve"> (</w:t>
      </w:r>
      <w:r w:rsidR="00EF0CBA">
        <w:t xml:space="preserve">and illustrated in </w:t>
      </w:r>
      <w:r w:rsidR="004C78A2">
        <w:fldChar w:fldCharType="begin"/>
      </w:r>
      <w:r w:rsidR="004C78A2">
        <w:instrText xml:space="preserve"> REF _Ref4056921 \h  \* MERGEFORMAT </w:instrText>
      </w:r>
      <w:r w:rsidR="004C78A2">
        <w:fldChar w:fldCharType="separate"/>
      </w:r>
      <w:r w:rsidR="00B177F5">
        <w:t xml:space="preserve">Figure </w:t>
      </w:r>
      <w:r w:rsidR="00B177F5">
        <w:rPr>
          <w:noProof/>
        </w:rPr>
        <w:t>17</w:t>
      </w:r>
      <w:r w:rsidR="004C78A2">
        <w:fldChar w:fldCharType="end"/>
      </w:r>
      <w:r w:rsidR="004C78A2">
        <w:t>)</w:t>
      </w:r>
      <w:r w:rsidR="008F788E">
        <w:t>.</w:t>
      </w:r>
    </w:p>
    <w:p w14:paraId="26AD3245" w14:textId="5C9A9D8A" w:rsidR="008F788E" w:rsidRPr="002B2961" w:rsidRDefault="000062E0" w:rsidP="003E1F1E">
      <w:pPr>
        <w:pStyle w:val="Figures"/>
      </w:pPr>
      <w:r>
        <w:rPr>
          <w:noProof/>
        </w:rPr>
        <w:drawing>
          <wp:inline distT="0" distB="0" distL="0" distR="0" wp14:anchorId="1CAFE0F2" wp14:editId="6585FF5D">
            <wp:extent cx="6129022" cy="6781163"/>
            <wp:effectExtent l="0" t="0" r="5080" b="635"/>
            <wp:docPr id="672934623" name="Picture 11" descr="C:\Users\u60793\Documents\GBA-BEE-2-086_CLA_hydrodynamic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73">
                      <a:extLst>
                        <a:ext uri="{28A0092B-C50C-407E-A947-70E740481C1C}">
                          <a14:useLocalDpi xmlns:a14="http://schemas.microsoft.com/office/drawing/2010/main" val="0"/>
                        </a:ext>
                      </a:extLst>
                    </a:blip>
                    <a:stretch>
                      <a:fillRect/>
                    </a:stretch>
                  </pic:blipFill>
                  <pic:spPr>
                    <a:xfrm>
                      <a:off x="0" y="0"/>
                      <a:ext cx="6129022" cy="6781163"/>
                    </a:xfrm>
                    <a:prstGeom prst="rect">
                      <a:avLst/>
                    </a:prstGeom>
                  </pic:spPr>
                </pic:pic>
              </a:graphicData>
            </a:graphic>
          </wp:inline>
        </w:drawing>
      </w:r>
    </w:p>
    <w:p w14:paraId="1CCABF97" w14:textId="77758D5B" w:rsidR="004700CE" w:rsidRDefault="004700CE" w:rsidP="00C00F6D">
      <w:pPr>
        <w:pStyle w:val="Caption"/>
      </w:pPr>
      <w:bookmarkStart w:id="473" w:name="_Ref1137606"/>
      <w:bookmarkStart w:id="474" w:name="_Toc4072439"/>
      <w:bookmarkStart w:id="475" w:name="_Toc4670952"/>
      <w:bookmarkStart w:id="476" w:name="_Toc4754372"/>
      <w:bookmarkStart w:id="477" w:name="_Toc5020757"/>
      <w:bookmarkStart w:id="478" w:name="_Toc5021564"/>
      <w:bookmarkStart w:id="479" w:name="_Toc5097090"/>
      <w:bookmarkStart w:id="480" w:name="_Toc5108482"/>
      <w:bookmarkStart w:id="481" w:name="_Toc5284147"/>
      <w:bookmarkStart w:id="482" w:name="_Toc5635361"/>
      <w:bookmarkStart w:id="483" w:name="_Toc5808320"/>
      <w:bookmarkStart w:id="484" w:name="_Toc5895012"/>
      <w:bookmarkStart w:id="485" w:name="_Toc6308901"/>
      <w:bookmarkStart w:id="486" w:name="_Toc6327566"/>
      <w:bookmarkStart w:id="487" w:name="_Toc38990470"/>
      <w:r>
        <w:t xml:space="preserve">Figure </w:t>
      </w:r>
      <w:r w:rsidRPr="78541554">
        <w:fldChar w:fldCharType="begin"/>
      </w:r>
      <w:r>
        <w:rPr>
          <w:noProof/>
        </w:rPr>
        <w:instrText xml:space="preserve"> SEQ Figure \* ARABIC </w:instrText>
      </w:r>
      <w:r w:rsidRPr="78541554">
        <w:rPr>
          <w:noProof/>
        </w:rPr>
        <w:fldChar w:fldCharType="separate"/>
      </w:r>
      <w:r w:rsidR="00B177F5">
        <w:rPr>
          <w:noProof/>
        </w:rPr>
        <w:t>16</w:t>
      </w:r>
      <w:r w:rsidRPr="78541554">
        <w:fldChar w:fldCharType="end"/>
      </w:r>
      <w:bookmarkEnd w:id="473"/>
      <w:r w:rsidR="0071575C">
        <w:t xml:space="preserve"> </w:t>
      </w:r>
      <w:r w:rsidR="001E674A">
        <w:t xml:space="preserve">Flow systems of the </w:t>
      </w:r>
      <w:r>
        <w:t xml:space="preserve">Cambrian Limestone </w:t>
      </w:r>
      <w:r w:rsidR="00977935">
        <w:t>A</w:t>
      </w:r>
      <w:r>
        <w:t>quifer system</w:t>
      </w:r>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p>
    <w:p w14:paraId="14E88D28" w14:textId="4A0C2D66" w:rsidR="001E3C87" w:rsidRPr="004C61D8" w:rsidRDefault="00633C5C" w:rsidP="00B979A9">
      <w:pPr>
        <w:pStyle w:val="SourceornoteforTableorFigure"/>
      </w:pPr>
      <w:r>
        <w:t>Many</w:t>
      </w:r>
      <w:r w:rsidRPr="00186570">
        <w:t xml:space="preserve"> of </w:t>
      </w:r>
      <w:r>
        <w:t>the b</w:t>
      </w:r>
      <w:r w:rsidRPr="00186570">
        <w:t xml:space="preserve">ores on </w:t>
      </w:r>
      <w:r w:rsidRPr="00186570">
        <w:fldChar w:fldCharType="begin"/>
      </w:r>
      <w:r w:rsidRPr="00186570">
        <w:instrText xml:space="preserve"> REF _Ref3985270 \h </w:instrText>
      </w:r>
      <w:r>
        <w:instrText xml:space="preserve"> \* MERGEFORMAT </w:instrText>
      </w:r>
      <w:r w:rsidRPr="00186570">
        <w:fldChar w:fldCharType="separate"/>
      </w:r>
      <w:r w:rsidR="00B177F5">
        <w:t>Figure 18</w:t>
      </w:r>
      <w:r w:rsidRPr="00186570">
        <w:fldChar w:fldCharType="end"/>
      </w:r>
      <w:r>
        <w:t xml:space="preserve"> </w:t>
      </w:r>
      <w:r w:rsidRPr="00186570">
        <w:t>draw</w:t>
      </w:r>
      <w:r>
        <w:t xml:space="preserve"> water</w:t>
      </w:r>
      <w:r w:rsidRPr="00186570">
        <w:t xml:space="preserve"> from </w:t>
      </w:r>
      <w:r>
        <w:t xml:space="preserve">the </w:t>
      </w:r>
      <w:r w:rsidRPr="00186570">
        <w:t xml:space="preserve">Cambrian Limestone </w:t>
      </w:r>
      <w:r>
        <w:t>A</w:t>
      </w:r>
      <w:r w:rsidRPr="00186570">
        <w:t>quifer</w:t>
      </w:r>
      <w:r w:rsidR="00993AAD">
        <w:t>.</w:t>
      </w:r>
      <w:r w:rsidR="00D035D6">
        <w:br/>
      </w:r>
      <w:r w:rsidRPr="00A61A49">
        <w:t xml:space="preserve">Data: </w:t>
      </w:r>
      <w:r w:rsidR="002970B6">
        <w:t>regional water</w:t>
      </w:r>
      <w:r w:rsidR="007C1CF7">
        <w:t>table</w:t>
      </w:r>
      <w:r w:rsidR="002970B6">
        <w:t xml:space="preserve"> contours and flow arrows after</w:t>
      </w:r>
      <w:r w:rsidR="00D035D6">
        <w:t xml:space="preserve"> </w:t>
      </w:r>
      <w:r w:rsidR="00D035D6">
        <w:fldChar w:fldCharType="begin"/>
      </w:r>
      <w:r w:rsidR="008F30E0">
        <w:instrText xml:space="preserve"> ADDIN EN.CITE &lt;EndNote&gt;&lt;Cite AuthorYear="1"&gt;&lt;Author&gt;Fulton&lt;/Author&gt;&lt;Year&gt;2015&lt;/Year&gt;&lt;RecNum&gt;1365&lt;/RecNum&gt;&lt;DisplayText&gt;Fulton and Knapton (2015a)&lt;/DisplayText&gt;&lt;record&gt;&lt;rec-number&gt;1365&lt;/rec-number&gt;&lt;foreign-keys&gt;&lt;key app="EN" db-id="wdf9tzzdhw2saee559kv0vezt0wfsta0zedv" timestamp="1574731911"&gt;1365&lt;/key&gt;&lt;/foreign-keys&gt;&lt;ref-type name="Dataset"&gt;59&lt;/ref-type&gt;&lt;contributors&gt;&lt;authors&gt;&lt;author&gt;Fulton, S&lt;/author&gt;&lt;author&gt;Knapton, Anthony&lt;/author&gt;&lt;/authors&gt;&lt;/contributors&gt;&lt;titles&gt;&lt;title&gt;Water table contours and flow direction arrows from water table mapping for the cambrian limestone aquifer used in Beetaloo hydrogeological assessment report&lt;/title&gt;&lt;/titles&gt;&lt;dates&gt;&lt;year&gt;2015&lt;/year&gt;&lt;/dates&gt;&lt;label&gt;4BCBE081-EE77-474D-9451-0CF52A6BEFA4&lt;/label&gt;&lt;urls&gt;&lt;related-urls&gt;&lt;url&gt;https://repo.bioregionalassessments.gov.au/metadata/4BCBE081-EE77-474D-9451-0CF52A6BEFA4&lt;/url&gt;&lt;/related-urls&gt;&lt;/urls&gt;&lt;access-date&gt;24 April 2020&lt;/access-date&gt;&lt;/record&gt;&lt;/Cite&gt;&lt;/EndNote&gt;</w:instrText>
      </w:r>
      <w:r w:rsidR="00D035D6">
        <w:fldChar w:fldCharType="separate"/>
      </w:r>
      <w:r w:rsidR="008F30E0">
        <w:rPr>
          <w:noProof/>
        </w:rPr>
        <w:t>Fulton and Knapton (2015a)</w:t>
      </w:r>
      <w:r w:rsidR="00D035D6">
        <w:fldChar w:fldCharType="end"/>
      </w:r>
      <w:r w:rsidR="00A5685D">
        <w:t xml:space="preserve">; limestone extent from: </w:t>
      </w:r>
      <w:r w:rsidR="00A5685D">
        <w:fldChar w:fldCharType="begin"/>
      </w:r>
      <w:r w:rsidR="005D0C32">
        <w:instrText xml:space="preserve"> ADDIN EN.CITE &lt;EndNote&gt;&lt;Cite AuthorYear="1"&gt;&lt;Author&gt;Department of Environment and Natural Resources (NT)&lt;/Author&gt;&lt;Year&gt;2018&lt;/Year&gt;&lt;RecNum&gt;1511&lt;/RecNum&gt;&lt;DisplayText&gt;Department of Environment and Natural Resources (NT) (2018c)&lt;/DisplayText&gt;&lt;record&gt;&lt;rec-number&gt;1511&lt;/rec-number&gt;&lt;foreign-keys&gt;&lt;key app="EN" db-id="wdf9tzzdhw2saee559kv0vezt0wfsta0zedv" timestamp="1586412276"&gt;1511&lt;/key&gt;&lt;/foreign-keys&gt;&lt;ref-type name="Dataset"&gt;59&lt;/ref-type&gt;&lt;contributors&gt;&lt;authors&gt;&lt;author&gt;Department of Environment and Natural Resources (NT),&lt;/author&gt;&lt;/authors&gt;&lt;/contributors&gt;&lt;titles&gt;&lt;title&gt;Base of the Jinduckin and Tindall Formations&lt;/title&gt;&lt;/titles&gt;&lt;dates&gt;&lt;year&gt;2018&lt;/year&gt;&lt;/dates&gt;&lt;label&gt;F44AB442-944E-40B8-8EEE-06991E0D1184&lt;/label&gt;&lt;urls&gt;&lt;related-urls&gt;&lt;url&gt;https://denr.nt.gov.au/land-resource-management/info-systems/natural-resource-maps/spatial-data-requests&lt;/url&gt;&lt;/related-urls&gt;&lt;/urls&gt;&lt;custom3&gt;ArcGIS shape file&lt;/custom3&gt;&lt;access-date&gt;27 March 2020&lt;/access-date&gt;&lt;/record&gt;&lt;/Cite&gt;&lt;/EndNote&gt;</w:instrText>
      </w:r>
      <w:r w:rsidR="00A5685D">
        <w:fldChar w:fldCharType="separate"/>
      </w:r>
      <w:r w:rsidR="005D0C32">
        <w:rPr>
          <w:noProof/>
        </w:rPr>
        <w:t>Department of Environment and Natural Resources (NT) (2018c)</w:t>
      </w:r>
      <w:r w:rsidR="00A5685D">
        <w:fldChar w:fldCharType="end"/>
      </w:r>
      <w:r w:rsidR="00A5685D">
        <w:t xml:space="preserve">; limestone subcrop from: </w:t>
      </w:r>
      <w:r w:rsidR="00A5685D">
        <w:fldChar w:fldCharType="begin"/>
      </w:r>
      <w:r w:rsidR="00A5685D">
        <w:instrText xml:space="preserve"> ADDIN EN.CITE &lt;EndNote&gt;&lt;Cite AuthorYear="1"&gt;&lt;Author&gt;Department of Environment and Natural Resources (NT)&lt;/Author&gt;&lt;Year&gt;2008&lt;/Year&gt;&lt;RecNum&gt;1543&lt;/RecNum&gt;&lt;DisplayText&gt;Department of Environment and Natural Resources (NT) (2008)&lt;/DisplayText&gt;&lt;record&gt;&lt;rec-number&gt;1543&lt;/rec-number&gt;&lt;foreign-keys&gt;&lt;key app="EN" db-id="wdf9tzzdhw2saee559kv0vezt0wfsta0zedv" timestamp="1588042412"&gt;1543&lt;/key&gt;&lt;/foreign-keys&gt;&lt;ref-type name="Dataset"&gt;59&lt;/ref-type&gt;&lt;contributors&gt;&lt;authors&gt;&lt;author&gt;Department of Environment and Natural Resources (NT),&lt;/author&gt;&lt;/authors&gt;&lt;secondary-authors&gt;&lt;author&gt;Geoscience Australia,&lt;/author&gt;&lt;/secondary-authors&gt;&lt;/contributors&gt;&lt;titles&gt;&lt;title&gt;Northern Territory Groundwater Aquifers 2M&lt;/title&gt;&lt;/titles&gt;&lt;keywords&gt;&lt;keyword&gt;hydrogeology&lt;/keyword&gt;&lt;/keywords&gt;&lt;dates&gt;&lt;year&gt;2008&lt;/year&gt;&lt;/dates&gt;&lt;pub-location&gt;Canberra&lt;/pub-location&gt;&lt;label&gt;81355DDF-AB96-40A3-8E7E-DFBC88199762&lt;/label&gt;&lt;urls&gt;&lt;related-urls&gt;&lt;url&gt;http://www.ntlis.nt.gov.au/metadata/export_data?type=html&amp;amp;metadata_id=535D1EECEB0F528AE040CD9B21446C20&lt;/url&gt;&lt;/related-urls&gt;&lt;/urls&gt;&lt;custom2&gt;unit of observation&lt;/custom2&gt;&lt;custom3&gt;spatial&lt;/custom3&gt;&lt;custom4&gt;dataset&lt;/custom4&gt;&lt;access-date&gt;28 April 2020&lt;/access-date&gt;&lt;/record&gt;&lt;/Cite&gt;&lt;/EndNote&gt;</w:instrText>
      </w:r>
      <w:r w:rsidR="00A5685D">
        <w:fldChar w:fldCharType="separate"/>
      </w:r>
      <w:r w:rsidR="00A5685D">
        <w:rPr>
          <w:noProof/>
        </w:rPr>
        <w:t>Department of Environment and Natural Resources (NT) (2008)</w:t>
      </w:r>
      <w:r w:rsidR="00A5685D">
        <w:fldChar w:fldCharType="end"/>
      </w:r>
      <w:r w:rsidR="00D035D6">
        <w:br/>
      </w:r>
      <w:r w:rsidRPr="00B77B6D">
        <w:t>Element: GBA-</w:t>
      </w:r>
      <w:r>
        <w:t>BEE</w:t>
      </w:r>
      <w:r w:rsidRPr="00B77B6D">
        <w:t>-2-</w:t>
      </w:r>
      <w:r>
        <w:t>08</w:t>
      </w:r>
      <w:r w:rsidR="0031369B">
        <w:t>6</w:t>
      </w:r>
    </w:p>
    <w:p w14:paraId="476140F4" w14:textId="77777777" w:rsidR="004C78A2" w:rsidRDefault="004C78A2" w:rsidP="005B07E3">
      <w:pPr>
        <w:pStyle w:val="Heading6"/>
      </w:pPr>
      <w:bookmarkStart w:id="488" w:name="_Ref4056897"/>
      <w:r>
        <w:t>Discrepancies between different generations of potentiometric surfaces for the Cambrian Limestone Aquifer</w:t>
      </w:r>
      <w:bookmarkEnd w:id="488"/>
      <w:r>
        <w:t xml:space="preserve"> </w:t>
      </w:r>
    </w:p>
    <w:p w14:paraId="7905A3F5" w14:textId="38247989" w:rsidR="004C78A2" w:rsidRDefault="004C78A2" w:rsidP="004C78A2">
      <w:r>
        <w:t>The regional water</w:t>
      </w:r>
      <w:r w:rsidR="00A00A2A">
        <w:t>table</w:t>
      </w:r>
      <w:r>
        <w:t xml:space="preserve"> outlined in </w:t>
      </w:r>
      <w:r>
        <w:fldChar w:fldCharType="begin"/>
      </w:r>
      <w:r>
        <w:instrText xml:space="preserve"> REF _Ref1137606 \h </w:instrText>
      </w:r>
      <w:r>
        <w:fldChar w:fldCharType="separate"/>
      </w:r>
      <w:r w:rsidR="00B177F5">
        <w:t xml:space="preserve">Figure </w:t>
      </w:r>
      <w:r w:rsidR="00B177F5">
        <w:rPr>
          <w:noProof/>
        </w:rPr>
        <w:t>16</w:t>
      </w:r>
      <w:r>
        <w:fldChar w:fldCharType="end"/>
      </w:r>
      <w:r>
        <w:t xml:space="preserve"> is one of the more recent iterations for the </w:t>
      </w:r>
      <w:r w:rsidR="00786A5B">
        <w:t>CLA</w:t>
      </w:r>
      <w:r>
        <w:t>. Water</w:t>
      </w:r>
      <w:r w:rsidR="00A00A2A">
        <w:t>table</w:t>
      </w:r>
      <w:r>
        <w:t xml:space="preserve"> maps ha</w:t>
      </w:r>
      <w:r w:rsidR="00786A5B">
        <w:t>ve</w:t>
      </w:r>
      <w:r>
        <w:t xml:space="preserve"> been derived for other regional studies, including </w:t>
      </w:r>
      <w:r w:rsidR="00A541ED">
        <w:fldChar w:fldCharType="begin"/>
      </w:r>
      <w:r w:rsidR="00F76E0D">
        <w:instrText xml:space="preserve"> ADDIN EN.CITE &lt;EndNote&gt;&lt;Cite AuthorYear="1"&gt;&lt;Author&gt;Randal&lt;/Author&gt;&lt;Year&gt;1973&lt;/Year&gt;&lt;RecNum&gt;1271&lt;/RecNum&gt;&lt;DisplayText&gt;Randal (1973)&lt;/DisplayText&gt;&lt;record&gt;&lt;rec-number&gt;1271&lt;/rec-number&gt;&lt;foreign-keys&gt;&lt;key app="EN" db-id="wdf9tzzdhw2saee559kv0vezt0wfsta0zedv" timestamp="1569370340"&gt;1271&lt;/key&gt;&lt;/foreign-keys&gt;&lt;ref-type name="Report"&gt;27&lt;/ref-type&gt;&lt;contributors&gt;&lt;authors&gt;&lt;author&gt;Randal, M. A.&lt;/author&gt;&lt;/authors&gt;&lt;tertiary-authors&gt;&lt;author&gt;Bureau of Mineral Resources, Geology and Geophysics, &lt;/author&gt;&lt;/tertiary-authors&gt;&lt;subsidiary-authors&gt;&lt;author&gt;Bureau of Mineral Resources, Geology and Geophysics, &lt;/author&gt;&lt;/subsidiary-authors&gt;&lt;/contributors&gt;&lt;titles&gt;&lt;title&gt;Groundwater in the Northern Wiso Basin and environs, Northern Territory&lt;/title&gt;&lt;/titles&gt;&lt;dates&gt;&lt;year&gt;1973&lt;/year&gt;&lt;/dates&gt;&lt;pub-location&gt;Canberra&lt;/pub-location&gt;&lt;publisher&gt;Bureau of Mineral Resources&lt;/publisher&gt;&lt;urls&gt;&lt;related-urls&gt;&lt;url&gt;http://www.ga.gov.au/metadata-gateway/metadata/record/100/&lt;/url&gt;&lt;/related-urls&gt;&lt;/urls&gt;&lt;access-date&gt;25 October 2019&lt;/access-date&gt;&lt;/record&gt;&lt;/Cite&gt;&lt;/EndNote&gt;</w:instrText>
      </w:r>
      <w:r w:rsidR="00A541ED">
        <w:fldChar w:fldCharType="separate"/>
      </w:r>
      <w:r w:rsidR="00E02D87">
        <w:rPr>
          <w:noProof/>
        </w:rPr>
        <w:t>Randal (1973)</w:t>
      </w:r>
      <w:r w:rsidR="00A541ED">
        <w:fldChar w:fldCharType="end"/>
      </w:r>
      <w:r w:rsidR="006D0A7E">
        <w:t xml:space="preserve"> </w:t>
      </w:r>
      <w:r>
        <w:t xml:space="preserve">and </w:t>
      </w:r>
      <w:r w:rsidR="00F83B9A">
        <w:fldChar w:fldCharType="begin"/>
      </w:r>
      <w:r w:rsidR="00F83B9A">
        <w:instrText xml:space="preserve"> ADDIN EN.CITE &lt;EndNote&gt;&lt;Cite AuthorYear="1"&gt;&lt;Author&gt;Origin Energy&lt;/Author&gt;&lt;Year&gt;2019&lt;/Year&gt;&lt;RecNum&gt;1519&lt;/RecNum&gt;&lt;DisplayText&gt;Origin Energy (2019)&lt;/DisplayText&gt;&lt;record&gt;&lt;rec-number&gt;1519&lt;/rec-number&gt;&lt;foreign-keys&gt;&lt;key app="EN" db-id="wdf9tzzdhw2saee559kv0vezt0wfsta0zedv" timestamp="1587707256"&gt;1519&lt;/key&gt;&lt;/foreign-keys&gt;&lt;ref-type name="Dataset"&gt;59&lt;/ref-type&gt;&lt;contributors&gt;&lt;authors&gt;&lt;author&gt;Origin Energy,&lt;/author&gt;&lt;/authors&gt;&lt;secondary-authors&gt;&lt;author&gt;Geoscience Australia,&lt;/author&gt;&lt;/secondary-authors&gt;&lt;/contributors&gt;&lt;titles&gt;&lt;title&gt;Origin Data Package&lt;/title&gt;&lt;/titles&gt;&lt;keywords&gt;&lt;keyword&gt;WATER Quality, hydrogeology&lt;/keyword&gt;&lt;/keywords&gt;&lt;dates&gt;&lt;year&gt;2019&lt;/year&gt;&lt;/dates&gt;&lt;pub-location&gt;Canberra&lt;/pub-location&gt;&lt;label&gt;0BE0A3FE-7C2E-48EF-B890-F42C38EEF24F&lt;/label&gt;&lt;urls&gt;&lt;related-urls&gt;&lt;url&gt;https://www.originenergy.com.au/&lt;/url&gt;&lt;/related-urls&gt;&lt;/urls&gt;&lt;custom2&gt;unit of observation&lt;/custom2&gt;&lt;custom3&gt;tabular&lt;/custom3&gt;&lt;custom4&gt;dataset&lt;/custom4&gt;&lt;access-date&gt;24 April 2020&lt;/access-date&gt;&lt;/record&gt;&lt;/Cite&gt;&lt;/EndNote&gt;</w:instrText>
      </w:r>
      <w:r w:rsidR="00F83B9A">
        <w:fldChar w:fldCharType="separate"/>
      </w:r>
      <w:r w:rsidR="00F83B9A">
        <w:rPr>
          <w:noProof/>
        </w:rPr>
        <w:t>Origin Energy (2019)</w:t>
      </w:r>
      <w:r w:rsidR="00F83B9A">
        <w:fldChar w:fldCharType="end"/>
      </w:r>
      <w:r>
        <w:t>. Potentiometric contours have also been produced as part of more detailed studies focus</w:t>
      </w:r>
      <w:r w:rsidR="008867D1">
        <w:t>ed</w:t>
      </w:r>
      <w:r>
        <w:t xml:space="preserve"> on specific areas of the </w:t>
      </w:r>
      <w:r w:rsidR="00993AAD">
        <w:t>CLA</w:t>
      </w:r>
      <w:r w:rsidRPr="00B32996">
        <w:t xml:space="preserve">. Examples here include Mataranka Thermal Pools </w:t>
      </w:r>
      <w:r w:rsidR="00A541ED">
        <w:fldChar w:fldCharType="begin"/>
      </w:r>
      <w:r w:rsidR="00F76E0D">
        <w:instrText xml:space="preserve"> ADDIN EN.CITE &lt;EndNote&gt;&lt;Cite&gt;&lt;Author&gt;Karp&lt;/Author&gt;&lt;Year&gt;2008&lt;/Year&gt;&lt;RecNum&gt;911&lt;/RecNum&gt;&lt;DisplayText&gt;(Karp, 2008)&lt;/DisplayText&gt;&lt;record&gt;&lt;rec-number&gt;911&lt;/rec-number&gt;&lt;foreign-keys&gt;&lt;key app="EN" db-id="wdf9tzzdhw2saee559kv0vezt0wfsta0zedv" timestamp="1555975788"&gt;911&lt;/key&gt;&lt;/foreign-keys&gt;&lt;ref-type name="Report"&gt;27&lt;/ref-type&gt;&lt;contributors&gt;&lt;authors&gt;&lt;author&gt;Karp, D.&lt;/author&gt;&lt;/authors&gt;&lt;/contributors&gt;&lt;titles&gt;&lt;title&gt;Surface and groundwater interaction the Mataranka area&lt;/title&gt;&lt;/titles&gt;&lt;pages&gt;69&lt;/pages&gt;&lt;number&gt;17/2008D&lt;/number&gt;&lt;dates&gt;&lt;year&gt;2008&lt;/year&gt;&lt;/dates&gt;&lt;publisher&gt;Department of Natural Resources, Environment, the Arts and Sport (NT)&lt;/publisher&gt;&lt;urls&gt;&lt;/urls&gt;&lt;/record&gt;&lt;/Cite&gt;&lt;/EndNote&gt;</w:instrText>
      </w:r>
      <w:r w:rsidR="00A541ED">
        <w:fldChar w:fldCharType="separate"/>
      </w:r>
      <w:r w:rsidR="00CF643D">
        <w:rPr>
          <w:noProof/>
        </w:rPr>
        <w:t>(Karp, 2008)</w:t>
      </w:r>
      <w:r w:rsidR="00A541ED">
        <w:fldChar w:fldCharType="end"/>
      </w:r>
      <w:r w:rsidRPr="00B32996">
        <w:t xml:space="preserve">; Georgina </w:t>
      </w:r>
      <w:r w:rsidR="00991F31">
        <w:t xml:space="preserve">Basin </w:t>
      </w:r>
      <w:r w:rsidR="00A541ED">
        <w:fldChar w:fldCharType="begin"/>
      </w:r>
      <w:r w:rsidR="00F76E0D">
        <w:instrText xml:space="preserve"> ADDIN EN.CITE &lt;EndNote&gt;&lt;Cite&gt;&lt;Author&gt;Tickell&lt;/Author&gt;&lt;Year&gt;2017&lt;/Year&gt;&lt;RecNum&gt;695&lt;/RecNum&gt;&lt;DisplayText&gt;(Tickell and Bruwer, 2017)&lt;/DisplayText&gt;&lt;record&gt;&lt;rec-number&gt;695&lt;/rec-number&gt;&lt;foreign-keys&gt;&lt;key app="EN" db-id="wdf9tzzdhw2saee559kv0vezt0wfsta0zedv" timestamp="1545264525"&gt;695&lt;/key&gt;&lt;key app="ENWeb" db-id=""&gt;0&lt;/key&gt;&lt;/foreign-keys&gt;&lt;ref-type name="Report"&gt;27&lt;/ref-type&gt;&lt;contributors&gt;&lt;authors&gt;&lt;author&gt;Tickell, Stephen. J.&lt;/author&gt;&lt;author&gt;Bruwer, Quentin&lt;/author&gt;&lt;/authors&gt;&lt;tertiary-authors&gt;&lt;author&gt;Northern Territory Department of Environment and Natural Resources&lt;/author&gt;&lt;/tertiary-authors&gt;&lt;subsidiary-authors&gt;&lt;author&gt;Water Resources Division&lt;/author&gt;&lt;/subsidiary-authors&gt;&lt;/contributors&gt;&lt;titles&gt;&lt;title&gt;Georgina Basin Groundwater Assessment: Daly Waters to Tennant Creek&lt;/title&gt;&lt;/titles&gt;&lt;pages&gt;108&lt;/pages&gt;&lt;number&gt;Technical Report 17/2017&lt;/number&gt;&lt;dates&gt;&lt;year&gt;2017&lt;/year&gt;&lt;/dates&gt;&lt;publisher&gt;Northern Territory Department of Environment and Natural Resources&lt;/publisher&gt;&lt;isbn&gt;Technical Report 17/2017&lt;/isbn&gt;&lt;urls&gt;&lt;related-urls&gt;&lt;url&gt;&lt;style face="underline" font="default" size="100%"&gt;http://www.territorystories.nt.gov.au/jspui/handle/10070/304921&lt;/style&gt;&lt;/url&gt;&lt;/related-urls&gt;&lt;/urls&gt;&lt;access-date&gt;20 April 2020&lt;/access-date&gt;&lt;/record&gt;&lt;/Cite&gt;&lt;/EndNote&gt;</w:instrText>
      </w:r>
      <w:r w:rsidR="00A541ED">
        <w:fldChar w:fldCharType="separate"/>
      </w:r>
      <w:r w:rsidR="007E7B35">
        <w:rPr>
          <w:noProof/>
        </w:rPr>
        <w:t>(Tickell and Bruwer, 2017)</w:t>
      </w:r>
      <w:r w:rsidR="00A541ED">
        <w:fldChar w:fldCharType="end"/>
      </w:r>
      <w:r w:rsidR="006D0A7E">
        <w:t xml:space="preserve"> </w:t>
      </w:r>
      <w:r w:rsidRPr="00B32996">
        <w:t xml:space="preserve">and Daly </w:t>
      </w:r>
      <w:r w:rsidR="00991F31">
        <w:t>B</w:t>
      </w:r>
      <w:r w:rsidRPr="00B32996">
        <w:t>asin</w:t>
      </w:r>
      <w:r w:rsidR="00B32996" w:rsidRPr="00B32996">
        <w:t xml:space="preserve"> </w:t>
      </w:r>
      <w:r w:rsidR="00A541ED">
        <w:fldChar w:fldCharType="begin"/>
      </w:r>
      <w:r w:rsidR="00F76E0D">
        <w:instrText xml:space="preserve"> ADDIN EN.CITE &lt;EndNote&gt;&lt;Cite&gt;&lt;Author&gt;Tickell&lt;/Author&gt;&lt;Year&gt;2005&lt;/Year&gt;&lt;RecNum&gt;733&lt;/RecNum&gt;&lt;DisplayText&gt;(Tickell, 2005)&lt;/DisplayText&gt;&lt;record&gt;&lt;rec-number&gt;733&lt;/rec-number&gt;&lt;foreign-keys&gt;&lt;key app="EN" db-id="wdf9tzzdhw2saee559kv0vezt0wfsta0zedv" timestamp="1550544784"&gt;733&lt;/key&gt;&lt;/foreign-keys&gt;&lt;ref-type name="Report"&gt;27&lt;/ref-type&gt;&lt;contributors&gt;&lt;authors&gt;&lt;author&gt;Tickell, Stephen. J.&lt;/author&gt;&lt;/authors&gt;&lt;secondary-authors&gt;&lt;author&gt;DEPARTMENT OF NATURAL RESOURCES THE ENVIRONMENT AND THE ARTS&lt;/author&gt;&lt;author&gt;NATURAL RESOURCES DIVISION&lt;/author&gt;&lt;/secondary-authors&gt;&lt;/contributors&gt;&lt;titles&gt;&lt;title&gt;Groundwater resources of the Tindall Limestone. Report 34/2005&lt;/title&gt;&lt;secondary-title&gt;REPORT 34/2005&lt;/secondary-title&gt;&lt;/titles&gt;&lt;dates&gt;&lt;year&gt;2005&lt;/year&gt;&lt;/dates&gt;&lt;publisher&gt;Department of Natural Resources, The Environment and The Arts Natural Resources Division&lt;/publisher&gt;&lt;urls&gt;&lt;/urls&gt;&lt;/record&gt;&lt;/Cite&gt;&lt;/EndNote&gt;</w:instrText>
      </w:r>
      <w:r w:rsidR="00A541ED">
        <w:fldChar w:fldCharType="separate"/>
      </w:r>
      <w:r w:rsidR="007E7B35">
        <w:rPr>
          <w:noProof/>
        </w:rPr>
        <w:t>(Tickell, 2005)</w:t>
      </w:r>
      <w:r w:rsidR="00A541ED">
        <w:fldChar w:fldCharType="end"/>
      </w:r>
      <w:r w:rsidRPr="00B32996">
        <w:t>.</w:t>
      </w:r>
    </w:p>
    <w:p w14:paraId="686FED9B" w14:textId="36236067" w:rsidR="004C78A2" w:rsidRDefault="50BA1442" w:rsidP="004C78A2">
      <w:r>
        <w:t xml:space="preserve">From these various studies, there is collective agreement around general aspects of the hydrodynamics such as the regional groundwater flow trends and flat hydraulic gradients in regions such as the Georgina Basin. </w:t>
      </w:r>
      <w:r w:rsidR="00991F31">
        <w:t>Additionally,</w:t>
      </w:r>
      <w:r>
        <w:t xml:space="preserve"> Mataranka Thermal Pools is a major discharge point for CLA for the southern Daly and Georgina basins. However, differences become apparent at semi-regional scales. For instance, in some areas the magnitude of potentiometric contours does not coincide. </w:t>
      </w:r>
    </w:p>
    <w:p w14:paraId="52276CA6" w14:textId="66337531" w:rsidR="003C719F" w:rsidRDefault="004C78A2" w:rsidP="004C78A2">
      <w:pPr>
        <w:pStyle w:val="BodyText"/>
      </w:pPr>
      <w:r>
        <w:t xml:space="preserve">As an example, </w:t>
      </w:r>
      <w:r w:rsidR="002D56DE">
        <w:t>t</w:t>
      </w:r>
      <w:r>
        <w:t xml:space="preserve">he CLA potentiometric surface across the Beetaloo Sub-basins of </w:t>
      </w:r>
      <w:r w:rsidR="00A541ED">
        <w:fldChar w:fldCharType="begin"/>
      </w:r>
      <w:r w:rsidR="00F76E0D">
        <w:instrText xml:space="preserve"> ADDIN EN.CITE &lt;EndNote&gt;&lt;Cite AuthorYear="1"&gt;&lt;Author&gt;Tickell&lt;/Author&gt;&lt;Year&gt;2017&lt;/Year&gt;&lt;RecNum&gt;695&lt;/RecNum&gt;&lt;DisplayText&gt;Tickell and Bruwer (2017)&lt;/DisplayText&gt;&lt;record&gt;&lt;rec-number&gt;695&lt;/rec-number&gt;&lt;foreign-keys&gt;&lt;key app="EN" db-id="wdf9tzzdhw2saee559kv0vezt0wfsta0zedv" timestamp="1545264525"&gt;695&lt;/key&gt;&lt;key app="ENWeb" db-id=""&gt;0&lt;/key&gt;&lt;/foreign-keys&gt;&lt;ref-type name="Report"&gt;27&lt;/ref-type&gt;&lt;contributors&gt;&lt;authors&gt;&lt;author&gt;Tickell, Stephen. J.&lt;/author&gt;&lt;author&gt;Bruwer, Quentin&lt;/author&gt;&lt;/authors&gt;&lt;tertiary-authors&gt;&lt;author&gt;Northern Territory Department of Environment and Natural Resources&lt;/author&gt;&lt;/tertiary-authors&gt;&lt;subsidiary-authors&gt;&lt;author&gt;Water Resources Division&lt;/author&gt;&lt;/subsidiary-authors&gt;&lt;/contributors&gt;&lt;titles&gt;&lt;title&gt;Georgina Basin Groundwater Assessment: Daly Waters to Tennant Creek&lt;/title&gt;&lt;/titles&gt;&lt;pages&gt;108&lt;/pages&gt;&lt;number&gt;Technical Report 17/2017&lt;/number&gt;&lt;dates&gt;&lt;year&gt;2017&lt;/year&gt;&lt;/dates&gt;&lt;publisher&gt;Northern Territory Department of Environment and Natural Resources&lt;/publisher&gt;&lt;isbn&gt;Technical Report 17/2017&lt;/isbn&gt;&lt;urls&gt;&lt;related-urls&gt;&lt;url&gt;&lt;style face="underline" font="default" size="100%"&gt;http://www.territorystories.nt.gov.au/jspui/handle/10070/304921&lt;/style&gt;&lt;/url&gt;&lt;/related-urls&gt;&lt;/urls&gt;&lt;access-date&gt;20 April 2020&lt;/access-date&gt;&lt;/record&gt;&lt;/Cite&gt;&lt;/EndNote&gt;</w:instrText>
      </w:r>
      <w:r w:rsidR="00A541ED">
        <w:fldChar w:fldCharType="separate"/>
      </w:r>
      <w:r w:rsidR="007E7B35">
        <w:rPr>
          <w:noProof/>
        </w:rPr>
        <w:t>Tickell and Bruwer (2017)</w:t>
      </w:r>
      <w:r w:rsidR="00A541ED">
        <w:fldChar w:fldCharType="end"/>
      </w:r>
      <w:r>
        <w:t xml:space="preserve">, </w:t>
      </w:r>
      <w:r w:rsidR="00346DD1">
        <w:fldChar w:fldCharType="begin"/>
      </w:r>
      <w:r w:rsidR="00F76E0D">
        <w:instrText xml:space="preserve"> ADDIN EN.CITE &lt;EndNote&gt;&lt;Cite AuthorYear="1"&gt;&lt;Author&gt;Tickell&lt;/Author&gt;&lt;Year&gt;2003&lt;/Year&gt;&lt;RecNum&gt;744&lt;/RecNum&gt;&lt;DisplayText&gt;Tickell (2003)&lt;/DisplayText&gt;&lt;record&gt;&lt;rec-number&gt;744&lt;/rec-number&gt;&lt;foreign-keys&gt;&lt;key app="EN" db-id="wdf9tzzdhw2saee559kv0vezt0wfsta0zedv" timestamp="1550544845"&gt;744&lt;/key&gt;&lt;key app="ENWeb" db-id=""&gt;0&lt;/key&gt;&lt;/foreign-keys&gt;&lt;ref-type name="Report"&gt;27&lt;/ref-type&gt;&lt;contributors&gt;&lt;authors&gt;&lt;author&gt;Tickell, Stephen. J.&lt;/author&gt;&lt;/authors&gt;&lt;tertiary-authors&gt;&lt;author&gt;Department of Infrastructure, Planning and Environment (Northern Territory)&lt;/author&gt;&lt;/tertiary-authors&gt;&lt;/contributors&gt;&lt;titles&gt;&lt;title&gt;Water resource mapping of the Barkly Tablelands&lt;/title&gt;&lt;/titles&gt;&lt;dates&gt;&lt;year&gt;2003&lt;/year&gt;&lt;pub-dates&gt;&lt;date&gt;September 2003&lt;/date&gt;&lt;/pub-dates&gt;&lt;/dates&gt;&lt;pub-location&gt;Darwin&lt;/pub-location&gt;&lt;publisher&gt;Department of Infrastructure, Planning and Environment (Northern Territory)&lt;/publisher&gt;&lt;urls&gt;&lt;/urls&gt;&lt;/record&gt;&lt;/Cite&gt;&lt;/EndNote&gt;</w:instrText>
      </w:r>
      <w:r w:rsidR="00346DD1">
        <w:fldChar w:fldCharType="separate"/>
      </w:r>
      <w:r w:rsidR="00CF643D">
        <w:rPr>
          <w:noProof/>
        </w:rPr>
        <w:t>Tickell (2003)</w:t>
      </w:r>
      <w:r w:rsidR="00346DD1">
        <w:fldChar w:fldCharType="end"/>
      </w:r>
      <w:r w:rsidR="00346DD1">
        <w:t xml:space="preserve"> </w:t>
      </w:r>
      <w:r>
        <w:t xml:space="preserve">and </w:t>
      </w:r>
      <w:r w:rsidR="00A541ED">
        <w:fldChar w:fldCharType="begin"/>
      </w:r>
      <w:r w:rsidR="008F30E0">
        <w:instrText xml:space="preserve"> ADDIN EN.CITE &lt;EndNote&gt;&lt;Cite AuthorYear="1"&gt;&lt;Author&gt;Fulton&lt;/Author&gt;&lt;Year&gt;2015&lt;/Year&gt;&lt;RecNum&gt;671&lt;/RecNum&gt;&lt;DisplayText&gt;Fulton and Knapton (2015b)&lt;/DisplayText&gt;&lt;record&gt;&lt;rec-number&gt;671&lt;/rec-number&gt;&lt;foreign-keys&gt;&lt;key app="EN" db-id="wdf9tzzdhw2saee559kv0vezt0wfsta0zedv" timestamp="1545264407"&gt;671&lt;/key&gt;&lt;key app="ENWeb" db-id=""&gt;0&lt;/key&gt;&lt;/foreign-keys&gt;&lt;ref-type name="Report"&gt;27&lt;/ref-type&gt;&lt;contributors&gt;&lt;authors&gt;&lt;author&gt;Fulton, S.&lt;/author&gt;&lt;author&gt;Knapton, A.&lt;/author&gt;&lt;/authors&gt;&lt;/contributors&gt;&lt;titles&gt;&lt;title&gt;Beetaloo Basin hydrogeological assessment. Cloud GMS&lt;/title&gt;&lt;/titles&gt;&lt;pages&gt;70&lt;/pages&gt;&lt;dates&gt;&lt;year&gt;2015&lt;/year&gt;&lt;pub-dates&gt;&lt;date&gt;February 2015&lt;/date&gt;&lt;/pub-dates&gt;&lt;/dates&gt;&lt;publisher&gt;Origin Energy Report 1 for Fracking Enquiry NT&lt;/publisher&gt;&lt;urls&gt;&lt;related-urls&gt;&lt;url&gt;https://frackinginquiry.nt.gov.au/?a=410609&lt;/url&gt;&lt;/related-urls&gt;&lt;/urls&gt;&lt;access-date&gt;28 November 2019&lt;/access-date&gt;&lt;/record&gt;&lt;/Cite&gt;&lt;/EndNote&gt;</w:instrText>
      </w:r>
      <w:r w:rsidR="00A541ED">
        <w:fldChar w:fldCharType="separate"/>
      </w:r>
      <w:r w:rsidR="008F30E0">
        <w:rPr>
          <w:noProof/>
        </w:rPr>
        <w:t>Fulton and Knapton (2015b)</w:t>
      </w:r>
      <w:r w:rsidR="00A541ED">
        <w:fldChar w:fldCharType="end"/>
      </w:r>
      <w:r w:rsidR="00A5033A">
        <w:t xml:space="preserve"> </w:t>
      </w:r>
      <w:r>
        <w:t>has a comparable but smoother north</w:t>
      </w:r>
      <w:r w:rsidR="004C5924">
        <w:t>-</w:t>
      </w:r>
      <w:r>
        <w:t>westward gradient over t</w:t>
      </w:r>
      <w:r w:rsidR="003C719F">
        <w:t>he Sturt Plateau</w:t>
      </w:r>
      <w:r>
        <w:t xml:space="preserve">, but differs from the surface of </w:t>
      </w:r>
      <w:r w:rsidR="00A541ED">
        <w:fldChar w:fldCharType="begin"/>
      </w:r>
      <w:r w:rsidR="00F76E0D">
        <w:instrText xml:space="preserve"> ADDIN EN.CITE &lt;EndNote&gt;&lt;Cite AuthorYear="1"&gt;&lt;Author&gt;Randal&lt;/Author&gt;&lt;Year&gt;1973&lt;/Year&gt;&lt;RecNum&gt;1271&lt;/RecNum&gt;&lt;DisplayText&gt;Randal (1973)&lt;/DisplayText&gt;&lt;record&gt;&lt;rec-number&gt;1271&lt;/rec-number&gt;&lt;foreign-keys&gt;&lt;key app="EN" db-id="wdf9tzzdhw2saee559kv0vezt0wfsta0zedv" timestamp="1569370340"&gt;1271&lt;/key&gt;&lt;/foreign-keys&gt;&lt;ref-type name="Report"&gt;27&lt;/ref-type&gt;&lt;contributors&gt;&lt;authors&gt;&lt;author&gt;Randal, M. A.&lt;/author&gt;&lt;/authors&gt;&lt;tertiary-authors&gt;&lt;author&gt;Bureau of Mineral Resources, Geology and Geophysics, &lt;/author&gt;&lt;/tertiary-authors&gt;&lt;subsidiary-authors&gt;&lt;author&gt;Bureau of Mineral Resources, Geology and Geophysics, &lt;/author&gt;&lt;/subsidiary-authors&gt;&lt;/contributors&gt;&lt;titles&gt;&lt;title&gt;Groundwater in the Northern Wiso Basin and environs, Northern Territory&lt;/title&gt;&lt;/titles&gt;&lt;dates&gt;&lt;year&gt;1973&lt;/year&gt;&lt;/dates&gt;&lt;pub-location&gt;Canberra&lt;/pub-location&gt;&lt;publisher&gt;Bureau of Mineral Resources&lt;/publisher&gt;&lt;urls&gt;&lt;related-urls&gt;&lt;url&gt;http://www.ga.gov.au/metadata-gateway/metadata/record/100/&lt;/url&gt;&lt;/related-urls&gt;&lt;/urls&gt;&lt;access-date&gt;25 October 2019&lt;/access-date&gt;&lt;/record&gt;&lt;/Cite&gt;&lt;/EndNote&gt;</w:instrText>
      </w:r>
      <w:r w:rsidR="00A541ED">
        <w:fldChar w:fldCharType="separate"/>
      </w:r>
      <w:r w:rsidR="00E02D87">
        <w:rPr>
          <w:noProof/>
        </w:rPr>
        <w:t>Randal (1973)</w:t>
      </w:r>
      <w:r w:rsidR="00A541ED">
        <w:fldChar w:fldCharType="end"/>
      </w:r>
      <w:r>
        <w:t xml:space="preserve">. </w:t>
      </w:r>
    </w:p>
    <w:p w14:paraId="48EE463B" w14:textId="20BA0616" w:rsidR="004C78A2" w:rsidRDefault="004C78A2" w:rsidP="004C78A2">
      <w:pPr>
        <w:pStyle w:val="BodyText"/>
      </w:pPr>
      <w:r>
        <w:t>On the established basis of connectivity between the Pal</w:t>
      </w:r>
      <w:r w:rsidR="007C1CF7">
        <w:t>eozoic</w:t>
      </w:r>
      <w:r>
        <w:t xml:space="preserve"> and </w:t>
      </w:r>
      <w:r w:rsidR="00EC58EB">
        <w:t>Cretaceous (Carpentaria Basin)</w:t>
      </w:r>
      <w:r>
        <w:t xml:space="preserve"> aquifers in the region, </w:t>
      </w:r>
      <w:r w:rsidR="00A541ED">
        <w:fldChar w:fldCharType="begin"/>
      </w:r>
      <w:r w:rsidR="00F76E0D">
        <w:instrText xml:space="preserve"> ADDIN EN.CITE &lt;EndNote&gt;&lt;Cite AuthorYear="1"&gt;&lt;Author&gt;Randal&lt;/Author&gt;&lt;Year&gt;1973&lt;/Year&gt;&lt;RecNum&gt;1271&lt;/RecNum&gt;&lt;DisplayText&gt;Randal (1973)&lt;/DisplayText&gt;&lt;record&gt;&lt;rec-number&gt;1271&lt;/rec-number&gt;&lt;foreign-keys&gt;&lt;key app="EN" db-id="wdf9tzzdhw2saee559kv0vezt0wfsta0zedv" timestamp="1569370340"&gt;1271&lt;/key&gt;&lt;/foreign-keys&gt;&lt;ref-type name="Report"&gt;27&lt;/ref-type&gt;&lt;contributors&gt;&lt;authors&gt;&lt;author&gt;Randal, M. A.&lt;/author&gt;&lt;/authors&gt;&lt;tertiary-authors&gt;&lt;author&gt;Bureau of Mineral Resources, Geology and Geophysics, &lt;/author&gt;&lt;/tertiary-authors&gt;&lt;subsidiary-authors&gt;&lt;author&gt;Bureau of Mineral Resources, Geology and Geophysics, &lt;/author&gt;&lt;/subsidiary-authors&gt;&lt;/contributors&gt;&lt;titles&gt;&lt;title&gt;Groundwater in the Northern Wiso Basin and environs, Northern Territory&lt;/title&gt;&lt;/titles&gt;&lt;dates&gt;&lt;year&gt;1973&lt;/year&gt;&lt;/dates&gt;&lt;pub-location&gt;Canberra&lt;/pub-location&gt;&lt;publisher&gt;Bureau of Mineral Resources&lt;/publisher&gt;&lt;urls&gt;&lt;related-urls&gt;&lt;url&gt;http://www.ga.gov.au/metadata-gateway/metadata/record/100/&lt;/url&gt;&lt;/related-urls&gt;&lt;/urls&gt;&lt;access-date&gt;25 October 2019&lt;/access-date&gt;&lt;/record&gt;&lt;/Cite&gt;&lt;/EndNote&gt;</w:instrText>
      </w:r>
      <w:r w:rsidR="00A541ED">
        <w:fldChar w:fldCharType="separate"/>
      </w:r>
      <w:r w:rsidR="00E02D87">
        <w:rPr>
          <w:noProof/>
        </w:rPr>
        <w:t>Randal (1973)</w:t>
      </w:r>
      <w:r w:rsidR="00A541ED">
        <w:fldChar w:fldCharType="end"/>
      </w:r>
      <w:r w:rsidR="005472BB">
        <w:t xml:space="preserve"> </w:t>
      </w:r>
      <w:r>
        <w:t>produced a regional water</w:t>
      </w:r>
      <w:r w:rsidR="00A00A2A">
        <w:t>table</w:t>
      </w:r>
      <w:r>
        <w:t xml:space="preserve"> from 300 bores </w:t>
      </w:r>
      <w:r w:rsidR="003C719F">
        <w:t xml:space="preserve">in </w:t>
      </w:r>
      <w:r>
        <w:t xml:space="preserve">the </w:t>
      </w:r>
      <w:r w:rsidR="00DE4F5D">
        <w:t xml:space="preserve">Wiso Basin and </w:t>
      </w:r>
      <w:r w:rsidR="002E59BE">
        <w:t>environs</w:t>
      </w:r>
      <w:r>
        <w:t xml:space="preserve">. </w:t>
      </w:r>
      <w:r w:rsidR="003C719F">
        <w:t xml:space="preserve">The </w:t>
      </w:r>
      <w:r w:rsidR="00A541ED">
        <w:fldChar w:fldCharType="begin"/>
      </w:r>
      <w:r w:rsidR="00F76E0D">
        <w:instrText xml:space="preserve"> ADDIN EN.CITE &lt;EndNote&gt;&lt;Cite AuthorYear="1"&gt;&lt;Author&gt;Randal&lt;/Author&gt;&lt;Year&gt;1973&lt;/Year&gt;&lt;RecNum&gt;1271&lt;/RecNum&gt;&lt;DisplayText&gt;Randal (1973)&lt;/DisplayText&gt;&lt;record&gt;&lt;rec-number&gt;1271&lt;/rec-number&gt;&lt;foreign-keys&gt;&lt;key app="EN" db-id="wdf9tzzdhw2saee559kv0vezt0wfsta0zedv" timestamp="1569370340"&gt;1271&lt;/key&gt;&lt;/foreign-keys&gt;&lt;ref-type name="Report"&gt;27&lt;/ref-type&gt;&lt;contributors&gt;&lt;authors&gt;&lt;author&gt;Randal, M. A.&lt;/author&gt;&lt;/authors&gt;&lt;tertiary-authors&gt;&lt;author&gt;Bureau of Mineral Resources, Geology and Geophysics, &lt;/author&gt;&lt;/tertiary-authors&gt;&lt;subsidiary-authors&gt;&lt;author&gt;Bureau of Mineral Resources, Geology and Geophysics, &lt;/author&gt;&lt;/subsidiary-authors&gt;&lt;/contributors&gt;&lt;titles&gt;&lt;title&gt;Groundwater in the Northern Wiso Basin and environs, Northern Territory&lt;/title&gt;&lt;/titles&gt;&lt;dates&gt;&lt;year&gt;1973&lt;/year&gt;&lt;/dates&gt;&lt;pub-location&gt;Canberra&lt;/pub-location&gt;&lt;publisher&gt;Bureau of Mineral Resources&lt;/publisher&gt;&lt;urls&gt;&lt;related-urls&gt;&lt;url&gt;http://www.ga.gov.au/metadata-gateway/metadata/record/100/&lt;/url&gt;&lt;/related-urls&gt;&lt;/urls&gt;&lt;access-date&gt;25 October 2019&lt;/access-date&gt;&lt;/record&gt;&lt;/Cite&gt;&lt;/EndNote&gt;</w:instrText>
      </w:r>
      <w:r w:rsidR="00A541ED">
        <w:fldChar w:fldCharType="separate"/>
      </w:r>
      <w:r w:rsidR="00E02D87">
        <w:rPr>
          <w:noProof/>
        </w:rPr>
        <w:t>Randal (1973)</w:t>
      </w:r>
      <w:r w:rsidR="00A541ED">
        <w:fldChar w:fldCharType="end"/>
      </w:r>
      <w:r w:rsidR="005472BB">
        <w:t xml:space="preserve"> </w:t>
      </w:r>
      <w:r w:rsidR="003C719F">
        <w:t>water</w:t>
      </w:r>
      <w:r w:rsidRPr="001B0AB7">
        <w:t xml:space="preserve">table encompasses much the </w:t>
      </w:r>
      <w:r w:rsidR="00786A5B">
        <w:t>CLA</w:t>
      </w:r>
      <w:r w:rsidR="00DE4F5D">
        <w:t xml:space="preserve"> in the Wiso western Daly basins</w:t>
      </w:r>
      <w:r w:rsidRPr="001B0AB7">
        <w:t>, as well as areas where the water</w:t>
      </w:r>
      <w:r w:rsidR="00A00A2A">
        <w:t>table</w:t>
      </w:r>
      <w:r w:rsidRPr="001B0AB7">
        <w:t xml:space="preserve"> resides in either the overlying Cretaceous or underlying Antrim </w:t>
      </w:r>
      <w:r w:rsidRPr="00EF5A15">
        <w:t>Plateau Volcanics (</w:t>
      </w:r>
      <w:r w:rsidRPr="00EF5A15">
        <w:fldChar w:fldCharType="begin"/>
      </w:r>
      <w:r w:rsidRPr="00EF5A15">
        <w:instrText xml:space="preserve"> REF _Ref3890242 \h  \* MERGEFORMAT </w:instrText>
      </w:r>
      <w:r w:rsidRPr="00EF5A15">
        <w:fldChar w:fldCharType="separate"/>
      </w:r>
      <w:r w:rsidR="00B177F5">
        <w:t>Figure 17</w:t>
      </w:r>
      <w:r w:rsidRPr="00EF5A15">
        <w:fldChar w:fldCharType="end"/>
      </w:r>
      <w:r w:rsidRPr="00EF5A15">
        <w:t>).</w:t>
      </w:r>
      <w:r w:rsidR="003C719F">
        <w:t xml:space="preserve"> </w:t>
      </w:r>
      <w:r w:rsidRPr="00EF5A15">
        <w:t>Broadly</w:t>
      </w:r>
      <w:r w:rsidR="002D56DE">
        <w:t>,</w:t>
      </w:r>
      <w:r w:rsidRPr="00EF5A15">
        <w:t xml:space="preserve"> there is a regional north-north-westward slope</w:t>
      </w:r>
      <w:r w:rsidR="00786A5B">
        <w:t xml:space="preserve"> in the potentiometric surface </w:t>
      </w:r>
      <w:r w:rsidRPr="00EF5A15">
        <w:t>as per subsequent interpretations</w:t>
      </w:r>
      <w:r w:rsidR="00EC58EB">
        <w:t xml:space="preserve"> (i.e. northerly directed potential flow)</w:t>
      </w:r>
      <w:r w:rsidRPr="00EF5A15">
        <w:t>, but there are also several inferred second</w:t>
      </w:r>
      <w:r>
        <w:t xml:space="preserve">-order directions of groundwater flow </w:t>
      </w:r>
      <w:r w:rsidR="00A541ED">
        <w:fldChar w:fldCharType="begin"/>
      </w:r>
      <w:r w:rsidR="00F76E0D">
        <w:instrText xml:space="preserve"> ADDIN EN.CITE &lt;EndNote&gt;&lt;Cite&gt;&lt;Author&gt;Randal&lt;/Author&gt;&lt;Year&gt;1973&lt;/Year&gt;&lt;RecNum&gt;1271&lt;/RecNum&gt;&lt;DisplayText&gt;(Randal, 1973)&lt;/DisplayText&gt;&lt;record&gt;&lt;rec-number&gt;1271&lt;/rec-number&gt;&lt;foreign-keys&gt;&lt;key app="EN" db-id="wdf9tzzdhw2saee559kv0vezt0wfsta0zedv" timestamp="1569370340"&gt;1271&lt;/key&gt;&lt;/foreign-keys&gt;&lt;ref-type name="Report"&gt;27&lt;/ref-type&gt;&lt;contributors&gt;&lt;authors&gt;&lt;author&gt;Randal, M. A.&lt;/author&gt;&lt;/authors&gt;&lt;tertiary-authors&gt;&lt;author&gt;Bureau of Mineral Resources, Geology and Geophysics, &lt;/author&gt;&lt;/tertiary-authors&gt;&lt;subsidiary-authors&gt;&lt;author&gt;Bureau of Mineral Resources, Geology and Geophysics, &lt;/author&gt;&lt;/subsidiary-authors&gt;&lt;/contributors&gt;&lt;titles&gt;&lt;title&gt;Groundwater in the Northern Wiso Basin and environs, Northern Territory&lt;/title&gt;&lt;/titles&gt;&lt;dates&gt;&lt;year&gt;1973&lt;/year&gt;&lt;/dates&gt;&lt;pub-location&gt;Canberra&lt;/pub-location&gt;&lt;publisher&gt;Bureau of Mineral Resources&lt;/publisher&gt;&lt;urls&gt;&lt;related-urls&gt;&lt;url&gt;http://www.ga.gov.au/metadata-gateway/metadata/record/100/&lt;/url&gt;&lt;/related-urls&gt;&lt;/urls&gt;&lt;access-date&gt;25 October 2019&lt;/access-date&gt;&lt;/record&gt;&lt;/Cite&gt;&lt;/EndNote&gt;</w:instrText>
      </w:r>
      <w:r w:rsidR="00A541ED">
        <w:fldChar w:fldCharType="separate"/>
      </w:r>
      <w:r w:rsidR="00E02D87">
        <w:rPr>
          <w:noProof/>
        </w:rPr>
        <w:t>(Randal, 1973)</w:t>
      </w:r>
      <w:r w:rsidR="00A541ED">
        <w:fldChar w:fldCharType="end"/>
      </w:r>
      <w:r>
        <w:t>. For instance</w:t>
      </w:r>
      <w:r w:rsidR="002D56DE">
        <w:t>,</w:t>
      </w:r>
      <w:r>
        <w:t xml:space="preserve"> mounding in the water</w:t>
      </w:r>
      <w:r w:rsidR="00A00A2A">
        <w:t>table</w:t>
      </w:r>
      <w:r>
        <w:t xml:space="preserve"> has created a groundwater divide along the western flank of </w:t>
      </w:r>
      <w:r w:rsidR="00786A5B">
        <w:t>the CLA</w:t>
      </w:r>
      <w:r>
        <w:t xml:space="preserve">, which is not evident in the potentiometric contours detailed in </w:t>
      </w:r>
      <w:r>
        <w:fldChar w:fldCharType="begin"/>
      </w:r>
      <w:r>
        <w:instrText xml:space="preserve"> REF _Ref1137606 \h </w:instrText>
      </w:r>
      <w:r>
        <w:fldChar w:fldCharType="separate"/>
      </w:r>
      <w:r w:rsidR="00B177F5">
        <w:t xml:space="preserve">Figure </w:t>
      </w:r>
      <w:r w:rsidR="00B177F5">
        <w:rPr>
          <w:noProof/>
        </w:rPr>
        <w:t>16</w:t>
      </w:r>
      <w:r>
        <w:fldChar w:fldCharType="end"/>
      </w:r>
      <w:r>
        <w:t>. This groundwater divide directs inferred flow westwards towards springs</w:t>
      </w:r>
      <w:r w:rsidR="00A47209">
        <w:t xml:space="preserve"> </w:t>
      </w:r>
      <w:r w:rsidR="00E93D3D">
        <w:t xml:space="preserve">located </w:t>
      </w:r>
      <w:r>
        <w:t>at the contact of limestone and</w:t>
      </w:r>
      <w:r w:rsidR="00786A5B">
        <w:t xml:space="preserve"> the</w:t>
      </w:r>
      <w:r>
        <w:t xml:space="preserve"> Antrim Plateau Volcanics along the western margin, as well as eastwards and northwards into the Wiso</w:t>
      </w:r>
      <w:r w:rsidR="00B32996">
        <w:t xml:space="preserve"> and</w:t>
      </w:r>
      <w:r w:rsidR="00236B0A">
        <w:t xml:space="preserve"> </w:t>
      </w:r>
      <w:r>
        <w:t>Daly basins. Another groundwater divide</w:t>
      </w:r>
      <w:r w:rsidRPr="005C6C13">
        <w:t xml:space="preserve"> </w:t>
      </w:r>
      <w:r>
        <w:t>directing flow and recharge into the Wiso and Georgina basins coincides with the Ashburton Range, to the south of Newcastle Waters.</w:t>
      </w:r>
      <w:r w:rsidR="00E93D3D">
        <w:t xml:space="preserve"> This groundwater divide equates to the </w:t>
      </w:r>
      <w:r w:rsidR="00991F31">
        <w:t>‘</w:t>
      </w:r>
      <w:r w:rsidR="00E93D3D">
        <w:t>western recharge area</w:t>
      </w:r>
      <w:r w:rsidR="00991F31">
        <w:t>’</w:t>
      </w:r>
      <w:r w:rsidR="00E93D3D">
        <w:t xml:space="preserve"> for the Georgina Basin, as outlined in </w:t>
      </w:r>
      <w:r w:rsidR="009366D7">
        <w:fldChar w:fldCharType="begin"/>
      </w:r>
      <w:r w:rsidR="00F76E0D">
        <w:instrText xml:space="preserve"> ADDIN EN.CITE &lt;EndNote&gt;&lt;Cite AuthorYear="1"&gt;&lt;Author&gt;Tickell&lt;/Author&gt;&lt;Year&gt;2017&lt;/Year&gt;&lt;RecNum&gt;695&lt;/RecNum&gt;&lt;DisplayText&gt;Tickell and Bruwer (2017)&lt;/DisplayText&gt;&lt;record&gt;&lt;rec-number&gt;695&lt;/rec-number&gt;&lt;foreign-keys&gt;&lt;key app="EN" db-id="wdf9tzzdhw2saee559kv0vezt0wfsta0zedv" timestamp="1545264525"&gt;695&lt;/key&gt;&lt;key app="ENWeb" db-id=""&gt;0&lt;/key&gt;&lt;/foreign-keys&gt;&lt;ref-type name="Report"&gt;27&lt;/ref-type&gt;&lt;contributors&gt;&lt;authors&gt;&lt;author&gt;Tickell, Stephen. J.&lt;/author&gt;&lt;author&gt;Bruwer, Quentin&lt;/author&gt;&lt;/authors&gt;&lt;tertiary-authors&gt;&lt;author&gt;Northern Territory Department of Environment and Natural Resources&lt;/author&gt;&lt;/tertiary-authors&gt;&lt;subsidiary-authors&gt;&lt;author&gt;Water Resources Division&lt;/author&gt;&lt;/subsidiary-authors&gt;&lt;/contributors&gt;&lt;titles&gt;&lt;title&gt;Georgina Basin Groundwater Assessment: Daly Waters to Tennant Creek&lt;/title&gt;&lt;/titles&gt;&lt;pages&gt;108&lt;/pages&gt;&lt;number&gt;Technical Report 17/2017&lt;/number&gt;&lt;dates&gt;&lt;year&gt;2017&lt;/year&gt;&lt;/dates&gt;&lt;publisher&gt;Northern Territory Department of Environment and Natural Resources&lt;/publisher&gt;&lt;isbn&gt;Technical Report 17/2017&lt;/isbn&gt;&lt;urls&gt;&lt;related-urls&gt;&lt;url&gt;&lt;style face="underline" font="default" size="100%"&gt;http://www.territorystories.nt.gov.au/jspui/handle/10070/304921&lt;/style&gt;&lt;/url&gt;&lt;/related-urls&gt;&lt;/urls&gt;&lt;access-date&gt;20 April 2020&lt;/access-date&gt;&lt;/record&gt;&lt;/Cite&gt;&lt;/EndNote&gt;</w:instrText>
      </w:r>
      <w:r w:rsidR="009366D7">
        <w:fldChar w:fldCharType="separate"/>
      </w:r>
      <w:r w:rsidR="001C003A">
        <w:rPr>
          <w:noProof/>
        </w:rPr>
        <w:t>Tickell and Bruwer (2017)</w:t>
      </w:r>
      <w:r w:rsidR="009366D7">
        <w:fldChar w:fldCharType="end"/>
      </w:r>
      <w:r w:rsidR="009366D7" w:rsidRPr="009366D7">
        <w:t>.</w:t>
      </w:r>
    </w:p>
    <w:p w14:paraId="780932E7" w14:textId="69284B37" w:rsidR="004C78A2" w:rsidRDefault="00EC58EB" w:rsidP="004C78A2">
      <w:pPr>
        <w:pStyle w:val="BodyText"/>
      </w:pPr>
      <w:bookmarkStart w:id="489" w:name="_Hlk35591312"/>
      <w:r>
        <w:t>Due</w:t>
      </w:r>
      <w:r w:rsidR="004C78A2">
        <w:t xml:space="preserve"> to sparse data available at time of production (i.e. </w:t>
      </w:r>
      <w:r w:rsidR="00887EBB">
        <w:fldChar w:fldCharType="begin"/>
      </w:r>
      <w:r w:rsidR="00F76E0D">
        <w:instrText xml:space="preserve"> ADDIN EN.CITE &lt;EndNote&gt;&lt;Cite AuthorYear="1"&gt;&lt;Author&gt;Randal&lt;/Author&gt;&lt;Year&gt;1973&lt;/Year&gt;&lt;RecNum&gt;1271&lt;/RecNum&gt;&lt;DisplayText&gt;Randal (1973)&lt;/DisplayText&gt;&lt;record&gt;&lt;rec-number&gt;1271&lt;/rec-number&gt;&lt;foreign-keys&gt;&lt;key app="EN" db-id="wdf9tzzdhw2saee559kv0vezt0wfsta0zedv" timestamp="1569370340"&gt;1271&lt;/key&gt;&lt;/foreign-keys&gt;&lt;ref-type name="Report"&gt;27&lt;/ref-type&gt;&lt;contributors&gt;&lt;authors&gt;&lt;author&gt;Randal, M. A.&lt;/author&gt;&lt;/authors&gt;&lt;tertiary-authors&gt;&lt;author&gt;Bureau of Mineral Resources, Geology and Geophysics, &lt;/author&gt;&lt;/tertiary-authors&gt;&lt;subsidiary-authors&gt;&lt;author&gt;Bureau of Mineral Resources, Geology and Geophysics, &lt;/author&gt;&lt;/subsidiary-authors&gt;&lt;/contributors&gt;&lt;titles&gt;&lt;title&gt;Groundwater in the Northern Wiso Basin and environs, Northern Territory&lt;/title&gt;&lt;/titles&gt;&lt;dates&gt;&lt;year&gt;1973&lt;/year&gt;&lt;/dates&gt;&lt;pub-location&gt;Canberra&lt;/pub-location&gt;&lt;publisher&gt;Bureau of Mineral Resources&lt;/publisher&gt;&lt;urls&gt;&lt;related-urls&gt;&lt;url&gt;http://www.ga.gov.au/metadata-gateway/metadata/record/100/&lt;/url&gt;&lt;/related-urls&gt;&lt;/urls&gt;&lt;access-date&gt;25 October 2019&lt;/access-date&gt;&lt;/record&gt;&lt;/Cite&gt;&lt;/EndNote&gt;</w:instrText>
      </w:r>
      <w:r w:rsidR="00887EBB">
        <w:fldChar w:fldCharType="separate"/>
      </w:r>
      <w:r w:rsidR="00887EBB">
        <w:rPr>
          <w:noProof/>
        </w:rPr>
        <w:t>Randal (1973)</w:t>
      </w:r>
      <w:r w:rsidR="00887EBB">
        <w:fldChar w:fldCharType="end"/>
      </w:r>
      <w:r w:rsidR="004C78A2">
        <w:t xml:space="preserve">), the contours shown in </w:t>
      </w:r>
      <w:r w:rsidR="004C78A2">
        <w:fldChar w:fldCharType="begin"/>
      </w:r>
      <w:r w:rsidR="004C78A2">
        <w:instrText xml:space="preserve"> REF _Ref3890242 \h </w:instrText>
      </w:r>
      <w:r w:rsidR="004C78A2">
        <w:fldChar w:fldCharType="separate"/>
      </w:r>
      <w:r w:rsidR="00B177F5">
        <w:t xml:space="preserve">Figure </w:t>
      </w:r>
      <w:r w:rsidR="00B177F5">
        <w:rPr>
          <w:noProof/>
        </w:rPr>
        <w:t>17</w:t>
      </w:r>
      <w:r w:rsidR="004C78A2">
        <w:fldChar w:fldCharType="end"/>
      </w:r>
      <w:r w:rsidR="004C78A2">
        <w:t xml:space="preserve"> diverge from more recent iterations (</w:t>
      </w:r>
      <w:r w:rsidR="004C78A2">
        <w:fldChar w:fldCharType="begin"/>
      </w:r>
      <w:r w:rsidR="004C78A2">
        <w:instrText xml:space="preserve"> REF _Ref1137606 \h </w:instrText>
      </w:r>
      <w:r w:rsidR="004C78A2">
        <w:fldChar w:fldCharType="separate"/>
      </w:r>
      <w:r w:rsidR="00B177F5">
        <w:t xml:space="preserve">Figure </w:t>
      </w:r>
      <w:r w:rsidR="00B177F5">
        <w:rPr>
          <w:noProof/>
        </w:rPr>
        <w:t>16</w:t>
      </w:r>
      <w:r w:rsidR="004C78A2">
        <w:fldChar w:fldCharType="end"/>
      </w:r>
      <w:r w:rsidR="004C78A2">
        <w:t xml:space="preserve">) in the eastern half of the </w:t>
      </w:r>
      <w:r w:rsidR="00786A5B">
        <w:t>CLA</w:t>
      </w:r>
      <w:r w:rsidR="00991F31">
        <w:t xml:space="preserve"> – particularly</w:t>
      </w:r>
      <w:r w:rsidR="004C78A2">
        <w:t xml:space="preserve"> around </w:t>
      </w:r>
      <w:r w:rsidR="00786A5B">
        <w:t xml:space="preserve">the </w:t>
      </w:r>
      <w:r w:rsidR="004C78A2">
        <w:t xml:space="preserve">Katherine Mataranka region and to the east of Newcastle Waters and Daly Waters. Contours in the eastern sections of </w:t>
      </w:r>
      <w:r w:rsidR="004C78A2">
        <w:fldChar w:fldCharType="begin"/>
      </w:r>
      <w:r w:rsidR="004C78A2">
        <w:instrText xml:space="preserve"> REF _Ref3890242 \h </w:instrText>
      </w:r>
      <w:r w:rsidR="004C78A2">
        <w:fldChar w:fldCharType="separate"/>
      </w:r>
      <w:r w:rsidR="00B177F5">
        <w:t xml:space="preserve">Figure </w:t>
      </w:r>
      <w:r w:rsidR="00B177F5">
        <w:rPr>
          <w:noProof/>
        </w:rPr>
        <w:t>17</w:t>
      </w:r>
      <w:r w:rsidR="004C78A2">
        <w:fldChar w:fldCharType="end"/>
      </w:r>
      <w:r w:rsidR="004C78A2">
        <w:t xml:space="preserve"> are not considered to be reliable </w:t>
      </w:r>
      <w:r w:rsidR="00FC3438">
        <w:t xml:space="preserve">due to paucity of data at time it was drawn </w:t>
      </w:r>
      <w:r w:rsidR="00887EBB">
        <w:fldChar w:fldCharType="begin"/>
      </w:r>
      <w:r w:rsidR="00F76E0D">
        <w:instrText xml:space="preserve"> ADDIN EN.CITE &lt;EndNote&gt;&lt;Cite&gt;&lt;Author&gt;Randal&lt;/Author&gt;&lt;Year&gt;1973&lt;/Year&gt;&lt;RecNum&gt;1271&lt;/RecNum&gt;&lt;DisplayText&gt;(Randal, 1973)&lt;/DisplayText&gt;&lt;record&gt;&lt;rec-number&gt;1271&lt;/rec-number&gt;&lt;foreign-keys&gt;&lt;key app="EN" db-id="wdf9tzzdhw2saee559kv0vezt0wfsta0zedv" timestamp="1569370340"&gt;1271&lt;/key&gt;&lt;/foreign-keys&gt;&lt;ref-type name="Report"&gt;27&lt;/ref-type&gt;&lt;contributors&gt;&lt;authors&gt;&lt;author&gt;Randal, M. A.&lt;/author&gt;&lt;/authors&gt;&lt;tertiary-authors&gt;&lt;author&gt;Bureau of Mineral Resources, Geology and Geophysics, &lt;/author&gt;&lt;/tertiary-authors&gt;&lt;subsidiary-authors&gt;&lt;author&gt;Bureau of Mineral Resources, Geology and Geophysics, &lt;/author&gt;&lt;/subsidiary-authors&gt;&lt;/contributors&gt;&lt;titles&gt;&lt;title&gt;Groundwater in the Northern Wiso Basin and environs, Northern Territory&lt;/title&gt;&lt;/titles&gt;&lt;dates&gt;&lt;year&gt;1973&lt;/year&gt;&lt;/dates&gt;&lt;pub-location&gt;Canberra&lt;/pub-location&gt;&lt;publisher&gt;Bureau of Mineral Resources&lt;/publisher&gt;&lt;urls&gt;&lt;related-urls&gt;&lt;url&gt;http://www.ga.gov.au/metadata-gateway/metadata/record/100/&lt;/url&gt;&lt;/related-urls&gt;&lt;/urls&gt;&lt;access-date&gt;25 October 2019&lt;/access-date&gt;&lt;/record&gt;&lt;/Cite&gt;&lt;/EndNote&gt;</w:instrText>
      </w:r>
      <w:r w:rsidR="00887EBB">
        <w:fldChar w:fldCharType="separate"/>
      </w:r>
      <w:r w:rsidR="00887EBB">
        <w:rPr>
          <w:noProof/>
        </w:rPr>
        <w:t>(Randal, 1973)</w:t>
      </w:r>
      <w:r w:rsidR="00887EBB">
        <w:fldChar w:fldCharType="end"/>
      </w:r>
      <w:r w:rsidR="00FC3438">
        <w:t xml:space="preserve"> and </w:t>
      </w:r>
      <w:r w:rsidR="004C78A2">
        <w:t xml:space="preserve">in the light of </w:t>
      </w:r>
      <w:r w:rsidR="00FC3438">
        <w:t xml:space="preserve">more recent </w:t>
      </w:r>
      <w:r w:rsidR="004C78A2">
        <w:t>studies.</w:t>
      </w:r>
    </w:p>
    <w:p w14:paraId="13F2B039" w14:textId="01EDC178" w:rsidR="004C78A2" w:rsidRDefault="004C78A2" w:rsidP="004C78A2">
      <w:r>
        <w:t xml:space="preserve">Aside from the occurrence of </w:t>
      </w:r>
      <w:r w:rsidR="00991F31">
        <w:t>second</w:t>
      </w:r>
      <w:r>
        <w:t xml:space="preserve"> order features that may influence groundwater potentiometry</w:t>
      </w:r>
      <w:r w:rsidR="00A9675F">
        <w:t xml:space="preserve"> (i.e. the groundwater divides)</w:t>
      </w:r>
      <w:r>
        <w:t xml:space="preserve">, there are valid reasons why the various generations of contours </w:t>
      </w:r>
      <w:r w:rsidR="00786A5B">
        <w:t>d</w:t>
      </w:r>
      <w:r>
        <w:t xml:space="preserve">o not coincide in some areas. These include: </w:t>
      </w:r>
    </w:p>
    <w:p w14:paraId="605F2830" w14:textId="7DF3CB1D" w:rsidR="004C78A2" w:rsidRPr="00225452" w:rsidRDefault="00991F31" w:rsidP="00225452">
      <w:pPr>
        <w:pStyle w:val="ListBullet"/>
      </w:pPr>
      <w:r>
        <w:t>v</w:t>
      </w:r>
      <w:r w:rsidR="00434EF8" w:rsidRPr="00225452">
        <w:t>ariable</w:t>
      </w:r>
      <w:r w:rsidR="004C78A2" w:rsidRPr="00225452">
        <w:t xml:space="preserve"> contour spacing intervals </w:t>
      </w:r>
    </w:p>
    <w:p w14:paraId="3D959D18" w14:textId="2A2D0D2B" w:rsidR="004C78A2" w:rsidRPr="00225452" w:rsidRDefault="00991F31" w:rsidP="00225452">
      <w:pPr>
        <w:pStyle w:val="ListBullet"/>
      </w:pPr>
      <w:r>
        <w:t>d</w:t>
      </w:r>
      <w:r w:rsidR="004C78A2" w:rsidRPr="00225452">
        <w:t xml:space="preserve">ensity of bore data at time of production of </w:t>
      </w:r>
      <w:r w:rsidR="00E60E59" w:rsidRPr="00225452">
        <w:t xml:space="preserve">the </w:t>
      </w:r>
      <w:r w:rsidR="004C78A2" w:rsidRPr="00225452">
        <w:t>water</w:t>
      </w:r>
      <w:r w:rsidR="00A00A2A" w:rsidRPr="00225452">
        <w:t>table</w:t>
      </w:r>
      <w:r w:rsidR="00E60E59" w:rsidRPr="00225452">
        <w:t xml:space="preserve"> surface</w:t>
      </w:r>
      <w:r w:rsidR="00FC3438">
        <w:t xml:space="preserve"> </w:t>
      </w:r>
      <w:r w:rsidR="00887EBB">
        <w:fldChar w:fldCharType="begin"/>
      </w:r>
      <w:r w:rsidR="00F76E0D">
        <w:instrText xml:space="preserve"> ADDIN EN.CITE &lt;EndNote&gt;&lt;Cite&gt;&lt;Author&gt;Randal&lt;/Author&gt;&lt;Year&gt;1973&lt;/Year&gt;&lt;RecNum&gt;1271&lt;/RecNum&gt;&lt;DisplayText&gt;(Randal, 1973)&lt;/DisplayText&gt;&lt;record&gt;&lt;rec-number&gt;1271&lt;/rec-number&gt;&lt;foreign-keys&gt;&lt;key app="EN" db-id="wdf9tzzdhw2saee559kv0vezt0wfsta0zedv" timestamp="1569370340"&gt;1271&lt;/key&gt;&lt;/foreign-keys&gt;&lt;ref-type name="Report"&gt;27&lt;/ref-type&gt;&lt;contributors&gt;&lt;authors&gt;&lt;author&gt;Randal, M. A.&lt;/author&gt;&lt;/authors&gt;&lt;tertiary-authors&gt;&lt;author&gt;Bureau of Mineral Resources, Geology and Geophysics, &lt;/author&gt;&lt;/tertiary-authors&gt;&lt;subsidiary-authors&gt;&lt;author&gt;Bureau of Mineral Resources, Geology and Geophysics, &lt;/author&gt;&lt;/subsidiary-authors&gt;&lt;/contributors&gt;&lt;titles&gt;&lt;title&gt;Groundwater in the Northern Wiso Basin and environs, Northern Territory&lt;/title&gt;&lt;/titles&gt;&lt;dates&gt;&lt;year&gt;1973&lt;/year&gt;&lt;/dates&gt;&lt;pub-location&gt;Canberra&lt;/pub-location&gt;&lt;publisher&gt;Bureau of Mineral Resources&lt;/publisher&gt;&lt;urls&gt;&lt;related-urls&gt;&lt;url&gt;http://www.ga.gov.au/metadata-gateway/metadata/record/100/&lt;/url&gt;&lt;/related-urls&gt;&lt;/urls&gt;&lt;access-date&gt;25 October 2019&lt;/access-date&gt;&lt;/record&gt;&lt;/Cite&gt;&lt;/EndNote&gt;</w:instrText>
      </w:r>
      <w:r w:rsidR="00887EBB">
        <w:fldChar w:fldCharType="separate"/>
      </w:r>
      <w:r w:rsidR="00887EBB">
        <w:rPr>
          <w:noProof/>
        </w:rPr>
        <w:t>(Randal, 1973)</w:t>
      </w:r>
      <w:r w:rsidR="00887EBB">
        <w:fldChar w:fldCharType="end"/>
      </w:r>
    </w:p>
    <w:p w14:paraId="2FB86B86" w14:textId="62E7106E" w:rsidR="004C78A2" w:rsidRPr="00225452" w:rsidRDefault="00991F31" w:rsidP="00225452">
      <w:pPr>
        <w:pStyle w:val="ListBullet"/>
      </w:pPr>
      <w:r>
        <w:t>d</w:t>
      </w:r>
      <w:r w:rsidR="00434EF8" w:rsidRPr="00225452">
        <w:t>ifferent scale</w:t>
      </w:r>
      <w:r w:rsidR="004C78A2" w:rsidRPr="00225452">
        <w:t xml:space="preserve"> or focus of the various studies (e.g. regional versus local</w:t>
      </w:r>
      <w:r w:rsidR="005D7286" w:rsidRPr="00225452">
        <w:t>, Sturt Plateau versus Georgina Basin</w:t>
      </w:r>
      <w:r w:rsidR="004C78A2" w:rsidRPr="00225452">
        <w:t>)</w:t>
      </w:r>
    </w:p>
    <w:p w14:paraId="5101CA4C" w14:textId="49FE8847" w:rsidR="004C78A2" w:rsidRPr="00225452" w:rsidRDefault="00991F31" w:rsidP="00225452">
      <w:pPr>
        <w:pStyle w:val="ListBullet"/>
      </w:pPr>
      <w:r>
        <w:t>t</w:t>
      </w:r>
      <w:r w:rsidR="004C78A2" w:rsidRPr="00225452">
        <w:t>ime range of the water level data used to map the water</w:t>
      </w:r>
      <w:r w:rsidR="00A00A2A" w:rsidRPr="00225452">
        <w:t>table</w:t>
      </w:r>
      <w:r w:rsidR="004C78A2" w:rsidRPr="00225452">
        <w:t xml:space="preserve"> (e.g. measurements for last </w:t>
      </w:r>
      <w:r>
        <w:t xml:space="preserve">ten </w:t>
      </w:r>
      <w:r w:rsidR="004C78A2" w:rsidRPr="00225452">
        <w:t xml:space="preserve">years, or just </w:t>
      </w:r>
      <w:r>
        <w:t>one</w:t>
      </w:r>
      <w:r w:rsidR="004C78A2" w:rsidRPr="00225452">
        <w:t xml:space="preserve"> year).</w:t>
      </w:r>
    </w:p>
    <w:bookmarkEnd w:id="489"/>
    <w:p w14:paraId="4CBA9E8C" w14:textId="423D31D6" w:rsidR="004C78A2" w:rsidRDefault="004C78A2" w:rsidP="004C78A2">
      <w:r>
        <w:t xml:space="preserve">In some areas, the large changes evident in monitoring bore hydrographs (e.g. greater than </w:t>
      </w:r>
      <w:r w:rsidR="00991F31">
        <w:t>six</w:t>
      </w:r>
      <w:r w:rsidR="00B32996">
        <w:t xml:space="preserve"> </w:t>
      </w:r>
      <w:r>
        <w:t>m</w:t>
      </w:r>
      <w:r w:rsidR="00FC3438">
        <w:t>onths</w:t>
      </w:r>
      <w:r>
        <w:t xml:space="preserve"> </w:t>
      </w:r>
      <w:r w:rsidR="00B32996">
        <w:t>in one year</w:t>
      </w:r>
      <w:r>
        <w:t>) s</w:t>
      </w:r>
      <w:r w:rsidR="00453C3E">
        <w:t>uggest that incorporating water</w:t>
      </w:r>
      <w:r w:rsidR="00991F31">
        <w:t xml:space="preserve"> </w:t>
      </w:r>
      <w:r>
        <w:t>level data over too large a time period could create spurious</w:t>
      </w:r>
      <w:r w:rsidR="004C2B83">
        <w:t xml:space="preserve"> contours. Conversely, selecting </w:t>
      </w:r>
      <w:r w:rsidR="00453C3E">
        <w:t xml:space="preserve">data to a particular year </w:t>
      </w:r>
      <w:r>
        <w:t>limit</w:t>
      </w:r>
      <w:r w:rsidR="00453C3E">
        <w:t>s</w:t>
      </w:r>
      <w:r>
        <w:t xml:space="preserve"> the number of bores available </w:t>
      </w:r>
      <w:r w:rsidR="00787122">
        <w:t xml:space="preserve">for contour generation. This may </w:t>
      </w:r>
      <w:r>
        <w:t xml:space="preserve">produce overly smoothed contours that do not pick out semi-regional variance in </w:t>
      </w:r>
      <w:r w:rsidR="00717FDC">
        <w:t xml:space="preserve">potentiometry and potential groundwater flow, which </w:t>
      </w:r>
      <w:r w:rsidR="00FC3438">
        <w:t>are</w:t>
      </w:r>
      <w:r>
        <w:t xml:space="preserve"> important for conceptualising groundwater </w:t>
      </w:r>
      <w:r w:rsidR="00717FDC">
        <w:t>flow</w:t>
      </w:r>
      <w:r w:rsidR="00E93D3D">
        <w:t xml:space="preserve"> in the CLA</w:t>
      </w:r>
      <w:r>
        <w:t xml:space="preserve">. </w:t>
      </w:r>
    </w:p>
    <w:p w14:paraId="2E615201" w14:textId="473723DB" w:rsidR="004C78A2" w:rsidRDefault="004C78A2" w:rsidP="004C78A2">
      <w:r>
        <w:t>There is an influx of new data and understanding derived fr</w:t>
      </w:r>
      <w:r w:rsidR="00717FDC">
        <w:t xml:space="preserve">om monitoring bores </w:t>
      </w:r>
      <w:r>
        <w:t xml:space="preserve">installed as part of recent studies for water allocation plans, agriculture and petroleum exploration. Consideration should be given to producing an updated and more nuanced potentiometric surface for the </w:t>
      </w:r>
      <w:r w:rsidR="00E93D3D">
        <w:t>CLA</w:t>
      </w:r>
      <w:r w:rsidR="00717FDC">
        <w:t xml:space="preserve"> that encompasses western Beetaloo GBA region </w:t>
      </w:r>
      <w:r w:rsidR="00FC3438">
        <w:t>and</w:t>
      </w:r>
      <w:r w:rsidR="00717FDC">
        <w:t xml:space="preserve"> t</w:t>
      </w:r>
      <w:r w:rsidR="00E93D3D">
        <w:t xml:space="preserve">he groundwater divides detailed in </w:t>
      </w:r>
      <w:r w:rsidR="00E93D3D">
        <w:fldChar w:fldCharType="begin"/>
      </w:r>
      <w:r w:rsidR="00E93D3D">
        <w:instrText xml:space="preserve"> REF _Ref3890242 \h </w:instrText>
      </w:r>
      <w:r w:rsidR="00E93D3D">
        <w:fldChar w:fldCharType="separate"/>
      </w:r>
      <w:r w:rsidR="00B177F5">
        <w:t xml:space="preserve">Figure </w:t>
      </w:r>
      <w:r w:rsidR="00B177F5">
        <w:rPr>
          <w:noProof/>
        </w:rPr>
        <w:t>17</w:t>
      </w:r>
      <w:r w:rsidR="00E93D3D">
        <w:fldChar w:fldCharType="end"/>
      </w:r>
      <w:r>
        <w:t>.</w:t>
      </w:r>
    </w:p>
    <w:p w14:paraId="6693AE7A" w14:textId="77777777" w:rsidR="004C78A2" w:rsidRDefault="004C78A2" w:rsidP="004C78A2">
      <w:r>
        <w:t>This could be facilitated by:</w:t>
      </w:r>
    </w:p>
    <w:p w14:paraId="4A996E6A" w14:textId="7BFD8E54" w:rsidR="004C78A2" w:rsidRDefault="004C78A2" w:rsidP="001F0A6B">
      <w:pPr>
        <w:pStyle w:val="ListBullet"/>
      </w:pPr>
      <w:r>
        <w:t xml:space="preserve">Ensuring all groundwater bores have </w:t>
      </w:r>
      <w:r w:rsidR="00C8422B">
        <w:t xml:space="preserve">an assigned </w:t>
      </w:r>
      <w:r>
        <w:t xml:space="preserve">hydrostratigraphy. For instance, 30% </w:t>
      </w:r>
      <w:r w:rsidR="00991F31">
        <w:t xml:space="preserve">of </w:t>
      </w:r>
      <w:r>
        <w:t xml:space="preserve">bores with depth to water level measurements </w:t>
      </w:r>
      <w:r w:rsidR="00CF4589">
        <w:t xml:space="preserve">currently </w:t>
      </w:r>
      <w:r>
        <w:t xml:space="preserve">have no </w:t>
      </w:r>
      <w:r w:rsidR="00C34562">
        <w:t xml:space="preserve">recorded </w:t>
      </w:r>
      <w:r>
        <w:t xml:space="preserve">hydrostratigraphy (Section </w:t>
      </w:r>
      <w:r>
        <w:fldChar w:fldCharType="begin"/>
      </w:r>
      <w:r>
        <w:instrText xml:space="preserve"> REF _Ref534806538 \r \h </w:instrText>
      </w:r>
      <w:r w:rsidR="001F0A6B">
        <w:instrText xml:space="preserve"> \* MERGEFORMAT </w:instrText>
      </w:r>
      <w:r>
        <w:fldChar w:fldCharType="separate"/>
      </w:r>
      <w:r w:rsidR="00B177F5">
        <w:t>2</w:t>
      </w:r>
      <w:r>
        <w:fldChar w:fldCharType="end"/>
      </w:r>
      <w:r>
        <w:t>).</w:t>
      </w:r>
    </w:p>
    <w:p w14:paraId="7BDCC833" w14:textId="6941E6C5" w:rsidR="00FE783D" w:rsidRPr="00FE783D" w:rsidRDefault="00FC3438" w:rsidP="254CAF5D">
      <w:pPr>
        <w:pStyle w:val="ListBullet"/>
      </w:pPr>
      <w:r>
        <w:t>I</w:t>
      </w:r>
      <w:r w:rsidR="2777F559">
        <w:t>dentify areas where sinkholes are likely to be present near surface</w:t>
      </w:r>
      <w:r w:rsidR="00124626">
        <w:t xml:space="preserve">, which may influence </w:t>
      </w:r>
      <w:r w:rsidR="2777F559">
        <w:t>preferential recharge in Beetaloo GBA region.</w:t>
      </w:r>
    </w:p>
    <w:p w14:paraId="2198E398" w14:textId="4DE401FA" w:rsidR="004C78A2" w:rsidRDefault="00FE783D" w:rsidP="254CAF5D">
      <w:pPr>
        <w:pStyle w:val="ListBullet"/>
      </w:pPr>
      <w:r>
        <w:t>Selecting water</w:t>
      </w:r>
      <w:r w:rsidR="00991F31">
        <w:t xml:space="preserve"> </w:t>
      </w:r>
      <w:r>
        <w:t xml:space="preserve">level data within certain </w:t>
      </w:r>
      <w:r w:rsidR="009F2848">
        <w:t xml:space="preserve">multi-year </w:t>
      </w:r>
      <w:r>
        <w:t>date</w:t>
      </w:r>
      <w:r w:rsidR="009F2848">
        <w:t xml:space="preserve"> range for water</w:t>
      </w:r>
      <w:r w:rsidR="007C1CF7">
        <w:t>table</w:t>
      </w:r>
      <w:r w:rsidR="009F2848">
        <w:t xml:space="preserve"> mapping</w:t>
      </w:r>
      <w:r w:rsidR="004C78A2">
        <w:t xml:space="preserve">. </w:t>
      </w:r>
      <w:r w:rsidR="009F2848">
        <w:t>Date ranges could</w:t>
      </w:r>
      <w:r w:rsidR="004C78A2">
        <w:t xml:space="preserve"> be </w:t>
      </w:r>
      <w:r w:rsidR="009F2848">
        <w:t xml:space="preserve">based </w:t>
      </w:r>
      <w:r w:rsidR="00124626">
        <w:t xml:space="preserve">on </w:t>
      </w:r>
      <w:r w:rsidR="004C78A2">
        <w:t>trends in residual rainfall curves (</w:t>
      </w:r>
      <w:r w:rsidR="00CF4589">
        <w:fldChar w:fldCharType="begin"/>
      </w:r>
      <w:r w:rsidR="00CF4589">
        <w:instrText xml:space="preserve"> REF _Ref4423727 \h </w:instrText>
      </w:r>
      <w:r w:rsidR="00CF4589">
        <w:fldChar w:fldCharType="separate"/>
      </w:r>
      <w:r w:rsidR="00B177F5">
        <w:t xml:space="preserve">Figure </w:t>
      </w:r>
      <w:r w:rsidR="00B177F5">
        <w:rPr>
          <w:noProof/>
        </w:rPr>
        <w:t>20</w:t>
      </w:r>
      <w:r w:rsidR="00CF4589">
        <w:fldChar w:fldCharType="end"/>
      </w:r>
      <w:r w:rsidR="004C78A2" w:rsidRPr="254CAF5D">
        <w:t xml:space="preserve">). </w:t>
      </w:r>
      <w:r w:rsidR="00E60E59">
        <w:t xml:space="preserve">For example, picking </w:t>
      </w:r>
      <w:r w:rsidR="009F2848">
        <w:t>water</w:t>
      </w:r>
      <w:r w:rsidR="00991F31">
        <w:t xml:space="preserve"> </w:t>
      </w:r>
      <w:r w:rsidR="009F2848">
        <w:t xml:space="preserve">level measurements that were taken </w:t>
      </w:r>
      <w:r w:rsidR="004C78A2">
        <w:t>there is a multi-year rising rainfall trend in the residual rainfall curve</w:t>
      </w:r>
      <w:r w:rsidR="009F2848">
        <w:t xml:space="preserve"> (e.g. 1995–2010)</w:t>
      </w:r>
      <w:r w:rsidR="004C78A2">
        <w:t xml:space="preserve">, or </w:t>
      </w:r>
      <w:r w:rsidR="00E60E59">
        <w:t xml:space="preserve">range of </w:t>
      </w:r>
      <w:r w:rsidR="004C78A2">
        <w:t xml:space="preserve">years where </w:t>
      </w:r>
      <w:r w:rsidR="009F2848">
        <w:t>residual rainfall trends are stable (i.e</w:t>
      </w:r>
      <w:r w:rsidR="004C78A2">
        <w:t xml:space="preserve">. </w:t>
      </w:r>
      <w:r w:rsidR="009F2848">
        <w:t xml:space="preserve">relatively </w:t>
      </w:r>
      <w:r w:rsidR="004C78A2">
        <w:t>flat)</w:t>
      </w:r>
      <w:r w:rsidR="00E60E59" w:rsidRPr="254CAF5D">
        <w:t>.</w:t>
      </w:r>
    </w:p>
    <w:p w14:paraId="016008C7" w14:textId="2C34D13C" w:rsidR="004C78A2" w:rsidRDefault="004C78A2" w:rsidP="001F0A6B">
      <w:pPr>
        <w:pStyle w:val="ListBullet"/>
      </w:pPr>
      <w:r>
        <w:t>In areas where little variation is evident in hydrographs, archival water</w:t>
      </w:r>
      <w:r w:rsidR="00CF4589">
        <w:t xml:space="preserve"> </w:t>
      </w:r>
      <w:r>
        <w:t>level data could be picked over larger date ranges, which would provide more data points for interpolation. Conversely</w:t>
      </w:r>
      <w:r w:rsidR="00CF4589">
        <w:t>,</w:t>
      </w:r>
      <w:r>
        <w:t xml:space="preserve"> where hydrographs show evidence of large yearly changes, then date ranges could be narrowed when utilising archival water data in those areas.</w:t>
      </w:r>
    </w:p>
    <w:p w14:paraId="5C3D6381" w14:textId="38468D31" w:rsidR="004C78A2" w:rsidRDefault="004C78A2" w:rsidP="001F0A6B">
      <w:pPr>
        <w:pStyle w:val="ListBullet"/>
      </w:pPr>
      <w:r>
        <w:t xml:space="preserve">Where possible, barometric pressure corrections should be applied to water level logger data. </w:t>
      </w:r>
    </w:p>
    <w:p w14:paraId="09A9DB7C" w14:textId="322B65C1" w:rsidR="00944B18" w:rsidRDefault="001A3537" w:rsidP="0077507F">
      <w:pPr>
        <w:pStyle w:val="ListBullet"/>
      </w:pPr>
      <w:r>
        <w:t xml:space="preserve">Depending </w:t>
      </w:r>
      <w:r w:rsidR="00CF4589">
        <w:t xml:space="preserve">on </w:t>
      </w:r>
      <w:r>
        <w:t>the</w:t>
      </w:r>
      <w:r w:rsidR="0077507F">
        <w:t xml:space="preserve"> length of the screened/open hole intervals, t</w:t>
      </w:r>
      <w:r w:rsidR="00944B18">
        <w:t xml:space="preserve">he siltstone marker horizons outlined in Section </w:t>
      </w:r>
      <w:r w:rsidR="00944B18">
        <w:fldChar w:fldCharType="begin"/>
      </w:r>
      <w:r w:rsidR="00944B18">
        <w:instrText xml:space="preserve"> REF _Ref5187386 \r \h </w:instrText>
      </w:r>
      <w:r w:rsidR="00944B18">
        <w:fldChar w:fldCharType="separate"/>
      </w:r>
      <w:r w:rsidR="00B177F5">
        <w:t>3.2.3.2</w:t>
      </w:r>
      <w:r w:rsidR="00944B18">
        <w:fldChar w:fldCharType="end"/>
      </w:r>
      <w:r w:rsidR="00944B18">
        <w:t xml:space="preserve"> could potentially be used </w:t>
      </w:r>
      <w:r w:rsidR="00085B30">
        <w:t xml:space="preserve">as a way </w:t>
      </w:r>
      <w:r w:rsidR="0077507F">
        <w:t xml:space="preserve">to </w:t>
      </w:r>
      <w:r>
        <w:t>group</w:t>
      </w:r>
      <w:r w:rsidR="0077507F">
        <w:t xml:space="preserve"> water</w:t>
      </w:r>
      <w:r w:rsidR="006F5CAE">
        <w:t xml:space="preserve"> </w:t>
      </w:r>
      <w:r>
        <w:t>level</w:t>
      </w:r>
      <w:r w:rsidR="0077507F">
        <w:t xml:space="preserve"> data</w:t>
      </w:r>
      <w:r w:rsidR="00944B18">
        <w:t xml:space="preserve"> </w:t>
      </w:r>
      <w:r>
        <w:t>for analysis.</w:t>
      </w:r>
      <w:r w:rsidR="00E93D3D">
        <w:t xml:space="preserve"> </w:t>
      </w:r>
      <w:r w:rsidR="00085B30">
        <w:t>Another</w:t>
      </w:r>
      <w:r w:rsidR="00944B18">
        <w:t xml:space="preserve"> way to interrogate the water level data </w:t>
      </w:r>
      <w:r w:rsidR="00085B30">
        <w:t xml:space="preserve">may </w:t>
      </w:r>
      <w:r w:rsidR="00944B18">
        <w:t xml:space="preserve">be </w:t>
      </w:r>
      <w:r w:rsidR="00085B30">
        <w:t xml:space="preserve">to first </w:t>
      </w:r>
      <w:r w:rsidR="00944B18">
        <w:t xml:space="preserve">group it, </w:t>
      </w:r>
      <w:r w:rsidR="00085B30">
        <w:t>with regards to what</w:t>
      </w:r>
      <w:r w:rsidR="00944B18">
        <w:t xml:space="preserve"> part of the stratigraphy the bore screen is situated</w:t>
      </w:r>
      <w:r w:rsidR="00085B30">
        <w:t xml:space="preserve">, then </w:t>
      </w:r>
      <w:r w:rsidR="00E93D3D">
        <w:t>investigate</w:t>
      </w:r>
      <w:r w:rsidR="00085B30">
        <w:t xml:space="preserve"> the group</w:t>
      </w:r>
      <w:r w:rsidR="00E93D3D">
        <w:t xml:space="preserve">ed data to see if there are </w:t>
      </w:r>
      <w:r w:rsidR="00085B30">
        <w:t xml:space="preserve">meaningful trends. </w:t>
      </w:r>
    </w:p>
    <w:p w14:paraId="3A1F21F5" w14:textId="123F9C33" w:rsidR="004C78A2" w:rsidRDefault="0031369B" w:rsidP="003E1F1E">
      <w:pPr>
        <w:pStyle w:val="Figures"/>
      </w:pPr>
      <w:r>
        <w:rPr>
          <w:noProof/>
        </w:rPr>
        <w:drawing>
          <wp:inline distT="0" distB="0" distL="0" distR="0" wp14:anchorId="3B24C44C" wp14:editId="5BFBD0CB">
            <wp:extent cx="6134100" cy="7115175"/>
            <wp:effectExtent l="0" t="0" r="0" b="9525"/>
            <wp:docPr id="24" name="Picture 24" descr="T:\proj\ba2\Stage2\3_Beetaloo\MapsAndFigures\Figures\GBA-BEE-2-092_randall_water_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proj\ba2\Stage2\3_Beetaloo\MapsAndFigures\Figures\GBA-BEE-2-092_randall_water_table.png"/>
                    <pic:cNvPicPr>
                      <a:picLocks noChangeAspect="1" noChangeArrowheads="1"/>
                    </pic:cNvPicPr>
                  </pic:nvPicPr>
                  <pic:blipFill rotWithShape="1">
                    <a:blip r:embed="rId74" cstate="screen">
                      <a:extLst>
                        <a:ext uri="{28A0092B-C50C-407E-A947-70E740481C1C}">
                          <a14:useLocalDpi xmlns:a14="http://schemas.microsoft.com/office/drawing/2010/main" val="0"/>
                        </a:ext>
                      </a:extLst>
                    </a:blip>
                    <a:srcRect b="12529"/>
                    <a:stretch/>
                  </pic:blipFill>
                  <pic:spPr bwMode="auto">
                    <a:xfrm>
                      <a:off x="0" y="0"/>
                      <a:ext cx="6134100" cy="7115175"/>
                    </a:xfrm>
                    <a:prstGeom prst="rect">
                      <a:avLst/>
                    </a:prstGeom>
                    <a:noFill/>
                    <a:ln>
                      <a:noFill/>
                    </a:ln>
                    <a:extLst>
                      <a:ext uri="{53640926-AAD7-44D8-BBD7-CCE9431645EC}">
                        <a14:shadowObscured xmlns:a14="http://schemas.microsoft.com/office/drawing/2010/main"/>
                      </a:ext>
                    </a:extLst>
                  </pic:spPr>
                </pic:pic>
              </a:graphicData>
            </a:graphic>
          </wp:inline>
        </w:drawing>
      </w:r>
    </w:p>
    <w:p w14:paraId="57668DFE" w14:textId="63D26AC0" w:rsidR="004C78A2" w:rsidRPr="004024C9" w:rsidRDefault="004C78A2" w:rsidP="004C78A2">
      <w:pPr>
        <w:pStyle w:val="Caption"/>
      </w:pPr>
      <w:bookmarkStart w:id="490" w:name="_Ref3890242"/>
      <w:bookmarkStart w:id="491" w:name="_Ref4056921"/>
      <w:bookmarkStart w:id="492" w:name="_Toc3968836"/>
      <w:bookmarkStart w:id="493" w:name="_Toc4072440"/>
      <w:bookmarkStart w:id="494" w:name="_Toc4670953"/>
      <w:bookmarkStart w:id="495" w:name="_Toc4754373"/>
      <w:bookmarkStart w:id="496" w:name="_Toc5020758"/>
      <w:bookmarkStart w:id="497" w:name="_Toc5021565"/>
      <w:bookmarkStart w:id="498" w:name="_Toc5097091"/>
      <w:bookmarkStart w:id="499" w:name="_Toc5108483"/>
      <w:bookmarkStart w:id="500" w:name="_Toc5284148"/>
      <w:bookmarkStart w:id="501" w:name="_Toc5635362"/>
      <w:bookmarkStart w:id="502" w:name="_Toc5808321"/>
      <w:bookmarkStart w:id="503" w:name="_Toc5895013"/>
      <w:bookmarkStart w:id="504" w:name="_Toc6308902"/>
      <w:bookmarkStart w:id="505" w:name="_Toc6327567"/>
      <w:bookmarkStart w:id="506" w:name="_Toc38990471"/>
      <w:r>
        <w:t xml:space="preserve">Figure </w:t>
      </w:r>
      <w:r w:rsidRPr="78541554">
        <w:fldChar w:fldCharType="begin"/>
      </w:r>
      <w:r>
        <w:rPr>
          <w:noProof/>
        </w:rPr>
        <w:instrText xml:space="preserve"> SEQ Figure \* ARABIC </w:instrText>
      </w:r>
      <w:r w:rsidRPr="78541554">
        <w:rPr>
          <w:noProof/>
        </w:rPr>
        <w:fldChar w:fldCharType="separate"/>
      </w:r>
      <w:r w:rsidR="00B177F5">
        <w:rPr>
          <w:noProof/>
        </w:rPr>
        <w:t>17</w:t>
      </w:r>
      <w:r w:rsidRPr="78541554">
        <w:fldChar w:fldCharType="end"/>
      </w:r>
      <w:bookmarkEnd w:id="490"/>
      <w:bookmarkEnd w:id="491"/>
      <w:r>
        <w:t xml:space="preserve"> Watertable contours </w:t>
      </w:r>
      <w:bookmarkEnd w:id="492"/>
      <w:r>
        <w:t xml:space="preserve">for the </w:t>
      </w:r>
      <w:r w:rsidR="00DE4F5D">
        <w:t xml:space="preserve">northern Wiso Basin and </w:t>
      </w:r>
      <w:r w:rsidR="004C5924">
        <w:t>environ</w:t>
      </w:r>
      <w:bookmarkEnd w:id="493"/>
      <w:bookmarkEnd w:id="494"/>
      <w:bookmarkEnd w:id="495"/>
      <w:bookmarkEnd w:id="496"/>
      <w:bookmarkEnd w:id="497"/>
      <w:bookmarkEnd w:id="498"/>
      <w:bookmarkEnd w:id="499"/>
      <w:bookmarkEnd w:id="500"/>
      <w:bookmarkEnd w:id="501"/>
      <w:bookmarkEnd w:id="502"/>
      <w:bookmarkEnd w:id="503"/>
      <w:bookmarkEnd w:id="504"/>
      <w:bookmarkEnd w:id="505"/>
      <w:r w:rsidR="00B37B04">
        <w:t>s</w:t>
      </w:r>
      <w:bookmarkEnd w:id="506"/>
    </w:p>
    <w:p w14:paraId="7BF18C68" w14:textId="094E48E2" w:rsidR="001E3C87" w:rsidRDefault="001E3C87" w:rsidP="001E3C87">
      <w:pPr>
        <w:pStyle w:val="SourceornoteforTableorFigure"/>
        <w:contextualSpacing/>
      </w:pPr>
      <w:r w:rsidRPr="00A61A49">
        <w:t xml:space="preserve">Data: </w:t>
      </w:r>
      <w:r w:rsidR="006F5CAE">
        <w:t>w</w:t>
      </w:r>
      <w:r w:rsidR="002970B6">
        <w:t>atertable contour</w:t>
      </w:r>
      <w:r w:rsidR="00B37B04">
        <w:t xml:space="preserve">s </w:t>
      </w:r>
      <w:r w:rsidR="00B37B04">
        <w:fldChar w:fldCharType="begin"/>
      </w:r>
      <w:r w:rsidR="00F76E0D">
        <w:instrText xml:space="preserve"> ADDIN EN.CITE &lt;EndNote&gt;&lt;Cite&gt;&lt;Author&gt;Randal&lt;/Author&gt;&lt;Year&gt;1973&lt;/Year&gt;&lt;RecNum&gt;1271&lt;/RecNum&gt;&lt;DisplayText&gt;(Randal, 1973)&lt;/DisplayText&gt;&lt;record&gt;&lt;rec-number&gt;1271&lt;/rec-number&gt;&lt;foreign-keys&gt;&lt;key app="EN" db-id="wdf9tzzdhw2saee559kv0vezt0wfsta0zedv" timestamp="1569370340"&gt;1271&lt;/key&gt;&lt;/foreign-keys&gt;&lt;ref-type name="Report"&gt;27&lt;/ref-type&gt;&lt;contributors&gt;&lt;authors&gt;&lt;author&gt;Randal, M. A.&lt;/author&gt;&lt;/authors&gt;&lt;tertiary-authors&gt;&lt;author&gt;Bureau of Mineral Resources, Geology and Geophysics, &lt;/author&gt;&lt;/tertiary-authors&gt;&lt;subsidiary-authors&gt;&lt;author&gt;Bureau of Mineral Resources, Geology and Geophysics, &lt;/author&gt;&lt;/subsidiary-authors&gt;&lt;/contributors&gt;&lt;titles&gt;&lt;title&gt;Groundwater in the Northern Wiso Basin and environs, Northern Territory&lt;/title&gt;&lt;/titles&gt;&lt;dates&gt;&lt;year&gt;1973&lt;/year&gt;&lt;/dates&gt;&lt;pub-location&gt;Canberra&lt;/pub-location&gt;&lt;publisher&gt;Bureau of Mineral Resources&lt;/publisher&gt;&lt;urls&gt;&lt;related-urls&gt;&lt;url&gt;http://www.ga.gov.au/metadata-gateway/metadata/record/100/&lt;/url&gt;&lt;/related-urls&gt;&lt;/urls&gt;&lt;access-date&gt;25 October 2019&lt;/access-date&gt;&lt;/record&gt;&lt;/Cite&gt;&lt;/EndNote&gt;</w:instrText>
      </w:r>
      <w:r w:rsidR="00B37B04">
        <w:fldChar w:fldCharType="separate"/>
      </w:r>
      <w:r w:rsidR="00B37B04">
        <w:rPr>
          <w:noProof/>
        </w:rPr>
        <w:t>(Randal, 1973)</w:t>
      </w:r>
      <w:r w:rsidR="00B37B04">
        <w:fldChar w:fldCharType="end"/>
      </w:r>
    </w:p>
    <w:p w14:paraId="7C92B1AB" w14:textId="29791D39" w:rsidR="004C78A2" w:rsidRDefault="001E3C87" w:rsidP="002970B6">
      <w:pPr>
        <w:pStyle w:val="SourceornoteforTableorFigure"/>
        <w:contextualSpacing/>
      </w:pPr>
      <w:r w:rsidRPr="00B77B6D">
        <w:t>Element: GBA-</w:t>
      </w:r>
      <w:r>
        <w:t>BEE</w:t>
      </w:r>
      <w:r w:rsidRPr="00B77B6D">
        <w:t>-2-</w:t>
      </w:r>
      <w:r w:rsidR="00FD2883">
        <w:t>092</w:t>
      </w:r>
    </w:p>
    <w:p w14:paraId="25093BF0" w14:textId="34AF3518" w:rsidR="00FF0046" w:rsidRDefault="00CF4589" w:rsidP="005B07E3">
      <w:pPr>
        <w:pStyle w:val="Heading6"/>
      </w:pPr>
      <w:r>
        <w:t>Depth to groundwater</w:t>
      </w:r>
    </w:p>
    <w:p w14:paraId="540F9F31" w14:textId="37728F87" w:rsidR="00296052" w:rsidRDefault="00296052" w:rsidP="00296052">
      <w:r>
        <w:t xml:space="preserve">Standing water levels are recorded for many groundwater </w:t>
      </w:r>
      <w:r w:rsidR="00D26079">
        <w:t>bores</w:t>
      </w:r>
      <w:r>
        <w:t xml:space="preserve"> </w:t>
      </w:r>
      <w:r w:rsidR="006F5CAE">
        <w:t>(</w:t>
      </w:r>
      <w:r w:rsidR="000062E0">
        <w:t xml:space="preserve">presented in </w:t>
      </w:r>
      <w:r w:rsidR="000062E0">
        <w:fldChar w:fldCharType="begin"/>
      </w:r>
      <w:r w:rsidR="000062E0">
        <w:instrText xml:space="preserve"> REF _Ref3985270 \h </w:instrText>
      </w:r>
      <w:r w:rsidR="000062E0">
        <w:fldChar w:fldCharType="separate"/>
      </w:r>
      <w:r w:rsidR="00B177F5">
        <w:t xml:space="preserve">Figure </w:t>
      </w:r>
      <w:r w:rsidR="00B177F5">
        <w:rPr>
          <w:noProof/>
        </w:rPr>
        <w:t>18</w:t>
      </w:r>
      <w:r w:rsidR="000062E0">
        <w:fldChar w:fldCharType="end"/>
      </w:r>
      <w:r w:rsidR="006F5CAE">
        <w:t>)</w:t>
      </w:r>
      <w:r w:rsidR="000062E0">
        <w:t xml:space="preserve">. The majority of </w:t>
      </w:r>
      <w:r>
        <w:t>water</w:t>
      </w:r>
      <w:r w:rsidR="006F5CAE">
        <w:t xml:space="preserve"> </w:t>
      </w:r>
      <w:r>
        <w:t>level</w:t>
      </w:r>
      <w:r w:rsidR="000062E0">
        <w:t xml:space="preserve"> measurements</w:t>
      </w:r>
      <w:r>
        <w:t xml:space="preserve"> are from the </w:t>
      </w:r>
      <w:r w:rsidR="004C2B83">
        <w:t>CLA</w:t>
      </w:r>
      <w:r w:rsidR="00A47209">
        <w:t xml:space="preserve"> </w:t>
      </w:r>
      <w:r>
        <w:t>(</w:t>
      </w:r>
      <w:r>
        <w:fldChar w:fldCharType="begin"/>
      </w:r>
      <w:r>
        <w:instrText xml:space="preserve"> REF _Ref3985557 \h </w:instrText>
      </w:r>
      <w:r>
        <w:fldChar w:fldCharType="separate"/>
      </w:r>
      <w:r w:rsidR="00B177F5">
        <w:t xml:space="preserve">Table </w:t>
      </w:r>
      <w:r w:rsidR="00B177F5">
        <w:rPr>
          <w:noProof/>
        </w:rPr>
        <w:t>5</w:t>
      </w:r>
      <w:r>
        <w:fldChar w:fldCharType="end"/>
      </w:r>
      <w:r>
        <w:t xml:space="preserve">), with </w:t>
      </w:r>
      <w:r w:rsidR="000062E0">
        <w:t>a few</w:t>
      </w:r>
      <w:r>
        <w:t xml:space="preserve"> from other formations (e.g. Proterozoic, Antrim P</w:t>
      </w:r>
      <w:r w:rsidR="004C2B83">
        <w:t>lateau Volcanics and Carpentaria Basin</w:t>
      </w:r>
      <w:r>
        <w:t xml:space="preserve">) locally present. Although there are likely to be differences in groundwater levels between these formations, </w:t>
      </w:r>
      <w:r w:rsidR="00A541ED">
        <w:fldChar w:fldCharType="begin"/>
      </w:r>
      <w:r w:rsidR="00F76E0D">
        <w:instrText xml:space="preserve"> ADDIN EN.CITE &lt;EndNote&gt;&lt;Cite AuthorYear="1"&gt;&lt;Author&gt;Randal&lt;/Author&gt;&lt;Year&gt;1973&lt;/Year&gt;&lt;RecNum&gt;1271&lt;/RecNum&gt;&lt;DisplayText&gt;Randal (1973)&lt;/DisplayText&gt;&lt;record&gt;&lt;rec-number&gt;1271&lt;/rec-number&gt;&lt;foreign-keys&gt;&lt;key app="EN" db-id="wdf9tzzdhw2saee559kv0vezt0wfsta0zedv" timestamp="1569370340"&gt;1271&lt;/key&gt;&lt;/foreign-keys&gt;&lt;ref-type name="Report"&gt;27&lt;/ref-type&gt;&lt;contributors&gt;&lt;authors&gt;&lt;author&gt;Randal, M. A.&lt;/author&gt;&lt;/authors&gt;&lt;tertiary-authors&gt;&lt;author&gt;Bureau of Mineral Resources, Geology and Geophysics, &lt;/author&gt;&lt;/tertiary-authors&gt;&lt;subsidiary-authors&gt;&lt;author&gt;Bureau of Mineral Resources, Geology and Geophysics, &lt;/author&gt;&lt;/subsidiary-authors&gt;&lt;/contributors&gt;&lt;titles&gt;&lt;title&gt;Groundwater in the Northern Wiso Basin and environs, Northern Territory&lt;/title&gt;&lt;/titles&gt;&lt;dates&gt;&lt;year&gt;1973&lt;/year&gt;&lt;/dates&gt;&lt;pub-location&gt;Canberra&lt;/pub-location&gt;&lt;publisher&gt;Bureau of Mineral Resources&lt;/publisher&gt;&lt;urls&gt;&lt;related-urls&gt;&lt;url&gt;http://www.ga.gov.au/metadata-gateway/metadata/record/100/&lt;/url&gt;&lt;/related-urls&gt;&lt;/urls&gt;&lt;access-date&gt;25 October 2019&lt;/access-date&gt;&lt;/record&gt;&lt;/Cite&gt;&lt;/EndNote&gt;</w:instrText>
      </w:r>
      <w:r w:rsidR="00A541ED">
        <w:fldChar w:fldCharType="separate"/>
      </w:r>
      <w:r w:rsidR="00E02D87">
        <w:rPr>
          <w:noProof/>
        </w:rPr>
        <w:t>Randal (1973)</w:t>
      </w:r>
      <w:r w:rsidR="00A541ED">
        <w:fldChar w:fldCharType="end"/>
      </w:r>
      <w:r w:rsidR="005472BB">
        <w:t xml:space="preserve"> </w:t>
      </w:r>
      <w:r w:rsidR="000062E0">
        <w:t>thought they were</w:t>
      </w:r>
      <w:r>
        <w:t xml:space="preserve"> regionally hydraulically interconnected</w:t>
      </w:r>
      <w:r w:rsidR="000062E0">
        <w:t xml:space="preserve"> as water</w:t>
      </w:r>
      <w:r w:rsidR="006F5CAE">
        <w:t xml:space="preserve"> </w:t>
      </w:r>
      <w:r w:rsidR="000062E0">
        <w:t>levels had a common potentiometric surface, forming a regional watertable</w:t>
      </w:r>
      <w:r>
        <w:t xml:space="preserve">. To assess general groundwater depth trends, it is therefore still useful to examine groundwater levels at the 20 m depth intervals </w:t>
      </w:r>
      <w:r w:rsidR="000062E0">
        <w:t xml:space="preserve">as </w:t>
      </w:r>
      <w:r>
        <w:t xml:space="preserve">provided </w:t>
      </w:r>
      <w:r w:rsidR="006F5CAE">
        <w:t>i</w:t>
      </w:r>
      <w:r>
        <w:t xml:space="preserve">n </w:t>
      </w:r>
      <w:r>
        <w:fldChar w:fldCharType="begin"/>
      </w:r>
      <w:r>
        <w:instrText xml:space="preserve"> REF _Ref3985270 \h </w:instrText>
      </w:r>
      <w:r>
        <w:fldChar w:fldCharType="separate"/>
      </w:r>
      <w:r w:rsidR="00B177F5">
        <w:t xml:space="preserve">Figure </w:t>
      </w:r>
      <w:r w:rsidR="00B177F5">
        <w:rPr>
          <w:noProof/>
        </w:rPr>
        <w:t>18</w:t>
      </w:r>
      <w:r>
        <w:fldChar w:fldCharType="end"/>
      </w:r>
      <w:r>
        <w:t>.</w:t>
      </w:r>
      <w:r w:rsidR="00D91542">
        <w:t xml:space="preserve"> However, it should be kept in mind that potential </w:t>
      </w:r>
      <w:r w:rsidR="002E6955">
        <w:t>homogenisation</w:t>
      </w:r>
      <w:r w:rsidR="00D91542">
        <w:t xml:space="preserve"> of water</w:t>
      </w:r>
      <w:r w:rsidR="006F5CAE">
        <w:t xml:space="preserve"> </w:t>
      </w:r>
      <w:r w:rsidR="00D91542">
        <w:t>level measurements can occur if groundwater bores are constructed with a large screen length open interval across different aquifers (</w:t>
      </w:r>
      <w:r w:rsidR="006F5CAE">
        <w:t>‘</w:t>
      </w:r>
      <w:r w:rsidR="00D91542">
        <w:t>blended hydraulic head</w:t>
      </w:r>
      <w:r w:rsidR="006F5CAE">
        <w:t>’</w:t>
      </w:r>
      <w:r w:rsidR="00D91542">
        <w:t>).</w:t>
      </w:r>
    </w:p>
    <w:p w14:paraId="0A283062" w14:textId="61046281" w:rsidR="0031369B" w:rsidRDefault="00E44DF4" w:rsidP="0031369B">
      <w:r>
        <w:fldChar w:fldCharType="begin"/>
      </w:r>
      <w:r>
        <w:instrText xml:space="preserve"> REF _Ref3985270 \h </w:instrText>
      </w:r>
      <w:r>
        <w:fldChar w:fldCharType="separate"/>
      </w:r>
      <w:r w:rsidR="00B177F5">
        <w:t xml:space="preserve">Figure </w:t>
      </w:r>
      <w:r w:rsidR="00B177F5">
        <w:rPr>
          <w:noProof/>
        </w:rPr>
        <w:t>18</w:t>
      </w:r>
      <w:r>
        <w:fldChar w:fldCharType="end"/>
      </w:r>
      <w:r>
        <w:t xml:space="preserve"> indicates t</w:t>
      </w:r>
      <w:r w:rsidR="0031369B">
        <w:t xml:space="preserve">here is a clear correlation between topography and groundwater level. Water depths in excess of 100 m are encountered in the elevated areas of the central southern parts of the </w:t>
      </w:r>
      <w:r w:rsidR="00C015C4">
        <w:t xml:space="preserve">Beetaloo GBA </w:t>
      </w:r>
      <w:r>
        <w:t xml:space="preserve">extended </w:t>
      </w:r>
      <w:r w:rsidR="00C015C4">
        <w:t>region</w:t>
      </w:r>
      <w:r w:rsidR="0031369B">
        <w:t>. Water levels are closer to surface in the south along the Ashburton Range and Lake Woods (recharge zones), and to the north where surface elevation falls towards discharge areas (e.g. Mataranka Thermal Pools). L</w:t>
      </w:r>
      <w:r w:rsidR="0031369B" w:rsidRPr="00366F49">
        <w:t>ocal recharge is possible through karst features</w:t>
      </w:r>
      <w:r w:rsidR="0031369B">
        <w:t xml:space="preserve">. Water depths are shallow near known springs to the north of the Beetaloo GBA region and towards the edges of the Sturt Plateau. </w:t>
      </w:r>
    </w:p>
    <w:p w14:paraId="45F4D877" w14:textId="6288CAB4" w:rsidR="0031369B" w:rsidRDefault="0031369B" w:rsidP="00296052">
      <w:r>
        <w:t xml:space="preserve">Although </w:t>
      </w:r>
      <w:r>
        <w:fldChar w:fldCharType="begin"/>
      </w:r>
      <w:r>
        <w:instrText xml:space="preserve"> REF _Ref3985270 \h </w:instrText>
      </w:r>
      <w:r>
        <w:fldChar w:fldCharType="separate"/>
      </w:r>
      <w:r w:rsidR="00B177F5">
        <w:t xml:space="preserve">Figure </w:t>
      </w:r>
      <w:r w:rsidR="00B177F5">
        <w:rPr>
          <w:noProof/>
        </w:rPr>
        <w:t>18</w:t>
      </w:r>
      <w:r>
        <w:fldChar w:fldCharType="end"/>
      </w:r>
      <w:r>
        <w:t xml:space="preserve"> provides useful information on water depths </w:t>
      </w:r>
      <w:r w:rsidR="00D91542">
        <w:t xml:space="preserve">for </w:t>
      </w:r>
      <w:r>
        <w:t>the main formations currently exploited for groundwater, shallower perched groundwater</w:t>
      </w:r>
      <w:r w:rsidR="00E44DF4">
        <w:t>s</w:t>
      </w:r>
      <w:r>
        <w:t xml:space="preserve"> </w:t>
      </w:r>
      <w:r w:rsidR="00D91542">
        <w:t>are</w:t>
      </w:r>
      <w:r>
        <w:t xml:space="preserve"> known to be present locally. As an example, groundwater is reportedly within 1 m of surface at times in the Cenozoic </w:t>
      </w:r>
      <w:r w:rsidR="00D91542">
        <w:t>aquifers</w:t>
      </w:r>
      <w:r>
        <w:t xml:space="preserve"> monitored by Origin Energy</w:t>
      </w:r>
      <w:r w:rsidR="00A5685D">
        <w:t xml:space="preserve"> </w:t>
      </w:r>
      <w:r w:rsidR="00A5685D">
        <w:fldChar w:fldCharType="begin"/>
      </w:r>
      <w:r w:rsidR="00A5685D">
        <w:instrText xml:space="preserve"> ADDIN EN.CITE &lt;EndNote&gt;&lt;Cite ExcludeAuth="1"&gt;&lt;Author&gt;Origin Energy&lt;/Author&gt;&lt;Year&gt;2019&lt;/Year&gt;&lt;RecNum&gt;1519&lt;/RecNum&gt;&lt;DisplayText&gt;(2019)&lt;/DisplayText&gt;&lt;record&gt;&lt;rec-number&gt;1519&lt;/rec-number&gt;&lt;foreign-keys&gt;&lt;key app="EN" db-id="wdf9tzzdhw2saee559kv0vezt0wfsta0zedv" timestamp="1587707256"&gt;1519&lt;/key&gt;&lt;/foreign-keys&gt;&lt;ref-type name="Dataset"&gt;59&lt;/ref-type&gt;&lt;contributors&gt;&lt;authors&gt;&lt;author&gt;Origin Energy,&lt;/author&gt;&lt;/authors&gt;&lt;secondary-authors&gt;&lt;author&gt;Geoscience Australia,&lt;/author&gt;&lt;/secondary-authors&gt;&lt;/contributors&gt;&lt;titles&gt;&lt;title&gt;Origin Data Package&lt;/title&gt;&lt;/titles&gt;&lt;keywords&gt;&lt;keyword&gt;WATER Quality, hydrogeology&lt;/keyword&gt;&lt;/keywords&gt;&lt;dates&gt;&lt;year&gt;2019&lt;/year&gt;&lt;/dates&gt;&lt;pub-location&gt;Canberra&lt;/pub-location&gt;&lt;label&gt;0BE0A3FE-7C2E-48EF-B890-F42C38EEF24F&lt;/label&gt;&lt;urls&gt;&lt;related-urls&gt;&lt;url&gt;https://www.originenergy.com.au/&lt;/url&gt;&lt;/related-urls&gt;&lt;/urls&gt;&lt;custom2&gt;unit of observation&lt;/custom2&gt;&lt;custom3&gt;tabular&lt;/custom3&gt;&lt;custom4&gt;dataset&lt;/custom4&gt;&lt;access-date&gt;24 April 2020&lt;/access-date&gt;&lt;/record&gt;&lt;/Cite&gt;&lt;/EndNote&gt;</w:instrText>
      </w:r>
      <w:r w:rsidR="00A5685D">
        <w:fldChar w:fldCharType="separate"/>
      </w:r>
      <w:r w:rsidR="00A5685D">
        <w:rPr>
          <w:noProof/>
        </w:rPr>
        <w:t>(2019)</w:t>
      </w:r>
      <w:r w:rsidR="00A5685D">
        <w:fldChar w:fldCharType="end"/>
      </w:r>
      <w:r>
        <w:t xml:space="preserve"> in </w:t>
      </w:r>
      <w:r w:rsidR="00D91542">
        <w:t xml:space="preserve">monitoring bores </w:t>
      </w:r>
      <w:r>
        <w:t>BET-MB001, BET-MEB002 and BET-MB003 in the north-west of the Eastern Beetaloo GBA region (</w:t>
      </w:r>
      <w:r>
        <w:fldChar w:fldCharType="begin"/>
      </w:r>
      <w:r>
        <w:instrText xml:space="preserve"> REF _Ref4423282 \h </w:instrText>
      </w:r>
      <w:r>
        <w:fldChar w:fldCharType="separate"/>
      </w:r>
      <w:r w:rsidR="00B177F5">
        <w:t xml:space="preserve">Figure </w:t>
      </w:r>
      <w:r w:rsidR="00B177F5">
        <w:rPr>
          <w:noProof/>
        </w:rPr>
        <w:t>19</w:t>
      </w:r>
      <w:r>
        <w:fldChar w:fldCharType="end"/>
      </w:r>
      <w:r>
        <w:t>), wher</w:t>
      </w:r>
      <w:r w:rsidR="00D91542">
        <w:t xml:space="preserve">eas on </w:t>
      </w:r>
      <w:r w:rsidR="00D91542">
        <w:fldChar w:fldCharType="begin"/>
      </w:r>
      <w:r w:rsidR="00D91542">
        <w:instrText xml:space="preserve"> REF _Ref3985270 \h </w:instrText>
      </w:r>
      <w:r w:rsidR="00D91542">
        <w:fldChar w:fldCharType="separate"/>
      </w:r>
      <w:r w:rsidR="00B177F5">
        <w:t xml:space="preserve">Figure </w:t>
      </w:r>
      <w:r w:rsidR="00B177F5">
        <w:rPr>
          <w:noProof/>
        </w:rPr>
        <w:t>18</w:t>
      </w:r>
      <w:r w:rsidR="00D91542">
        <w:fldChar w:fldCharType="end"/>
      </w:r>
      <w:r w:rsidR="00D91542">
        <w:t xml:space="preserve"> the depth to regional groundwater table in the CLA </w:t>
      </w:r>
      <w:r>
        <w:t>is in excess of 100 m deep</w:t>
      </w:r>
      <w:r w:rsidR="00D91542">
        <w:t xml:space="preserve"> in the same area.</w:t>
      </w:r>
      <w:r>
        <w:t xml:space="preserve"> In addition to shallow perched systems, groundwater levels also vary substantially over time in the deeper units</w:t>
      </w:r>
      <w:r w:rsidR="00D91542">
        <w:t>,</w:t>
      </w:r>
      <w:r>
        <w:t xml:space="preserve"> as discussed in Section </w:t>
      </w:r>
      <w:r w:rsidR="00D91542">
        <w:fldChar w:fldCharType="begin"/>
      </w:r>
      <w:r w:rsidR="00D91542">
        <w:instrText xml:space="preserve"> REF _Ref32243605 \r \h </w:instrText>
      </w:r>
      <w:r w:rsidR="00D91542">
        <w:fldChar w:fldCharType="separate"/>
      </w:r>
      <w:r w:rsidR="00B177F5">
        <w:t>3.3.3.2.4</w:t>
      </w:r>
      <w:r w:rsidR="00D91542">
        <w:fldChar w:fldCharType="end"/>
      </w:r>
      <w:r>
        <w:t xml:space="preserve">. Consequently, although </w:t>
      </w:r>
      <w:r>
        <w:rPr>
          <w:highlight w:val="yellow"/>
        </w:rPr>
        <w:fldChar w:fldCharType="begin"/>
      </w:r>
      <w:r>
        <w:instrText xml:space="preserve"> REF _Ref3985270 \h </w:instrText>
      </w:r>
      <w:r>
        <w:rPr>
          <w:highlight w:val="yellow"/>
        </w:rPr>
      </w:r>
      <w:r>
        <w:rPr>
          <w:highlight w:val="yellow"/>
        </w:rPr>
        <w:fldChar w:fldCharType="separate"/>
      </w:r>
      <w:r w:rsidR="00B177F5">
        <w:t xml:space="preserve">Figure </w:t>
      </w:r>
      <w:r w:rsidR="00B177F5">
        <w:rPr>
          <w:noProof/>
        </w:rPr>
        <w:t>18</w:t>
      </w:r>
      <w:r>
        <w:rPr>
          <w:highlight w:val="yellow"/>
        </w:rPr>
        <w:fldChar w:fldCharType="end"/>
      </w:r>
      <w:r>
        <w:t xml:space="preserve"> is useful to illustrate regional trends, it does not provide a time-invariant illustration of groundwater depths and does not capture local, perched groundwater systems. </w:t>
      </w:r>
    </w:p>
    <w:p w14:paraId="6E4D3B27" w14:textId="55FFEF4C" w:rsidR="00FF0046" w:rsidRDefault="005B7D51" w:rsidP="003E1F1E">
      <w:pPr>
        <w:pStyle w:val="Figures"/>
      </w:pPr>
      <w:r>
        <w:rPr>
          <w:noProof/>
        </w:rPr>
        <w:drawing>
          <wp:inline distT="0" distB="0" distL="0" distR="0" wp14:anchorId="3406E20C" wp14:editId="4AB1CBF6">
            <wp:extent cx="6129022" cy="7098030"/>
            <wp:effectExtent l="0" t="0" r="5080" b="7620"/>
            <wp:docPr id="727205660" name="Picture 16" descr="C:\Users\u60793\Documents\GBA-BEE-2-219_Depth_to_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75">
                      <a:extLst>
                        <a:ext uri="{28A0092B-C50C-407E-A947-70E740481C1C}">
                          <a14:useLocalDpi xmlns:a14="http://schemas.microsoft.com/office/drawing/2010/main" val="0"/>
                        </a:ext>
                      </a:extLst>
                    </a:blip>
                    <a:stretch>
                      <a:fillRect/>
                    </a:stretch>
                  </pic:blipFill>
                  <pic:spPr>
                    <a:xfrm>
                      <a:off x="0" y="0"/>
                      <a:ext cx="6129022" cy="7098030"/>
                    </a:xfrm>
                    <a:prstGeom prst="rect">
                      <a:avLst/>
                    </a:prstGeom>
                  </pic:spPr>
                </pic:pic>
              </a:graphicData>
            </a:graphic>
          </wp:inline>
        </w:drawing>
      </w:r>
    </w:p>
    <w:p w14:paraId="23E3469F" w14:textId="7A382287" w:rsidR="00FF0046" w:rsidRDefault="00FF0046" w:rsidP="00FF0046">
      <w:pPr>
        <w:pStyle w:val="Caption"/>
        <w:contextualSpacing/>
      </w:pPr>
      <w:bookmarkStart w:id="507" w:name="_Ref3985270"/>
      <w:bookmarkStart w:id="508" w:name="_Toc3968834"/>
      <w:bookmarkStart w:id="509" w:name="_Toc4072441"/>
      <w:bookmarkStart w:id="510" w:name="_Toc4670954"/>
      <w:bookmarkStart w:id="511" w:name="_Toc4754374"/>
      <w:bookmarkStart w:id="512" w:name="_Toc5020759"/>
      <w:bookmarkStart w:id="513" w:name="_Toc5021566"/>
      <w:bookmarkStart w:id="514" w:name="_Toc5097092"/>
      <w:bookmarkStart w:id="515" w:name="_Toc5108484"/>
      <w:bookmarkStart w:id="516" w:name="_Toc5284149"/>
      <w:bookmarkStart w:id="517" w:name="_Toc5635363"/>
      <w:bookmarkStart w:id="518" w:name="_Toc5808322"/>
      <w:bookmarkStart w:id="519" w:name="_Toc5895014"/>
      <w:bookmarkStart w:id="520" w:name="_Toc6308903"/>
      <w:bookmarkStart w:id="521" w:name="_Toc6327568"/>
      <w:bookmarkStart w:id="522" w:name="_Toc38990472"/>
      <w:r>
        <w:t xml:space="preserve">Figure </w:t>
      </w:r>
      <w:r w:rsidRPr="78541554">
        <w:fldChar w:fldCharType="begin"/>
      </w:r>
      <w:r>
        <w:rPr>
          <w:noProof/>
        </w:rPr>
        <w:instrText xml:space="preserve"> SEQ Figure \* ARABIC </w:instrText>
      </w:r>
      <w:r w:rsidRPr="78541554">
        <w:rPr>
          <w:noProof/>
        </w:rPr>
        <w:fldChar w:fldCharType="separate"/>
      </w:r>
      <w:r w:rsidR="00B177F5">
        <w:rPr>
          <w:noProof/>
        </w:rPr>
        <w:t>18</w:t>
      </w:r>
      <w:r w:rsidRPr="78541554">
        <w:fldChar w:fldCharType="end"/>
      </w:r>
      <w:bookmarkEnd w:id="507"/>
      <w:r w:rsidR="001F7071">
        <w:t xml:space="preserve"> </w:t>
      </w:r>
      <w:bookmarkStart w:id="523" w:name="_Hlk25927272"/>
      <w:r w:rsidR="001F7071">
        <w:t xml:space="preserve">Depth to </w:t>
      </w:r>
      <w:bookmarkEnd w:id="508"/>
      <w:bookmarkEnd w:id="509"/>
      <w:bookmarkEnd w:id="510"/>
      <w:bookmarkEnd w:id="511"/>
      <w:bookmarkEnd w:id="512"/>
      <w:bookmarkEnd w:id="513"/>
      <w:r w:rsidR="000D6D9E">
        <w:t xml:space="preserve">groundwater in registered groundwater </w:t>
      </w:r>
      <w:r w:rsidR="00D26079">
        <w:t>bores</w:t>
      </w:r>
      <w:bookmarkEnd w:id="514"/>
      <w:bookmarkEnd w:id="515"/>
      <w:bookmarkEnd w:id="516"/>
      <w:bookmarkEnd w:id="517"/>
      <w:bookmarkEnd w:id="518"/>
      <w:bookmarkEnd w:id="519"/>
      <w:bookmarkEnd w:id="520"/>
      <w:bookmarkEnd w:id="521"/>
      <w:bookmarkEnd w:id="522"/>
      <w:bookmarkEnd w:id="523"/>
    </w:p>
    <w:p w14:paraId="51D243F5" w14:textId="4C9A222B" w:rsidR="00AC61D5" w:rsidRDefault="00E44DF4" w:rsidP="00B77B6D">
      <w:pPr>
        <w:pStyle w:val="SourceornoteforTableorFigure"/>
        <w:contextualSpacing/>
      </w:pPr>
      <w:r>
        <w:t>AHD = Australian Height Datum; mbgl = metres below ground level</w:t>
      </w:r>
      <w:r>
        <w:br/>
      </w:r>
      <w:r w:rsidR="00B77B6D" w:rsidRPr="00A61A49">
        <w:t xml:space="preserve">Data: </w:t>
      </w:r>
      <w:r>
        <w:t>d</w:t>
      </w:r>
      <w:r w:rsidR="000F3DB2">
        <w:t xml:space="preserve">epth to groundwater </w:t>
      </w:r>
      <w:r w:rsidR="00A541ED">
        <w:fldChar w:fldCharType="begin"/>
      </w:r>
      <w:r w:rsidR="008F30E0">
        <w:instrText xml:space="preserve"> ADDIN EN.CITE &lt;EndNote&gt;&lt;Cite&gt;&lt;Author&gt;Geological and Bioregional Assessment Program&lt;/Author&gt;&lt;Year&gt;2019&lt;/Year&gt;&lt;RecNum&gt;892&lt;/RecNum&gt;&lt;DisplayText&gt;(Geological and Bioregional Assessment Program, 2019g)&lt;/DisplayText&gt;&lt;record&gt;&lt;rec-number&gt;892&lt;/rec-number&gt;&lt;foreign-keys&gt;&lt;key app="EN" db-id="wdf9tzzdhw2saee559kv0vezt0wfsta0zedv" timestamp="1554077721"&gt;892&lt;/key&gt;&lt;/foreign-keys&gt;&lt;ref-type name="Dataset"&gt;59&lt;/ref-type&gt;&lt;contributors&gt;&lt;authors&gt;&lt;author&gt;Geological and Bioregional Assessment Program,&lt;/author&gt;&lt;/authors&gt;&lt;secondary-authors&gt;&lt;author&gt;Geoscience Australia,&lt;/author&gt;&lt;/secondary-authors&gt;&lt;/contributors&gt;&lt;titles&gt;&lt;title&gt;Standing water levels in the Beetaloo GBA groundwater bore data extraction area&lt;/title&gt;&lt;/titles&gt;&lt;dates&gt;&lt;year&gt;2019&lt;/year&gt;&lt;/dates&gt;&lt;label&gt;EB77B337-F46B-4B30-AC44-88357E8061FB&lt;/label&gt;&lt;urls&gt;&lt;related-urls&gt;&lt;url&gt;https://repo.bioregionalassessments.gov.au/metadata/EB77B337-F46B-4B30-AC44-88357E8061FB&lt;/url&gt;&lt;/related-urls&gt;&lt;/urls&gt;&lt;custom3&gt;ArcGIS shapefile&lt;/custom3&gt;&lt;remote-database-name&gt;Beetaloo_GBA_SWL.shp&lt;/remote-database-name&gt;&lt;language&gt;English&lt;/language&gt;&lt;access-date&gt;10 October 2018&lt;/access-date&gt;&lt;/record&gt;&lt;/Cite&gt;&lt;/EndNote&gt;</w:instrText>
      </w:r>
      <w:r w:rsidR="00A541ED">
        <w:fldChar w:fldCharType="separate"/>
      </w:r>
      <w:r w:rsidR="008F30E0">
        <w:rPr>
          <w:noProof/>
        </w:rPr>
        <w:t>(Geological and Bioregional Assessment Program, 2019g)</w:t>
      </w:r>
      <w:r w:rsidR="00A541ED">
        <w:fldChar w:fldCharType="end"/>
      </w:r>
    </w:p>
    <w:p w14:paraId="6A6A65B6" w14:textId="7E8ED0A2" w:rsidR="009366D7" w:rsidRDefault="00B77B6D" w:rsidP="00746B2A">
      <w:pPr>
        <w:pStyle w:val="SourceornoteforTableorFigure"/>
        <w:contextualSpacing/>
      </w:pPr>
      <w:r w:rsidRPr="00B77B6D">
        <w:t>Element: GBA-</w:t>
      </w:r>
      <w:r>
        <w:t>BEE</w:t>
      </w:r>
      <w:r w:rsidRPr="00B77B6D">
        <w:t>-2-</w:t>
      </w:r>
      <w:r w:rsidR="0031369B">
        <w:t>219</w:t>
      </w:r>
    </w:p>
    <w:p w14:paraId="2C46EFC9" w14:textId="152F0BD7" w:rsidR="00296052" w:rsidRDefault="00296052" w:rsidP="00AD36B8">
      <w:pPr>
        <w:pStyle w:val="Caption"/>
        <w:keepLines/>
      </w:pPr>
      <w:bookmarkStart w:id="524" w:name="_Ref3985557"/>
      <w:bookmarkStart w:id="525" w:name="_Toc4670938"/>
      <w:bookmarkStart w:id="526" w:name="_Toc4754358"/>
      <w:bookmarkStart w:id="527" w:name="_Toc5020743"/>
      <w:bookmarkStart w:id="528" w:name="_Toc5021550"/>
      <w:bookmarkStart w:id="529" w:name="_Toc5097076"/>
      <w:bookmarkStart w:id="530" w:name="_Toc5108468"/>
      <w:bookmarkStart w:id="531" w:name="_Toc5284132"/>
      <w:bookmarkStart w:id="532" w:name="_Toc5635347"/>
      <w:bookmarkStart w:id="533" w:name="_Toc5808306"/>
      <w:bookmarkStart w:id="534" w:name="_Toc5894909"/>
      <w:bookmarkStart w:id="535" w:name="_Toc5894998"/>
      <w:bookmarkStart w:id="536" w:name="_Toc6308887"/>
      <w:bookmarkStart w:id="537" w:name="_Toc6327552"/>
      <w:bookmarkStart w:id="538" w:name="_Toc38990505"/>
      <w:r>
        <w:t xml:space="preserve">Table </w:t>
      </w:r>
      <w:r>
        <w:rPr>
          <w:noProof/>
        </w:rPr>
        <w:fldChar w:fldCharType="begin"/>
      </w:r>
      <w:r>
        <w:rPr>
          <w:noProof/>
        </w:rPr>
        <w:instrText xml:space="preserve"> SEQ Table \* ARABIC </w:instrText>
      </w:r>
      <w:r>
        <w:rPr>
          <w:noProof/>
        </w:rPr>
        <w:fldChar w:fldCharType="separate"/>
      </w:r>
      <w:r w:rsidR="00B177F5">
        <w:rPr>
          <w:noProof/>
        </w:rPr>
        <w:t>5</w:t>
      </w:r>
      <w:r>
        <w:rPr>
          <w:noProof/>
        </w:rPr>
        <w:fldChar w:fldCharType="end"/>
      </w:r>
      <w:bookmarkEnd w:id="524"/>
      <w:r>
        <w:t xml:space="preserve"> Groundwater well aquifer designation statistics for </w:t>
      </w:r>
      <w:r w:rsidR="00E97146">
        <w:fldChar w:fldCharType="begin"/>
      </w:r>
      <w:r w:rsidR="00E97146">
        <w:instrText xml:space="preserve"> REF _Ref3985270 \h </w:instrText>
      </w:r>
      <w:r w:rsidR="00E97146">
        <w:fldChar w:fldCharType="separate"/>
      </w:r>
      <w:r w:rsidR="00B177F5">
        <w:t xml:space="preserve">Figure </w:t>
      </w:r>
      <w:r w:rsidR="00B177F5">
        <w:rPr>
          <w:noProof/>
        </w:rPr>
        <w:t>18</w:t>
      </w:r>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r w:rsidR="00E97146">
        <w:fldChar w:fldCharType="end"/>
      </w:r>
    </w:p>
    <w:tbl>
      <w:tblPr>
        <w:tblStyle w:val="TableBAHeaderRow"/>
        <w:tblW w:w="7792" w:type="dxa"/>
        <w:tblLook w:val="04A0" w:firstRow="1" w:lastRow="0" w:firstColumn="1" w:lastColumn="0" w:noHBand="0" w:noVBand="1"/>
      </w:tblPr>
      <w:tblGrid>
        <w:gridCol w:w="3397"/>
        <w:gridCol w:w="1985"/>
        <w:gridCol w:w="2410"/>
      </w:tblGrid>
      <w:tr w:rsidR="00296052" w:rsidRPr="00685721" w14:paraId="5B77DE28" w14:textId="77777777" w:rsidTr="00AD36B8">
        <w:trPr>
          <w:cnfStyle w:val="100000000000" w:firstRow="1" w:lastRow="0" w:firstColumn="0" w:lastColumn="0" w:oddVBand="0" w:evenVBand="0" w:oddHBand="0" w:evenHBand="0" w:firstRowFirstColumn="0" w:firstRowLastColumn="0" w:lastRowFirstColumn="0" w:lastRowLastColumn="0"/>
          <w:trHeight w:val="300"/>
          <w:tblHeader/>
        </w:trPr>
        <w:tc>
          <w:tcPr>
            <w:tcW w:w="3397" w:type="dxa"/>
            <w:noWrap/>
            <w:hideMark/>
          </w:tcPr>
          <w:p w14:paraId="3869C2B8" w14:textId="77777777" w:rsidR="00296052" w:rsidRPr="00AD36B8" w:rsidRDefault="00296052" w:rsidP="00AD36B8">
            <w:pPr>
              <w:pStyle w:val="TableText"/>
              <w:keepNext/>
              <w:keepLines/>
            </w:pPr>
            <w:r w:rsidRPr="00AD36B8">
              <w:t>Formation</w:t>
            </w:r>
          </w:p>
        </w:tc>
        <w:tc>
          <w:tcPr>
            <w:tcW w:w="1985" w:type="dxa"/>
          </w:tcPr>
          <w:p w14:paraId="4C5FD85F" w14:textId="77777777" w:rsidR="00296052" w:rsidRPr="00AD36B8" w:rsidRDefault="00296052" w:rsidP="00225B9E">
            <w:pPr>
              <w:pStyle w:val="TableTextCentred"/>
            </w:pPr>
            <w:r w:rsidRPr="00AD36B8">
              <w:t>Number of wells</w:t>
            </w:r>
          </w:p>
        </w:tc>
        <w:tc>
          <w:tcPr>
            <w:tcW w:w="2410" w:type="dxa"/>
            <w:noWrap/>
            <w:hideMark/>
          </w:tcPr>
          <w:p w14:paraId="13FC91F3" w14:textId="0BF04D86" w:rsidR="00296052" w:rsidRPr="00AD36B8" w:rsidRDefault="00296052" w:rsidP="00225B9E">
            <w:pPr>
              <w:pStyle w:val="TableTextCentred"/>
            </w:pPr>
            <w:r w:rsidRPr="00AD36B8">
              <w:t>Percentage of total</w:t>
            </w:r>
            <w:r w:rsidR="00225B9E">
              <w:br/>
              <w:t>(%)</w:t>
            </w:r>
          </w:p>
        </w:tc>
      </w:tr>
      <w:tr w:rsidR="00296052" w:rsidRPr="00685721" w14:paraId="050E61D7" w14:textId="77777777" w:rsidTr="00B32996">
        <w:trPr>
          <w:cnfStyle w:val="000000100000" w:firstRow="0" w:lastRow="0" w:firstColumn="0" w:lastColumn="0" w:oddVBand="0" w:evenVBand="0" w:oddHBand="1" w:evenHBand="0" w:firstRowFirstColumn="0" w:firstRowLastColumn="0" w:lastRowFirstColumn="0" w:lastRowLastColumn="0"/>
          <w:trHeight w:val="300"/>
        </w:trPr>
        <w:tc>
          <w:tcPr>
            <w:tcW w:w="3397" w:type="dxa"/>
            <w:noWrap/>
            <w:hideMark/>
          </w:tcPr>
          <w:p w14:paraId="20929E4B" w14:textId="77777777" w:rsidR="00296052" w:rsidRPr="00685721" w:rsidRDefault="00296052" w:rsidP="00AD36B8">
            <w:pPr>
              <w:pStyle w:val="TableText"/>
              <w:keepNext/>
              <w:keepLines/>
            </w:pPr>
            <w:r w:rsidRPr="00685721">
              <w:t>Cenozoic</w:t>
            </w:r>
          </w:p>
        </w:tc>
        <w:tc>
          <w:tcPr>
            <w:tcW w:w="1985" w:type="dxa"/>
          </w:tcPr>
          <w:p w14:paraId="33CF5D18" w14:textId="77777777" w:rsidR="00296052" w:rsidRPr="00DB1BF2" w:rsidRDefault="00296052" w:rsidP="00225B9E">
            <w:pPr>
              <w:pStyle w:val="TableTextRight"/>
            </w:pPr>
            <w:r w:rsidRPr="00685721">
              <w:t>6</w:t>
            </w:r>
          </w:p>
        </w:tc>
        <w:tc>
          <w:tcPr>
            <w:tcW w:w="2410" w:type="dxa"/>
            <w:noWrap/>
            <w:hideMark/>
          </w:tcPr>
          <w:p w14:paraId="35331DE3" w14:textId="77777777" w:rsidR="00296052" w:rsidRPr="00685721" w:rsidRDefault="00296052" w:rsidP="00225B9E">
            <w:pPr>
              <w:pStyle w:val="TableTextRight"/>
            </w:pPr>
            <w:r w:rsidRPr="00685721">
              <w:t>1%</w:t>
            </w:r>
          </w:p>
        </w:tc>
      </w:tr>
      <w:tr w:rsidR="00296052" w:rsidRPr="00685721" w14:paraId="09899D72" w14:textId="77777777" w:rsidTr="00B32996">
        <w:trPr>
          <w:cnfStyle w:val="000000010000" w:firstRow="0" w:lastRow="0" w:firstColumn="0" w:lastColumn="0" w:oddVBand="0" w:evenVBand="0" w:oddHBand="0" w:evenHBand="1" w:firstRowFirstColumn="0" w:firstRowLastColumn="0" w:lastRowFirstColumn="0" w:lastRowLastColumn="0"/>
          <w:trHeight w:val="300"/>
        </w:trPr>
        <w:tc>
          <w:tcPr>
            <w:tcW w:w="3397" w:type="dxa"/>
            <w:noWrap/>
            <w:hideMark/>
          </w:tcPr>
          <w:p w14:paraId="13CC1674" w14:textId="77777777" w:rsidR="00296052" w:rsidRPr="00685721" w:rsidRDefault="00296052" w:rsidP="00AD36B8">
            <w:pPr>
              <w:pStyle w:val="TableText"/>
              <w:keepNext/>
              <w:keepLines/>
            </w:pPr>
            <w:r w:rsidRPr="00685721">
              <w:t>Cretaceous</w:t>
            </w:r>
          </w:p>
        </w:tc>
        <w:tc>
          <w:tcPr>
            <w:tcW w:w="1985" w:type="dxa"/>
          </w:tcPr>
          <w:p w14:paraId="17860D1A" w14:textId="77777777" w:rsidR="00296052" w:rsidRPr="00DB1BF2" w:rsidRDefault="00296052" w:rsidP="00225B9E">
            <w:pPr>
              <w:pStyle w:val="TableTextRight"/>
            </w:pPr>
            <w:r w:rsidRPr="00685721">
              <w:t>25</w:t>
            </w:r>
          </w:p>
        </w:tc>
        <w:tc>
          <w:tcPr>
            <w:tcW w:w="2410" w:type="dxa"/>
            <w:noWrap/>
            <w:hideMark/>
          </w:tcPr>
          <w:p w14:paraId="0CB15153" w14:textId="77777777" w:rsidR="00296052" w:rsidRPr="00685721" w:rsidRDefault="00296052" w:rsidP="00225B9E">
            <w:pPr>
              <w:pStyle w:val="TableTextRight"/>
            </w:pPr>
            <w:r w:rsidRPr="00685721">
              <w:t>2%</w:t>
            </w:r>
          </w:p>
        </w:tc>
      </w:tr>
      <w:tr w:rsidR="00296052" w:rsidRPr="00685721" w14:paraId="2CE4053D" w14:textId="77777777" w:rsidTr="00B32996">
        <w:trPr>
          <w:cnfStyle w:val="000000100000" w:firstRow="0" w:lastRow="0" w:firstColumn="0" w:lastColumn="0" w:oddVBand="0" w:evenVBand="0" w:oddHBand="1" w:evenHBand="0" w:firstRowFirstColumn="0" w:firstRowLastColumn="0" w:lastRowFirstColumn="0" w:lastRowLastColumn="0"/>
          <w:trHeight w:val="300"/>
        </w:trPr>
        <w:tc>
          <w:tcPr>
            <w:tcW w:w="3397" w:type="dxa"/>
            <w:noWrap/>
            <w:hideMark/>
          </w:tcPr>
          <w:p w14:paraId="7F69CC0B" w14:textId="77777777" w:rsidR="00296052" w:rsidRPr="00685721" w:rsidRDefault="00296052" w:rsidP="00AD36B8">
            <w:pPr>
              <w:pStyle w:val="TableText"/>
              <w:keepNext/>
              <w:keepLines/>
            </w:pPr>
            <w:r w:rsidRPr="00685721">
              <w:t>Cambrian Limestone Aquifer</w:t>
            </w:r>
          </w:p>
        </w:tc>
        <w:tc>
          <w:tcPr>
            <w:tcW w:w="1985" w:type="dxa"/>
          </w:tcPr>
          <w:p w14:paraId="18C5B397" w14:textId="77777777" w:rsidR="00296052" w:rsidRPr="00DB1BF2" w:rsidRDefault="00296052" w:rsidP="00225B9E">
            <w:pPr>
              <w:pStyle w:val="TableTextRight"/>
            </w:pPr>
            <w:r w:rsidRPr="00685721">
              <w:t>592</w:t>
            </w:r>
          </w:p>
        </w:tc>
        <w:tc>
          <w:tcPr>
            <w:tcW w:w="2410" w:type="dxa"/>
            <w:noWrap/>
            <w:hideMark/>
          </w:tcPr>
          <w:p w14:paraId="7387696A" w14:textId="77777777" w:rsidR="00296052" w:rsidRPr="00685721" w:rsidRDefault="00296052" w:rsidP="00225B9E">
            <w:pPr>
              <w:pStyle w:val="TableTextRight"/>
            </w:pPr>
            <w:r w:rsidRPr="00685721">
              <w:t>57%</w:t>
            </w:r>
          </w:p>
        </w:tc>
      </w:tr>
      <w:tr w:rsidR="00296052" w:rsidRPr="00685721" w14:paraId="1335B184" w14:textId="77777777" w:rsidTr="00B32996">
        <w:trPr>
          <w:cnfStyle w:val="000000010000" w:firstRow="0" w:lastRow="0" w:firstColumn="0" w:lastColumn="0" w:oddVBand="0" w:evenVBand="0" w:oddHBand="0" w:evenHBand="1" w:firstRowFirstColumn="0" w:firstRowLastColumn="0" w:lastRowFirstColumn="0" w:lastRowLastColumn="0"/>
          <w:trHeight w:val="300"/>
        </w:trPr>
        <w:tc>
          <w:tcPr>
            <w:tcW w:w="3397" w:type="dxa"/>
            <w:noWrap/>
            <w:hideMark/>
          </w:tcPr>
          <w:p w14:paraId="42A9C735" w14:textId="77777777" w:rsidR="00296052" w:rsidRPr="00685721" w:rsidRDefault="00296052" w:rsidP="00AD36B8">
            <w:pPr>
              <w:pStyle w:val="TableText"/>
              <w:keepNext/>
              <w:keepLines/>
            </w:pPr>
            <w:r w:rsidRPr="00685721">
              <w:t>Antrim Plateau Volcanics</w:t>
            </w:r>
          </w:p>
        </w:tc>
        <w:tc>
          <w:tcPr>
            <w:tcW w:w="1985" w:type="dxa"/>
          </w:tcPr>
          <w:p w14:paraId="064C1220" w14:textId="77777777" w:rsidR="00296052" w:rsidRPr="00DB1BF2" w:rsidRDefault="00296052" w:rsidP="00225B9E">
            <w:pPr>
              <w:pStyle w:val="TableTextRight"/>
            </w:pPr>
            <w:r w:rsidRPr="00685721">
              <w:t>58</w:t>
            </w:r>
          </w:p>
        </w:tc>
        <w:tc>
          <w:tcPr>
            <w:tcW w:w="2410" w:type="dxa"/>
            <w:noWrap/>
            <w:hideMark/>
          </w:tcPr>
          <w:p w14:paraId="2F600F3F" w14:textId="77777777" w:rsidR="00296052" w:rsidRPr="00685721" w:rsidRDefault="00296052" w:rsidP="00225B9E">
            <w:pPr>
              <w:pStyle w:val="TableTextRight"/>
            </w:pPr>
            <w:r w:rsidRPr="00685721">
              <w:t>6%</w:t>
            </w:r>
          </w:p>
        </w:tc>
      </w:tr>
      <w:tr w:rsidR="00296052" w:rsidRPr="00685721" w14:paraId="3A60E867" w14:textId="77777777" w:rsidTr="00B32996">
        <w:trPr>
          <w:cnfStyle w:val="000000100000" w:firstRow="0" w:lastRow="0" w:firstColumn="0" w:lastColumn="0" w:oddVBand="0" w:evenVBand="0" w:oddHBand="1" w:evenHBand="0" w:firstRowFirstColumn="0" w:firstRowLastColumn="0" w:lastRowFirstColumn="0" w:lastRowLastColumn="0"/>
          <w:trHeight w:val="300"/>
        </w:trPr>
        <w:tc>
          <w:tcPr>
            <w:tcW w:w="3397" w:type="dxa"/>
            <w:noWrap/>
            <w:hideMark/>
          </w:tcPr>
          <w:p w14:paraId="0DE7CF53" w14:textId="77777777" w:rsidR="00296052" w:rsidRPr="00685721" w:rsidRDefault="00296052" w:rsidP="00AD36B8">
            <w:pPr>
              <w:pStyle w:val="TableText"/>
              <w:keepNext/>
              <w:keepLines/>
            </w:pPr>
            <w:r w:rsidRPr="00685721">
              <w:t>Proterozoic</w:t>
            </w:r>
          </w:p>
        </w:tc>
        <w:tc>
          <w:tcPr>
            <w:tcW w:w="1985" w:type="dxa"/>
          </w:tcPr>
          <w:p w14:paraId="110969BD" w14:textId="77777777" w:rsidR="00296052" w:rsidRPr="00DB1BF2" w:rsidRDefault="00296052" w:rsidP="00225B9E">
            <w:pPr>
              <w:pStyle w:val="TableTextRight"/>
            </w:pPr>
            <w:r w:rsidRPr="00685721">
              <w:t>44</w:t>
            </w:r>
          </w:p>
        </w:tc>
        <w:tc>
          <w:tcPr>
            <w:tcW w:w="2410" w:type="dxa"/>
            <w:noWrap/>
            <w:hideMark/>
          </w:tcPr>
          <w:p w14:paraId="312A2F2F" w14:textId="77777777" w:rsidR="00296052" w:rsidRPr="00685721" w:rsidRDefault="00296052" w:rsidP="00225B9E">
            <w:pPr>
              <w:pStyle w:val="TableTextRight"/>
            </w:pPr>
            <w:r w:rsidRPr="00685721">
              <w:t>4%</w:t>
            </w:r>
          </w:p>
        </w:tc>
      </w:tr>
      <w:tr w:rsidR="00296052" w:rsidRPr="00685721" w14:paraId="536FB55B" w14:textId="77777777" w:rsidTr="00B32996">
        <w:trPr>
          <w:cnfStyle w:val="000000010000" w:firstRow="0" w:lastRow="0" w:firstColumn="0" w:lastColumn="0" w:oddVBand="0" w:evenVBand="0" w:oddHBand="0" w:evenHBand="1" w:firstRowFirstColumn="0" w:firstRowLastColumn="0" w:lastRowFirstColumn="0" w:lastRowLastColumn="0"/>
          <w:trHeight w:val="300"/>
        </w:trPr>
        <w:tc>
          <w:tcPr>
            <w:tcW w:w="3397" w:type="dxa"/>
            <w:noWrap/>
            <w:hideMark/>
          </w:tcPr>
          <w:p w14:paraId="32C09874" w14:textId="77777777" w:rsidR="00296052" w:rsidRPr="00685721" w:rsidRDefault="00296052" w:rsidP="00AD36B8">
            <w:pPr>
              <w:pStyle w:val="TableText"/>
              <w:keepNext/>
              <w:keepLines/>
            </w:pPr>
            <w:r w:rsidRPr="00685721">
              <w:t>Unknown</w:t>
            </w:r>
          </w:p>
        </w:tc>
        <w:tc>
          <w:tcPr>
            <w:tcW w:w="1985" w:type="dxa"/>
          </w:tcPr>
          <w:p w14:paraId="21A5563C" w14:textId="77777777" w:rsidR="00296052" w:rsidRPr="00DB1BF2" w:rsidRDefault="00296052" w:rsidP="00225B9E">
            <w:pPr>
              <w:pStyle w:val="TableTextRight"/>
            </w:pPr>
            <w:r w:rsidRPr="00685721">
              <w:t>315</w:t>
            </w:r>
          </w:p>
        </w:tc>
        <w:tc>
          <w:tcPr>
            <w:tcW w:w="2410" w:type="dxa"/>
            <w:noWrap/>
            <w:hideMark/>
          </w:tcPr>
          <w:p w14:paraId="5EEA0932" w14:textId="77777777" w:rsidR="00296052" w:rsidRPr="00685721" w:rsidRDefault="00296052" w:rsidP="00225B9E">
            <w:pPr>
              <w:pStyle w:val="TableTextRight"/>
            </w:pPr>
            <w:r w:rsidRPr="00685721">
              <w:t>30%</w:t>
            </w:r>
          </w:p>
        </w:tc>
      </w:tr>
      <w:tr w:rsidR="00296052" w:rsidRPr="00685721" w14:paraId="49760E2E" w14:textId="77777777" w:rsidTr="00B32996">
        <w:trPr>
          <w:cnfStyle w:val="000000100000" w:firstRow="0" w:lastRow="0" w:firstColumn="0" w:lastColumn="0" w:oddVBand="0" w:evenVBand="0" w:oddHBand="1" w:evenHBand="0" w:firstRowFirstColumn="0" w:firstRowLastColumn="0" w:lastRowFirstColumn="0" w:lastRowLastColumn="0"/>
          <w:trHeight w:val="300"/>
        </w:trPr>
        <w:tc>
          <w:tcPr>
            <w:tcW w:w="3397" w:type="dxa"/>
            <w:noWrap/>
            <w:hideMark/>
          </w:tcPr>
          <w:p w14:paraId="7F8D3700" w14:textId="77777777" w:rsidR="00296052" w:rsidRPr="00225B9E" w:rsidRDefault="00296052" w:rsidP="00AD36B8">
            <w:pPr>
              <w:pStyle w:val="TableText"/>
              <w:keepNext/>
              <w:keepLines/>
              <w:rPr>
                <w:b/>
                <w:bCs/>
              </w:rPr>
            </w:pPr>
            <w:r w:rsidRPr="00225B9E">
              <w:rPr>
                <w:b/>
                <w:bCs/>
              </w:rPr>
              <w:t>Total</w:t>
            </w:r>
          </w:p>
        </w:tc>
        <w:tc>
          <w:tcPr>
            <w:tcW w:w="1985" w:type="dxa"/>
          </w:tcPr>
          <w:p w14:paraId="6783FE1F" w14:textId="77777777" w:rsidR="00296052" w:rsidRPr="00225B9E" w:rsidRDefault="00296052" w:rsidP="00225B9E">
            <w:pPr>
              <w:pStyle w:val="TableTextRight"/>
              <w:rPr>
                <w:b/>
                <w:bCs/>
              </w:rPr>
            </w:pPr>
            <w:r w:rsidRPr="00225B9E">
              <w:rPr>
                <w:b/>
                <w:bCs/>
              </w:rPr>
              <w:t>1040</w:t>
            </w:r>
          </w:p>
        </w:tc>
        <w:tc>
          <w:tcPr>
            <w:tcW w:w="2410" w:type="dxa"/>
            <w:noWrap/>
            <w:hideMark/>
          </w:tcPr>
          <w:p w14:paraId="4DB8E6AB" w14:textId="15E9626B" w:rsidR="00296052" w:rsidRPr="00225B9E" w:rsidRDefault="00296052" w:rsidP="00225B9E">
            <w:pPr>
              <w:pStyle w:val="TableTextRight"/>
              <w:rPr>
                <w:b/>
                <w:bCs/>
              </w:rPr>
            </w:pPr>
            <w:r w:rsidRPr="00225B9E">
              <w:rPr>
                <w:b/>
                <w:bCs/>
              </w:rPr>
              <w:t>100%</w:t>
            </w:r>
          </w:p>
        </w:tc>
      </w:tr>
    </w:tbl>
    <w:p w14:paraId="1DE20F5A" w14:textId="3E909371" w:rsidR="00FE54F3" w:rsidRDefault="00FE54F3" w:rsidP="00AD36B8">
      <w:pPr>
        <w:pStyle w:val="SourceornoteforTableorFigure"/>
        <w:keepNext/>
        <w:keepLines/>
      </w:pPr>
      <w:bookmarkStart w:id="539" w:name="_Ref5088983"/>
      <w:r w:rsidRPr="00A61A49">
        <w:t xml:space="preserve">Data: </w:t>
      </w:r>
      <w:r>
        <w:fldChar w:fldCharType="begin"/>
      </w:r>
      <w:r w:rsidR="008F30E0">
        <w:instrText xml:space="preserve"> ADDIN EN.CITE &lt;EndNote&gt;&lt;Cite AuthorYear="1"&gt;&lt;Author&gt;Geological and Bioregional Assessment Program&lt;/Author&gt;&lt;Year&gt;2019&lt;/Year&gt;&lt;RecNum&gt;892&lt;/RecNum&gt;&lt;DisplayText&gt;Geological and Bioregional Assessment Program (2019g)&lt;/DisplayText&gt;&lt;record&gt;&lt;rec-number&gt;892&lt;/rec-number&gt;&lt;foreign-keys&gt;&lt;key app="EN" db-id="wdf9tzzdhw2saee559kv0vezt0wfsta0zedv" timestamp="1554077721"&gt;892&lt;/key&gt;&lt;/foreign-keys&gt;&lt;ref-type name="Dataset"&gt;59&lt;/ref-type&gt;&lt;contributors&gt;&lt;authors&gt;&lt;author&gt;Geological and Bioregional Assessment Program,&lt;/author&gt;&lt;/authors&gt;&lt;secondary-authors&gt;&lt;author&gt;Geoscience Australia,&lt;/author&gt;&lt;/secondary-authors&gt;&lt;/contributors&gt;&lt;titles&gt;&lt;title&gt;Standing water levels in the Beetaloo GBA groundwater bore data extraction area&lt;/title&gt;&lt;/titles&gt;&lt;dates&gt;&lt;year&gt;2019&lt;/year&gt;&lt;/dates&gt;&lt;label&gt;EB77B337-F46B-4B30-AC44-88357E8061FB&lt;/label&gt;&lt;urls&gt;&lt;related-urls&gt;&lt;url&gt;https://repo.bioregionalassessments.gov.au/metadata/EB77B337-F46B-4B30-AC44-88357E8061FB&lt;/url&gt;&lt;/related-urls&gt;&lt;/urls&gt;&lt;custom3&gt;ArcGIS shapefile&lt;/custom3&gt;&lt;remote-database-name&gt;Beetaloo_GBA_SWL.shp&lt;/remote-database-name&gt;&lt;language&gt;English&lt;/language&gt;&lt;access-date&gt;10 October 2018&lt;/access-date&gt;&lt;/record&gt;&lt;/Cite&gt;&lt;/EndNote&gt;</w:instrText>
      </w:r>
      <w:r>
        <w:fldChar w:fldCharType="separate"/>
      </w:r>
      <w:r w:rsidR="008F30E0">
        <w:rPr>
          <w:noProof/>
        </w:rPr>
        <w:t>Geological and Bioregional Assessment Program (2019g)</w:t>
      </w:r>
      <w:r>
        <w:fldChar w:fldCharType="end"/>
      </w:r>
    </w:p>
    <w:p w14:paraId="5C5D31E4" w14:textId="151D3E0C" w:rsidR="00FE54F3" w:rsidRPr="00FE54F3" w:rsidRDefault="00296052" w:rsidP="00FE54F3">
      <w:pPr>
        <w:pStyle w:val="Heading6"/>
      </w:pPr>
      <w:bookmarkStart w:id="540" w:name="_Ref32243605"/>
      <w:r>
        <w:t xml:space="preserve">Groundwater </w:t>
      </w:r>
      <w:r w:rsidR="00CF4589">
        <w:t>h</w:t>
      </w:r>
      <w:r w:rsidRPr="00A63A9D">
        <w:t>ydrographs</w:t>
      </w:r>
      <w:bookmarkEnd w:id="539"/>
      <w:bookmarkEnd w:id="540"/>
    </w:p>
    <w:p w14:paraId="2CA1D75B" w14:textId="29E87321" w:rsidR="00296052" w:rsidRDefault="0067073F" w:rsidP="00296052">
      <w:r>
        <w:t xml:space="preserve">The </w:t>
      </w:r>
      <w:r w:rsidR="00225B9E">
        <w:t xml:space="preserve">NT </w:t>
      </w:r>
      <w:r>
        <w:t xml:space="preserve">Department of Environment and </w:t>
      </w:r>
      <w:r w:rsidR="002E1294">
        <w:t>N</w:t>
      </w:r>
      <w:r>
        <w:t xml:space="preserve">atural Resources (DENR) </w:t>
      </w:r>
      <w:r w:rsidR="00296052">
        <w:t xml:space="preserve">and Origin Energy provided groundwater level time series </w:t>
      </w:r>
      <w:r w:rsidR="00B27F43">
        <w:t xml:space="preserve">(see Section </w:t>
      </w:r>
      <w:r w:rsidR="00B27F43">
        <w:fldChar w:fldCharType="begin"/>
      </w:r>
      <w:r w:rsidR="00B27F43">
        <w:instrText xml:space="preserve"> REF _Ref38979184 \r \h </w:instrText>
      </w:r>
      <w:r w:rsidR="00B27F43">
        <w:fldChar w:fldCharType="separate"/>
      </w:r>
      <w:r w:rsidR="00B177F5">
        <w:t>2.1.3.2.2</w:t>
      </w:r>
      <w:r w:rsidR="00B27F43">
        <w:fldChar w:fldCharType="end"/>
      </w:r>
      <w:r w:rsidR="00B27F43">
        <w:t xml:space="preserve">) </w:t>
      </w:r>
      <w:r w:rsidR="00296052">
        <w:t xml:space="preserve">to the </w:t>
      </w:r>
      <w:r>
        <w:t xml:space="preserve">GBA </w:t>
      </w:r>
      <w:r w:rsidR="00DD6F9C">
        <w:t>assessment team</w:t>
      </w:r>
      <w:r w:rsidR="00296052">
        <w:t xml:space="preserve"> for their network of monitoring wells in the </w:t>
      </w:r>
      <w:r w:rsidR="00225B9E">
        <w:t>Beetaloo GBA extended region</w:t>
      </w:r>
      <w:r w:rsidR="00296052">
        <w:t xml:space="preserve"> (</w:t>
      </w:r>
      <w:r w:rsidR="00296052">
        <w:fldChar w:fldCharType="begin"/>
      </w:r>
      <w:r w:rsidR="00296052">
        <w:instrText xml:space="preserve"> REF _Ref4423282 \h </w:instrText>
      </w:r>
      <w:r w:rsidR="00296052">
        <w:fldChar w:fldCharType="separate"/>
      </w:r>
      <w:r w:rsidR="00B177F5">
        <w:t xml:space="preserve">Figure </w:t>
      </w:r>
      <w:r w:rsidR="00B177F5">
        <w:rPr>
          <w:noProof/>
        </w:rPr>
        <w:t>19</w:t>
      </w:r>
      <w:r w:rsidR="00296052">
        <w:fldChar w:fldCharType="end"/>
      </w:r>
      <w:r w:rsidR="00296052">
        <w:t xml:space="preserve">). Groundwater levels are measured using a combination of pressure transducer </w:t>
      </w:r>
      <w:r w:rsidR="002E6955">
        <w:t>data loggers</w:t>
      </w:r>
      <w:r w:rsidR="00296052">
        <w:t xml:space="preserve"> and dip meters in the Antrim Plateau Volcanics and overlying formations, with most monitoring focus</w:t>
      </w:r>
      <w:r w:rsidR="008867D1">
        <w:t>ing</w:t>
      </w:r>
      <w:r w:rsidR="00296052">
        <w:t xml:space="preserve"> on the Cambrian limestone units. Hydrographs were examined for groundwater </w:t>
      </w:r>
      <w:r w:rsidR="00D26079">
        <w:t>bores</w:t>
      </w:r>
      <w:r w:rsidR="00296052">
        <w:t xml:space="preserve"> with two or more water level readings (</w:t>
      </w:r>
      <w:r w:rsidR="00296052">
        <w:rPr>
          <w:highlight w:val="yellow"/>
        </w:rPr>
        <w:fldChar w:fldCharType="begin"/>
      </w:r>
      <w:r w:rsidR="00296052">
        <w:instrText xml:space="preserve"> REF _Ref4423282 \h </w:instrText>
      </w:r>
      <w:r w:rsidR="00296052">
        <w:rPr>
          <w:highlight w:val="yellow"/>
        </w:rPr>
      </w:r>
      <w:r w:rsidR="00296052">
        <w:rPr>
          <w:highlight w:val="yellow"/>
        </w:rPr>
        <w:fldChar w:fldCharType="separate"/>
      </w:r>
      <w:r w:rsidR="00B177F5">
        <w:t xml:space="preserve">Figure </w:t>
      </w:r>
      <w:r w:rsidR="00B177F5">
        <w:rPr>
          <w:noProof/>
        </w:rPr>
        <w:t>19</w:t>
      </w:r>
      <w:r w:rsidR="00296052">
        <w:rPr>
          <w:highlight w:val="yellow"/>
        </w:rPr>
        <w:fldChar w:fldCharType="end"/>
      </w:r>
      <w:r w:rsidR="00296052">
        <w:t>) to provide a preliminary assessment of groundwater variations over time.</w:t>
      </w:r>
      <w:r w:rsidR="00296052" w:rsidRPr="00E410DE">
        <w:t xml:space="preserve"> </w:t>
      </w:r>
      <w:r w:rsidR="00296052">
        <w:t xml:space="preserve">These hydrographs provide an opportunity for detailed interpretation in Stage 3. It is noted that </w:t>
      </w:r>
      <w:r>
        <w:t>the</w:t>
      </w:r>
      <w:r w:rsidR="00C93827">
        <w:t xml:space="preserve"> </w:t>
      </w:r>
      <w:r w:rsidR="00C93827">
        <w:fldChar w:fldCharType="begin"/>
      </w:r>
      <w:r w:rsidR="005D0C32">
        <w:instrText xml:space="preserve"> ADDIN EN.CITE &lt;EndNote&gt;&lt;Cite AuthorYear="1"&gt;&lt;Author&gt;Department of Environment and Natural Resources (NT)&lt;/Author&gt;&lt;Year&gt;2018&lt;/Year&gt;&lt;RecNum&gt;1539&lt;/RecNum&gt;&lt;DisplayText&gt;Department of Environment and Natural Resources (NT) (2018b)&lt;/DisplayText&gt;&lt;record&gt;&lt;rec-number&gt;1539&lt;/rec-number&gt;&lt;foreign-keys&gt;&lt;key app="EN" db-id="wdf9tzzdhw2saee559kv0vezt0wfsta0zedv" timestamp="1587958185"&gt;1539&lt;/key&gt;&lt;/foreign-keys&gt;&lt;ref-type name="Dataset"&gt;59&lt;/ref-type&gt;&lt;contributors&gt;&lt;authors&gt;&lt;author&gt;Department of Environment and Natural Resources (NT),&lt;/author&gt;&lt;/authors&gt;&lt;secondary-authors&gt;&lt;author&gt;CSIRO,&lt;/author&gt;&lt;/secondary-authors&gt;&lt;/contributors&gt;&lt;titles&gt;&lt;title&gt;Waterlevels from monitoring bores in Beetaloo GBA region&lt;/title&gt;&lt;/titles&gt;&lt;keywords&gt;&lt;keyword&gt;GROUNDWATER Waterlevel&lt;/keyword&gt;&lt;/keywords&gt;&lt;dates&gt;&lt;year&gt;2018&lt;/year&gt;&lt;/dates&gt;&lt;pub-location&gt;Canberra&lt;/pub-location&gt;&lt;label&gt;F2B1B357-6F0E-4E33-8DFA-6F6FD1A95DEF&lt;/label&gt;&lt;urls&gt;&lt;related-urls&gt;&lt;url&gt;https://denr.nt.gov.au/&lt;/url&gt;&lt;/related-urls&gt;&lt;/urls&gt;&lt;custom2&gt;unit of observation&lt;/custom2&gt;&lt;custom3&gt;spatial&lt;/custom3&gt;&lt;custom4&gt;dataset&lt;/custom4&gt;&lt;access-date&gt;27 April 2020&lt;/access-date&gt;&lt;/record&gt;&lt;/Cite&gt;&lt;/EndNote&gt;</w:instrText>
      </w:r>
      <w:r w:rsidR="00C93827">
        <w:fldChar w:fldCharType="separate"/>
      </w:r>
      <w:r w:rsidR="005D0C32">
        <w:rPr>
          <w:noProof/>
        </w:rPr>
        <w:t>Department of Environment and Natural Resources (NT) (2018b)</w:t>
      </w:r>
      <w:r w:rsidR="00C93827">
        <w:fldChar w:fldCharType="end"/>
      </w:r>
      <w:r>
        <w:t xml:space="preserve"> </w:t>
      </w:r>
      <w:r w:rsidR="00296052">
        <w:t xml:space="preserve">includes water levels for several other wells not shown on </w:t>
      </w:r>
      <w:r w:rsidR="00296052">
        <w:fldChar w:fldCharType="begin"/>
      </w:r>
      <w:r w:rsidR="00296052">
        <w:instrText xml:space="preserve"> REF _Ref4423282 \h </w:instrText>
      </w:r>
      <w:r w:rsidR="00296052">
        <w:fldChar w:fldCharType="separate"/>
      </w:r>
      <w:r w:rsidR="00B177F5">
        <w:t xml:space="preserve">Figure </w:t>
      </w:r>
      <w:r w:rsidR="00B177F5">
        <w:rPr>
          <w:noProof/>
        </w:rPr>
        <w:t>19</w:t>
      </w:r>
      <w:r w:rsidR="00296052">
        <w:fldChar w:fldCharType="end"/>
      </w:r>
      <w:r w:rsidR="00296052">
        <w:t xml:space="preserve"> because DENR d</w:t>
      </w:r>
      <w:r>
        <w:t>o</w:t>
      </w:r>
      <w:r w:rsidR="00296052">
        <w:t xml:space="preserve"> not identify them on their current list of monitoring sites.</w:t>
      </w:r>
    </w:p>
    <w:p w14:paraId="57CF9340" w14:textId="7A0BBF80" w:rsidR="00296052" w:rsidRPr="00E410DE" w:rsidRDefault="00296052" w:rsidP="00296052">
      <w:r w:rsidRPr="00E410DE">
        <w:t xml:space="preserve">To assist with </w:t>
      </w:r>
      <w:r>
        <w:t xml:space="preserve">hydrograph </w:t>
      </w:r>
      <w:r w:rsidRPr="00E410DE">
        <w:t>interpretation, cumulative mass residual rainfall curves are included</w:t>
      </w:r>
      <w:r>
        <w:t xml:space="preserve"> </w:t>
      </w:r>
      <w:r w:rsidR="0067073F">
        <w:t>(</w:t>
      </w:r>
      <w:r w:rsidR="00C863D9">
        <w:fldChar w:fldCharType="begin"/>
      </w:r>
      <w:r w:rsidR="00C863D9">
        <w:instrText xml:space="preserve"> REF _Ref4423727 \h </w:instrText>
      </w:r>
      <w:r w:rsidR="00C863D9">
        <w:fldChar w:fldCharType="separate"/>
      </w:r>
      <w:r w:rsidR="00B177F5">
        <w:t xml:space="preserve">Figure </w:t>
      </w:r>
      <w:r w:rsidR="00B177F5">
        <w:rPr>
          <w:noProof/>
        </w:rPr>
        <w:t>20</w:t>
      </w:r>
      <w:r w:rsidR="00C863D9">
        <w:fldChar w:fldCharType="end"/>
      </w:r>
      <w:r w:rsidR="0067073F">
        <w:t>)</w:t>
      </w:r>
      <w:r w:rsidR="00E97146">
        <w:t xml:space="preserve"> </w:t>
      </w:r>
      <w:r w:rsidRPr="00E410DE">
        <w:t xml:space="preserve">for the four rainfall stations shown on </w:t>
      </w:r>
      <w:r>
        <w:fldChar w:fldCharType="begin"/>
      </w:r>
      <w:r>
        <w:instrText xml:space="preserve"> REF _Ref4423282 \h </w:instrText>
      </w:r>
      <w:r>
        <w:fldChar w:fldCharType="separate"/>
      </w:r>
      <w:r w:rsidR="00B177F5">
        <w:t xml:space="preserve">Figure </w:t>
      </w:r>
      <w:r w:rsidR="00B177F5">
        <w:rPr>
          <w:noProof/>
        </w:rPr>
        <w:t>19</w:t>
      </w:r>
      <w:r>
        <w:fldChar w:fldCharType="end"/>
      </w:r>
      <w:r w:rsidRPr="00E410DE">
        <w:t xml:space="preserve">. These curves </w:t>
      </w:r>
      <w:r>
        <w:t>are based on rainfall data</w:t>
      </w:r>
      <w:r w:rsidR="00E84F8A" w:rsidDel="006E6B1D">
        <w:t xml:space="preserve"> </w:t>
      </w:r>
      <w:r w:rsidR="00E84F8A">
        <w:t xml:space="preserve">included in </w:t>
      </w:r>
      <w:r w:rsidR="00A541ED" w:rsidRPr="2777F559">
        <w:fldChar w:fldCharType="begin"/>
      </w:r>
      <w:r w:rsidR="00F76E0D">
        <w:instrText xml:space="preserve"> ADDIN EN.CITE &lt;EndNote&gt;&lt;Cite AuthorYear="1"&gt;&lt;Author&gt;Department of Environment and Science (Qld)&lt;/Author&gt;&lt;Year&gt;2018&lt;/Year&gt;&lt;RecNum&gt;885&lt;/RecNum&gt;&lt;DisplayText&gt;Department of Environment and Science (Qld) (2018)&lt;/DisplayText&gt;&lt;record&gt;&lt;rec-number&gt;885&lt;/rec-number&gt;&lt;foreign-keys&gt;&lt;key app="EN" db-id="wdf9tzzdhw2saee559kv0vezt0wfsta0zedv" timestamp="1553822868"&gt;885&lt;/key&gt;&lt;/foreign-keys&gt;&lt;ref-type name="Dataset"&gt;59&lt;/ref-type&gt;&lt;contributors&gt;&lt;authors&gt;&lt;author&gt;Department of Environment and Science (Qld),&lt;/author&gt;&lt;/authors&gt;&lt;/contributors&gt;&lt;titles&gt;&lt;title&gt;Climate data for rainfall stations in the Beetaloo GBA area from the Queensland Government’s Scientific Information for Land Owners website&lt;/title&gt;&lt;/titles&gt;&lt;dates&gt;&lt;year&gt;2018&lt;/year&gt;&lt;/dates&gt;&lt;label&gt;E808103C-7DA8-4173-8027-C94AAA8CCBCE&lt;/label&gt;&lt;urls&gt;&lt;related-urls&gt;&lt;url&gt;&lt;style face="underline" font="default" size="100%"&gt;https://data.qld.gov.au/dataset/silo-climate-api&lt;/style&gt;&lt;/url&gt;&lt;/related-urls&gt;&lt;/urls&gt;&lt;custom3&gt;Space delimited txt file&lt;/custom3&gt;&lt;remote-database-name&gt;14618.txt,14642.txt,14902.txt,15086.txt&lt;/remote-database-name&gt;&lt;remote-database-provider&gt;Queensland Government Department of Environment and Science&lt;/remote-database-provider&gt;&lt;access-date&gt;24 October 2018&lt;/access-date&gt;&lt;/record&gt;&lt;/Cite&gt;&lt;/EndNote&gt;</w:instrText>
      </w:r>
      <w:r w:rsidR="00A541ED" w:rsidRPr="2777F559">
        <w:rPr>
          <w:rFonts w:cs="Calibri"/>
        </w:rPr>
        <w:fldChar w:fldCharType="separate"/>
      </w:r>
      <w:r w:rsidR="000C1920" w:rsidRPr="000C1920">
        <w:rPr>
          <w:noProof/>
        </w:rPr>
        <w:t>Department of Environment and Science (Qld) (2018)</w:t>
      </w:r>
      <w:r w:rsidR="00A541ED" w:rsidRPr="2777F559">
        <w:fldChar w:fldCharType="end"/>
      </w:r>
      <w:r>
        <w:t>.</w:t>
      </w:r>
      <w:r w:rsidRPr="000761F4">
        <w:t xml:space="preserve"> </w:t>
      </w:r>
      <w:r>
        <w:t>The</w:t>
      </w:r>
      <w:r w:rsidR="0067073F">
        <w:t xml:space="preserve"> residual rainfall</w:t>
      </w:r>
      <w:r>
        <w:t xml:space="preserve"> w</w:t>
      </w:r>
      <w:r w:rsidR="0067073F">
        <w:t>as</w:t>
      </w:r>
      <w:r w:rsidRPr="00E410DE">
        <w:t xml:space="preserve"> calculated by subtracting the rainfall in a given year from long</w:t>
      </w:r>
      <w:r w:rsidR="00F264A9">
        <w:t>-</w:t>
      </w:r>
      <w:r w:rsidRPr="00E410DE">
        <w:t xml:space="preserve">term average </w:t>
      </w:r>
      <w:r>
        <w:t xml:space="preserve">yearly </w:t>
      </w:r>
      <w:r w:rsidRPr="00E410DE">
        <w:t xml:space="preserve">rainfall. Summing these differences reveals </w:t>
      </w:r>
      <w:r>
        <w:t xml:space="preserve">periods </w:t>
      </w:r>
      <w:r w:rsidRPr="00E410DE">
        <w:t xml:space="preserve">when rainfall has been below (declining trend) at (flat) or above </w:t>
      </w:r>
      <w:r>
        <w:t xml:space="preserve">(increasing trend) </w:t>
      </w:r>
      <w:r w:rsidRPr="00E410DE">
        <w:t>average</w:t>
      </w:r>
      <w:r>
        <w:t xml:space="preserve"> levels</w:t>
      </w:r>
      <w:r w:rsidRPr="00E410DE">
        <w:t>.</w:t>
      </w:r>
      <w:r>
        <w:t xml:space="preserve"> </w:t>
      </w:r>
      <w:r w:rsidR="00866CDE">
        <w:fldChar w:fldCharType="begin"/>
      </w:r>
      <w:r w:rsidR="00866CDE">
        <w:instrText xml:space="preserve"> REF _Ref4423727 \h </w:instrText>
      </w:r>
      <w:r w:rsidR="00866CDE">
        <w:fldChar w:fldCharType="separate"/>
      </w:r>
      <w:r w:rsidR="00B177F5">
        <w:t xml:space="preserve">Figure </w:t>
      </w:r>
      <w:r w:rsidR="00B177F5">
        <w:rPr>
          <w:noProof/>
        </w:rPr>
        <w:t>20</w:t>
      </w:r>
      <w:r w:rsidR="00866CDE">
        <w:fldChar w:fldCharType="end"/>
      </w:r>
      <w:r>
        <w:t xml:space="preserve"> shows that rainfall was generally below average from 1900 until the late 1960s. With the exception of below average period of rainfall from the mid-1980s to mid-1990s, rainfall has generally been above average from </w:t>
      </w:r>
      <w:r w:rsidR="00225B9E">
        <w:t xml:space="preserve">the </w:t>
      </w:r>
      <w:r>
        <w:t>early 1970s until the present.</w:t>
      </w:r>
    </w:p>
    <w:p w14:paraId="61191A8D" w14:textId="32DE6F88" w:rsidR="00FF0046" w:rsidRPr="004173A8" w:rsidRDefault="00D03AA1" w:rsidP="003E1F1E">
      <w:pPr>
        <w:pStyle w:val="Figures"/>
      </w:pPr>
      <w:r>
        <w:rPr>
          <w:noProof/>
        </w:rPr>
        <w:drawing>
          <wp:inline distT="0" distB="0" distL="0" distR="0" wp14:anchorId="4A070CD7" wp14:editId="40BECD5B">
            <wp:extent cx="6115050" cy="6000750"/>
            <wp:effectExtent l="0" t="0" r="0" b="0"/>
            <wp:docPr id="470141974" name="Picture 24" descr="T:\proj\ba2\Stage2\3_Beetaloo\MapsAndFigures\Figures\GBA-BEE-2-124_Monitoring_Wel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76">
                      <a:extLst>
                        <a:ext uri="{28A0092B-C50C-407E-A947-70E740481C1C}">
                          <a14:useLocalDpi xmlns:a14="http://schemas.microsoft.com/office/drawing/2010/main" val="0"/>
                        </a:ext>
                      </a:extLst>
                    </a:blip>
                    <a:stretch>
                      <a:fillRect/>
                    </a:stretch>
                  </pic:blipFill>
                  <pic:spPr>
                    <a:xfrm>
                      <a:off x="0" y="0"/>
                      <a:ext cx="6115050" cy="6000750"/>
                    </a:xfrm>
                    <a:prstGeom prst="rect">
                      <a:avLst/>
                    </a:prstGeom>
                  </pic:spPr>
                </pic:pic>
              </a:graphicData>
            </a:graphic>
          </wp:inline>
        </w:drawing>
      </w:r>
    </w:p>
    <w:p w14:paraId="1B1C766E" w14:textId="16424805" w:rsidR="00FF0046" w:rsidRDefault="00FF0046" w:rsidP="00FF0046">
      <w:pPr>
        <w:pStyle w:val="Caption"/>
      </w:pPr>
      <w:bookmarkStart w:id="541" w:name="_Ref4423282"/>
      <w:bookmarkStart w:id="542" w:name="_Toc3968835"/>
      <w:bookmarkStart w:id="543" w:name="_Toc4072442"/>
      <w:bookmarkStart w:id="544" w:name="_Toc4670955"/>
      <w:bookmarkStart w:id="545" w:name="_Toc4754375"/>
      <w:bookmarkStart w:id="546" w:name="_Toc5020760"/>
      <w:bookmarkStart w:id="547" w:name="_Toc5021567"/>
      <w:bookmarkStart w:id="548" w:name="_Toc5097093"/>
      <w:bookmarkStart w:id="549" w:name="_Toc5108485"/>
      <w:bookmarkStart w:id="550" w:name="_Toc5284150"/>
      <w:bookmarkStart w:id="551" w:name="_Toc5635364"/>
      <w:bookmarkStart w:id="552" w:name="_Toc5808323"/>
      <w:bookmarkStart w:id="553" w:name="_Toc5895015"/>
      <w:bookmarkStart w:id="554" w:name="_Toc6308904"/>
      <w:bookmarkStart w:id="555" w:name="_Toc6327569"/>
      <w:bookmarkStart w:id="556" w:name="_Toc38990473"/>
      <w:r>
        <w:t xml:space="preserve">Figure </w:t>
      </w:r>
      <w:r w:rsidRPr="78541554">
        <w:fldChar w:fldCharType="begin"/>
      </w:r>
      <w:r>
        <w:rPr>
          <w:noProof/>
        </w:rPr>
        <w:instrText xml:space="preserve"> SEQ Figure \* ARABIC </w:instrText>
      </w:r>
      <w:r w:rsidRPr="78541554">
        <w:rPr>
          <w:noProof/>
        </w:rPr>
        <w:fldChar w:fldCharType="separate"/>
      </w:r>
      <w:r w:rsidR="00B177F5">
        <w:rPr>
          <w:noProof/>
        </w:rPr>
        <w:t>19</w:t>
      </w:r>
      <w:r w:rsidRPr="78541554">
        <w:fldChar w:fldCharType="end"/>
      </w:r>
      <w:bookmarkEnd w:id="541"/>
      <w:bookmarkEnd w:id="542"/>
      <w:bookmarkEnd w:id="543"/>
      <w:bookmarkEnd w:id="544"/>
      <w:bookmarkEnd w:id="545"/>
      <w:bookmarkEnd w:id="546"/>
      <w:bookmarkEnd w:id="547"/>
      <w:r>
        <w:t xml:space="preserve"> </w:t>
      </w:r>
      <w:r w:rsidR="00225B9E">
        <w:t>Department of Environment and Natural Resources (NT)</w:t>
      </w:r>
      <w:r w:rsidR="00621E31">
        <w:t xml:space="preserve"> and Origin Energy groundwater monitoring network</w:t>
      </w:r>
      <w:bookmarkEnd w:id="548"/>
      <w:bookmarkEnd w:id="549"/>
      <w:bookmarkEnd w:id="550"/>
      <w:bookmarkEnd w:id="551"/>
      <w:bookmarkEnd w:id="552"/>
      <w:bookmarkEnd w:id="553"/>
      <w:bookmarkEnd w:id="554"/>
      <w:bookmarkEnd w:id="555"/>
      <w:bookmarkEnd w:id="556"/>
    </w:p>
    <w:p w14:paraId="67348552" w14:textId="02BDD15E" w:rsidR="00494D3D" w:rsidRPr="00B77B6D" w:rsidRDefault="00494D3D" w:rsidP="00494D3D">
      <w:pPr>
        <w:pStyle w:val="SourceornoteforTableorFigure"/>
      </w:pPr>
      <w:r w:rsidRPr="00A61A49">
        <w:t xml:space="preserve">Data: </w:t>
      </w:r>
      <w:r w:rsidR="00225B9E">
        <w:t>m</w:t>
      </w:r>
      <w:r w:rsidR="000F3DB2">
        <w:t xml:space="preserve">onitoring </w:t>
      </w:r>
      <w:r w:rsidR="0067073F">
        <w:t>bore</w:t>
      </w:r>
      <w:r w:rsidR="000F3DB2">
        <w:t xml:space="preserve"> locations </w:t>
      </w:r>
      <w:r w:rsidR="00A541ED">
        <w:fldChar w:fldCharType="begin"/>
      </w:r>
      <w:r w:rsidR="005D0C32">
        <w:instrText xml:space="preserve"> ADDIN EN.CITE &lt;EndNote&gt;&lt;Cite&gt;&lt;Author&gt;Origin Energy&lt;/Author&gt;&lt;Year&gt;2019&lt;/Year&gt;&lt;RecNum&gt;1519&lt;/RecNum&gt;&lt;DisplayText&gt;(Origin Energy, 2019; Department of Environment and Natural Resources (NT), 2018a)&lt;/DisplayText&gt;&lt;record&gt;&lt;rec-number&gt;1519&lt;/rec-number&gt;&lt;foreign-keys&gt;&lt;key app="EN" db-id="wdf9tzzdhw2saee559kv0vezt0wfsta0zedv" timestamp="1587707256"&gt;1519&lt;/key&gt;&lt;/foreign-keys&gt;&lt;ref-type name="Dataset"&gt;59&lt;/ref-type&gt;&lt;contributors&gt;&lt;authors&gt;&lt;author&gt;Origin Energy,&lt;/author&gt;&lt;/authors&gt;&lt;secondary-authors&gt;&lt;author&gt;Geoscience Australia,&lt;/author&gt;&lt;/secondary-authors&gt;&lt;/contributors&gt;&lt;titles&gt;&lt;title&gt;Origin Data Package&lt;/title&gt;&lt;/titles&gt;&lt;keywords&gt;&lt;keyword&gt;WATER Quality, hydrogeology&lt;/keyword&gt;&lt;/keywords&gt;&lt;dates&gt;&lt;year&gt;2019&lt;/year&gt;&lt;/dates&gt;&lt;pub-location&gt;Canberra&lt;/pub-location&gt;&lt;label&gt;0BE0A3FE-7C2E-48EF-B890-F42C38EEF24F&lt;/label&gt;&lt;urls&gt;&lt;related-urls&gt;&lt;url&gt;https://www.originenergy.com.au/&lt;/url&gt;&lt;/related-urls&gt;&lt;/urls&gt;&lt;custom2&gt;unit of observation&lt;/custom2&gt;&lt;custom3&gt;tabular&lt;/custom3&gt;&lt;custom4&gt;dataset&lt;/custom4&gt;&lt;access-date&gt;24 April 2020&lt;/access-date&gt;&lt;/record&gt;&lt;/Cite&gt;&lt;Cite&gt;&lt;Author&gt;Department of Environment and Natural Resources (NT)&lt;/Author&gt;&lt;Year&gt;2018&lt;/Year&gt;&lt;RecNum&gt;1541&lt;/RecNum&gt;&lt;record&gt;&lt;rec-number&gt;1541&lt;/rec-number&gt;&lt;foreign-keys&gt;&lt;key app="EN" db-id="wdf9tzzdhw2saee559kv0vezt0wfsta0zedv" timestamp="1588042411"&gt;1541&lt;/key&gt;&lt;/foreign-keys&gt;&lt;ref-type name="Dataset"&gt;59&lt;/ref-type&gt;&lt;contributors&gt;&lt;authors&gt;&lt;author&gt;Department of Environment and Natural Resources (NT),&lt;/author&gt;&lt;/authors&gt;&lt;secondary-authors&gt;&lt;author&gt;Geoscience Australia,&lt;/author&gt;&lt;/secondary-authors&gt;&lt;/contributors&gt;&lt;titles&gt;&lt;title&gt;NT Groundwater Monitoring Bores Database&lt;/title&gt;&lt;/titles&gt;&lt;keywords&gt;&lt;keyword&gt;hydrogeology, WATER Quality&lt;/keyword&gt;&lt;/keywords&gt;&lt;dates&gt;&lt;year&gt;2018&lt;/year&gt;&lt;/dates&gt;&lt;pub-location&gt;Canberra&lt;/pub-location&gt;&lt;label&gt;527F422D-52CD-4D50-A5FA-923CBBB36C60&lt;/label&gt;&lt;urls&gt;&lt;related-urls&gt;&lt;url&gt;https://denr.nt.gov.au/&lt;/url&gt;&lt;/related-urls&gt;&lt;/urls&gt;&lt;custom2&gt;unit of observation&lt;/custom2&gt;&lt;custom3&gt;spatial&lt;/custom3&gt;&lt;custom4&gt;dataset&lt;/custom4&gt;&lt;access-date&gt;28 April 2020&lt;/access-date&gt;&lt;/record&gt;&lt;/Cite&gt;&lt;/EndNote&gt;</w:instrText>
      </w:r>
      <w:r w:rsidR="00A541ED">
        <w:fldChar w:fldCharType="separate"/>
      </w:r>
      <w:r w:rsidR="005D0C32">
        <w:rPr>
          <w:noProof/>
        </w:rPr>
        <w:t>(Origin Energy, 2019; Department of Environment and Natural Resources (NT), 2018a)</w:t>
      </w:r>
      <w:r w:rsidR="00A541ED">
        <w:fldChar w:fldCharType="end"/>
      </w:r>
      <w:r w:rsidR="005A0C35">
        <w:br/>
      </w:r>
      <w:r w:rsidRPr="00B77B6D">
        <w:t>Element: GBA-</w:t>
      </w:r>
      <w:r>
        <w:t>BEE</w:t>
      </w:r>
      <w:r w:rsidRPr="00B77B6D">
        <w:t>-2-</w:t>
      </w:r>
      <w:r w:rsidRPr="00A61A49">
        <w:t>1</w:t>
      </w:r>
      <w:r w:rsidR="00A61A49">
        <w:t>24</w:t>
      </w:r>
    </w:p>
    <w:p w14:paraId="4B22FED1" w14:textId="4097F57B" w:rsidR="00296052" w:rsidRPr="00296052" w:rsidRDefault="00A61A49" w:rsidP="00AD36B8">
      <w:pPr>
        <w:pStyle w:val="Figures"/>
      </w:pPr>
      <w:r>
        <w:rPr>
          <w:noProof/>
        </w:rPr>
        <w:drawing>
          <wp:inline distT="0" distB="0" distL="0" distR="0" wp14:anchorId="42FBD03A" wp14:editId="07255C6E">
            <wp:extent cx="6345936" cy="4718304"/>
            <wp:effectExtent l="0" t="0" r="0" b="6350"/>
            <wp:docPr id="973032872" name="Picture 269102843" descr="Z:\ba2\Stage2\3_Beetaloo\MapsAndFigures\Figures\PnP_Figures_Groundwater\PP-2795-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102843"/>
                    <pic:cNvPicPr/>
                  </pic:nvPicPr>
                  <pic:blipFill>
                    <a:blip r:embed="rId77">
                      <a:extLst>
                        <a:ext uri="{28A0092B-C50C-407E-A947-70E740481C1C}">
                          <a14:useLocalDpi xmlns:a14="http://schemas.microsoft.com/office/drawing/2010/main"/>
                        </a:ext>
                      </a:extLst>
                    </a:blip>
                    <a:stretch>
                      <a:fillRect/>
                    </a:stretch>
                  </pic:blipFill>
                  <pic:spPr>
                    <a:xfrm>
                      <a:off x="0" y="0"/>
                      <a:ext cx="6345936" cy="4718304"/>
                    </a:xfrm>
                    <a:prstGeom prst="rect">
                      <a:avLst/>
                    </a:prstGeom>
                  </pic:spPr>
                </pic:pic>
              </a:graphicData>
            </a:graphic>
          </wp:inline>
        </w:drawing>
      </w:r>
    </w:p>
    <w:p w14:paraId="52C87860" w14:textId="54D79FD9" w:rsidR="00A14F55" w:rsidRDefault="00296052" w:rsidP="00296052">
      <w:pPr>
        <w:pStyle w:val="Caption"/>
        <w:rPr>
          <w:rStyle w:val="SourceornoteforTableorFigureChar"/>
        </w:rPr>
      </w:pPr>
      <w:bookmarkStart w:id="557" w:name="_Ref4423727"/>
      <w:bookmarkStart w:id="558" w:name="_Toc4670956"/>
      <w:bookmarkStart w:id="559" w:name="_Toc4754376"/>
      <w:bookmarkStart w:id="560" w:name="_Toc5020761"/>
      <w:bookmarkStart w:id="561" w:name="_Toc5021568"/>
      <w:bookmarkStart w:id="562" w:name="_Toc38990474"/>
      <w:bookmarkStart w:id="563" w:name="_Toc5097094"/>
      <w:bookmarkStart w:id="564" w:name="_Toc5108486"/>
      <w:bookmarkStart w:id="565" w:name="_Toc5284151"/>
      <w:bookmarkStart w:id="566" w:name="_Toc5635365"/>
      <w:bookmarkStart w:id="567" w:name="_Toc5808324"/>
      <w:bookmarkStart w:id="568" w:name="_Toc5895016"/>
      <w:bookmarkStart w:id="569" w:name="_Toc6308905"/>
      <w:bookmarkStart w:id="570" w:name="_Toc6327570"/>
      <w:r>
        <w:t xml:space="preserve">Figure </w:t>
      </w:r>
      <w:r w:rsidRPr="78541554">
        <w:fldChar w:fldCharType="begin"/>
      </w:r>
      <w:r>
        <w:rPr>
          <w:noProof/>
        </w:rPr>
        <w:instrText xml:space="preserve"> SEQ Figure \* ARABIC </w:instrText>
      </w:r>
      <w:r w:rsidRPr="78541554">
        <w:rPr>
          <w:noProof/>
        </w:rPr>
        <w:fldChar w:fldCharType="separate"/>
      </w:r>
      <w:r w:rsidR="00B177F5">
        <w:rPr>
          <w:noProof/>
        </w:rPr>
        <w:t>20</w:t>
      </w:r>
      <w:r w:rsidRPr="78541554">
        <w:fldChar w:fldCharType="end"/>
      </w:r>
      <w:bookmarkEnd w:id="557"/>
      <w:bookmarkEnd w:id="558"/>
      <w:bookmarkEnd w:id="559"/>
      <w:bookmarkEnd w:id="560"/>
      <w:bookmarkEnd w:id="561"/>
      <w:r>
        <w:t xml:space="preserve"> </w:t>
      </w:r>
      <w:r w:rsidR="00644802">
        <w:t>C</w:t>
      </w:r>
      <w:r w:rsidR="00A61A49" w:rsidRPr="00A61A49">
        <w:t>umulative mass residual rainfall curves</w:t>
      </w:r>
      <w:r w:rsidR="00644802">
        <w:t xml:space="preserve"> for the </w:t>
      </w:r>
      <w:r w:rsidR="00D831E7">
        <w:t>Beetaloo GBA region and surrounds</w:t>
      </w:r>
      <w:bookmarkEnd w:id="562"/>
    </w:p>
    <w:p w14:paraId="3B6D4BF8" w14:textId="760E690A" w:rsidR="00644802" w:rsidRPr="00A61A49" w:rsidRDefault="00225B9E" w:rsidP="00644802">
      <w:pPr>
        <w:pStyle w:val="SourceornoteforTableorFigure"/>
      </w:pPr>
      <w:r>
        <w:t>R</w:t>
      </w:r>
      <w:r w:rsidR="00644802" w:rsidRPr="00A14F55">
        <w:t xml:space="preserve">efer to </w:t>
      </w:r>
      <w:r w:rsidR="00644802" w:rsidRPr="00A14F55">
        <w:rPr>
          <w:rStyle w:val="SourceornoteforTableorFigureChar"/>
        </w:rPr>
        <w:fldChar w:fldCharType="begin"/>
      </w:r>
      <w:r w:rsidR="00644802" w:rsidRPr="00A14F55">
        <w:rPr>
          <w:rStyle w:val="SourceornoteforTableorFigureChar"/>
        </w:rPr>
        <w:instrText xml:space="preserve"> REF _Ref4423282 \h </w:instrText>
      </w:r>
      <w:r w:rsidR="00A14F55">
        <w:rPr>
          <w:rStyle w:val="SourceornoteforTableorFigureChar"/>
        </w:rPr>
        <w:instrText xml:space="preserve"> \* MERGEFORMAT </w:instrText>
      </w:r>
      <w:r w:rsidR="00644802" w:rsidRPr="00A14F55">
        <w:rPr>
          <w:rStyle w:val="SourceornoteforTableorFigureChar"/>
        </w:rPr>
      </w:r>
      <w:r w:rsidR="00644802" w:rsidRPr="00A14F55">
        <w:rPr>
          <w:rStyle w:val="SourceornoteforTableorFigureChar"/>
        </w:rPr>
        <w:fldChar w:fldCharType="separate"/>
      </w:r>
      <w:r w:rsidR="00B177F5" w:rsidRPr="00B177F5">
        <w:rPr>
          <w:rStyle w:val="SourceornoteforTableorFigureChar"/>
        </w:rPr>
        <w:t>Figure 19</w:t>
      </w:r>
      <w:r w:rsidR="00644802" w:rsidRPr="00A14F55">
        <w:rPr>
          <w:rStyle w:val="SourceornoteforTableorFigureChar"/>
        </w:rPr>
        <w:fldChar w:fldCharType="end"/>
      </w:r>
      <w:r w:rsidR="00644802" w:rsidRPr="00A14F55">
        <w:t xml:space="preserve"> for rainfall station locations</w:t>
      </w:r>
      <w:r>
        <w:t>.</w:t>
      </w:r>
      <w:r w:rsidR="00A14F55">
        <w:br/>
      </w:r>
      <w:r w:rsidR="00644802" w:rsidRPr="00A61A49">
        <w:t xml:space="preserve">Data: </w:t>
      </w:r>
      <w:r w:rsidR="00A541ED">
        <w:rPr>
          <w:rFonts w:cs="Calibri"/>
        </w:rPr>
        <w:fldChar w:fldCharType="begin"/>
      </w:r>
      <w:r w:rsidR="00F76E0D">
        <w:rPr>
          <w:rFonts w:cs="Calibri"/>
        </w:rPr>
        <w:instrText xml:space="preserve"> ADDIN EN.CITE &lt;EndNote&gt;&lt;Cite AuthorYear="1"&gt;&lt;Author&gt;Department of Environment and Science (Qld)&lt;/Author&gt;&lt;Year&gt;2018&lt;/Year&gt;&lt;RecNum&gt;885&lt;/RecNum&gt;&lt;DisplayText&gt;Department of Environment and Science (Qld) (2018)&lt;/DisplayText&gt;&lt;record&gt;&lt;rec-number&gt;885&lt;/rec-number&gt;&lt;foreign-keys&gt;&lt;key app="EN" db-id="wdf9tzzdhw2saee559kv0vezt0wfsta0zedv" timestamp="1553822868"&gt;885&lt;/key&gt;&lt;/foreign-keys&gt;&lt;ref-type name="Dataset"&gt;59&lt;/ref-type&gt;&lt;contributors&gt;&lt;authors&gt;&lt;author&gt;Department of Environment and Science (Qld),&lt;/author&gt;&lt;/authors&gt;&lt;/contributors&gt;&lt;titles&gt;&lt;title&gt;Climate data for rainfall stations in the Beetaloo GBA area from the Queensland Government’s Scientific Information for Land Owners website&lt;/title&gt;&lt;/titles&gt;&lt;dates&gt;&lt;year&gt;2018&lt;/year&gt;&lt;/dates&gt;&lt;label&gt;E808103C-7DA8-4173-8027-C94AAA8CCBCE&lt;/label&gt;&lt;urls&gt;&lt;related-urls&gt;&lt;url&gt;&lt;style face="underline" font="default" size="100%"&gt;https://data.qld.gov.au/dataset/silo-climate-api&lt;/style&gt;&lt;/url&gt;&lt;/related-urls&gt;&lt;/urls&gt;&lt;custom3&gt;Space delimited txt file&lt;/custom3&gt;&lt;remote-database-name&gt;14618.txt,14642.txt,14902.txt,15086.txt&lt;/remote-database-name&gt;&lt;remote-database-provider&gt;Queensland Government Department of Environment and Science&lt;/remote-database-provider&gt;&lt;access-date&gt;24 October 2018&lt;/access-date&gt;&lt;/record&gt;&lt;/Cite&gt;&lt;/EndNote&gt;</w:instrText>
      </w:r>
      <w:r w:rsidR="00A541ED">
        <w:rPr>
          <w:rFonts w:cs="Calibri"/>
        </w:rPr>
        <w:fldChar w:fldCharType="separate"/>
      </w:r>
      <w:r w:rsidR="000C1920">
        <w:rPr>
          <w:rFonts w:cs="Calibri"/>
          <w:noProof/>
        </w:rPr>
        <w:t>Department of Environment and Science (Qld) (2018)</w:t>
      </w:r>
      <w:r w:rsidR="00A541ED">
        <w:rPr>
          <w:rFonts w:cs="Calibri"/>
        </w:rPr>
        <w:fldChar w:fldCharType="end"/>
      </w:r>
      <w:r w:rsidR="00A14F55">
        <w:br/>
      </w:r>
      <w:r w:rsidR="00644802" w:rsidRPr="00A61A49">
        <w:t xml:space="preserve">Element: </w:t>
      </w:r>
      <w:r w:rsidR="00A15FBC" w:rsidRPr="00A15FBC">
        <w:t>GBA-BEE-2-329</w:t>
      </w:r>
      <w:bookmarkEnd w:id="563"/>
      <w:bookmarkEnd w:id="564"/>
      <w:bookmarkEnd w:id="565"/>
      <w:bookmarkEnd w:id="566"/>
      <w:bookmarkEnd w:id="567"/>
      <w:bookmarkEnd w:id="568"/>
      <w:bookmarkEnd w:id="569"/>
      <w:bookmarkEnd w:id="570"/>
    </w:p>
    <w:p w14:paraId="2252C756" w14:textId="6CF7A65E" w:rsidR="00C863D9" w:rsidRDefault="00C863D9" w:rsidP="00C863D9">
      <w:r>
        <w:t xml:space="preserve">Representative groundwater hydrographs are included as </w:t>
      </w:r>
      <w:r>
        <w:fldChar w:fldCharType="begin"/>
      </w:r>
      <w:r>
        <w:instrText xml:space="preserve"> REF _Ref4049914 \h </w:instrText>
      </w:r>
      <w:r>
        <w:fldChar w:fldCharType="separate"/>
      </w:r>
      <w:r w:rsidR="00B177F5">
        <w:t xml:space="preserve">Figure </w:t>
      </w:r>
      <w:r w:rsidR="00B177F5">
        <w:rPr>
          <w:noProof/>
        </w:rPr>
        <w:t>21</w:t>
      </w:r>
      <w:r>
        <w:fldChar w:fldCharType="end"/>
      </w:r>
      <w:r w:rsidR="00644802">
        <w:t xml:space="preserve"> </w:t>
      </w:r>
      <w:r>
        <w:t xml:space="preserve">to </w:t>
      </w:r>
      <w:r>
        <w:fldChar w:fldCharType="begin"/>
      </w:r>
      <w:r>
        <w:instrText xml:space="preserve"> REF _Ref4049916 \h </w:instrText>
      </w:r>
      <w:r>
        <w:fldChar w:fldCharType="separate"/>
      </w:r>
      <w:r w:rsidR="00B177F5">
        <w:t xml:space="preserve">Figure </w:t>
      </w:r>
      <w:r w:rsidR="00B177F5">
        <w:rPr>
          <w:noProof/>
        </w:rPr>
        <w:t>28</w:t>
      </w:r>
      <w:r>
        <w:fldChar w:fldCharType="end"/>
      </w:r>
      <w:r>
        <w:t xml:space="preserve">. Only DENR hydrographs are shown due to the potential limitations of Origin Energy’s data outlined below. Most DENR hydrographs are for wells in the north of the </w:t>
      </w:r>
      <w:r w:rsidR="007535FA">
        <w:t>Beetaloo GBE extended region</w:t>
      </w:r>
      <w:r>
        <w:t>. Several longer</w:t>
      </w:r>
      <w:r w:rsidR="00F264A9">
        <w:t xml:space="preserve"> </w:t>
      </w:r>
      <w:r>
        <w:t>term hydrographs show increasing water levels starting at around 1996 to 1998 and continuing until approximately 2012, corresponding to increases in cumulative mass residual rainfall (</w:t>
      </w:r>
      <w:r>
        <w:fldChar w:fldCharType="begin"/>
      </w:r>
      <w:r>
        <w:instrText xml:space="preserve"> REF _Ref4423727 \h </w:instrText>
      </w:r>
      <w:r>
        <w:fldChar w:fldCharType="separate"/>
      </w:r>
      <w:r w:rsidR="00B177F5">
        <w:t xml:space="preserve">Figure </w:t>
      </w:r>
      <w:r w:rsidR="00B177F5">
        <w:rPr>
          <w:noProof/>
        </w:rPr>
        <w:t>20</w:t>
      </w:r>
      <w:r>
        <w:fldChar w:fldCharType="end"/>
      </w:r>
      <w:r>
        <w:t xml:space="preserve">). Increases in groundwater level are substantial in some wells (e.g. approximately 9 m in RN022002 and 16 m in RN020509; </w:t>
      </w:r>
      <w:r>
        <w:fldChar w:fldCharType="begin"/>
      </w:r>
      <w:r>
        <w:instrText xml:space="preserve"> REF _Ref4049914 \h </w:instrText>
      </w:r>
      <w:r>
        <w:fldChar w:fldCharType="separate"/>
      </w:r>
      <w:r w:rsidR="00B177F5">
        <w:t xml:space="preserve">Figure </w:t>
      </w:r>
      <w:r w:rsidR="00B177F5">
        <w:rPr>
          <w:noProof/>
        </w:rPr>
        <w:t>21</w:t>
      </w:r>
      <w:r>
        <w:fldChar w:fldCharType="end"/>
      </w:r>
      <w:r>
        <w:t xml:space="preserve"> and </w:t>
      </w:r>
      <w:r>
        <w:fldChar w:fldCharType="begin"/>
      </w:r>
      <w:r>
        <w:instrText xml:space="preserve"> REF _Ref4049993 \h </w:instrText>
      </w:r>
      <w:r>
        <w:fldChar w:fldCharType="separate"/>
      </w:r>
      <w:r w:rsidR="00B177F5">
        <w:t xml:space="preserve">Figure </w:t>
      </w:r>
      <w:r w:rsidR="00B177F5">
        <w:rPr>
          <w:noProof/>
        </w:rPr>
        <w:t>22</w:t>
      </w:r>
      <w:r>
        <w:fldChar w:fldCharType="end"/>
      </w:r>
      <w:r>
        <w:t>). There is evidence of similar increases in RN030695 (</w:t>
      </w:r>
      <w:r w:rsidR="005D74FF">
        <w:fldChar w:fldCharType="begin"/>
      </w:r>
      <w:r w:rsidR="005D74FF">
        <w:instrText xml:space="preserve"> REF _Ref5095202 \h </w:instrText>
      </w:r>
      <w:r w:rsidR="005D74FF">
        <w:fldChar w:fldCharType="separate"/>
      </w:r>
      <w:r w:rsidR="00B177F5">
        <w:t xml:space="preserve">Figure </w:t>
      </w:r>
      <w:r w:rsidR="00B177F5">
        <w:rPr>
          <w:noProof/>
        </w:rPr>
        <w:t>23</w:t>
      </w:r>
      <w:r w:rsidR="005D74FF">
        <w:fldChar w:fldCharType="end"/>
      </w:r>
      <w:r>
        <w:t>) and RN028087 (water levels have risen by approximately 4.5 m in this well since monitoring commenced in 1999) in the north</w:t>
      </w:r>
      <w:r w:rsidR="00737C45">
        <w:t>-</w:t>
      </w:r>
      <w:r>
        <w:t xml:space="preserve">west of the </w:t>
      </w:r>
      <w:r w:rsidR="00136CCF">
        <w:t>w</w:t>
      </w:r>
      <w:r>
        <w:t xml:space="preserve">estern Beetaloo </w:t>
      </w:r>
      <w:r w:rsidR="00136CCF">
        <w:t>GBA region</w:t>
      </w:r>
      <w:r>
        <w:t xml:space="preserve">. However, </w:t>
      </w:r>
      <w:r w:rsidRPr="00B329C4">
        <w:rPr>
          <w:rStyle w:val="BodyTextChar"/>
        </w:rPr>
        <w:t xml:space="preserve">the </w:t>
      </w:r>
      <w:r w:rsidR="005D74FF" w:rsidRPr="00B329C4">
        <w:rPr>
          <w:rStyle w:val="BodyTextChar"/>
        </w:rPr>
        <w:t xml:space="preserve">full </w:t>
      </w:r>
      <w:r w:rsidRPr="00B329C4">
        <w:rPr>
          <w:rStyle w:val="BodyTextChar"/>
        </w:rPr>
        <w:t xml:space="preserve">extent of increasing water levels is </w:t>
      </w:r>
      <w:r w:rsidR="005D74FF" w:rsidRPr="00B329C4">
        <w:rPr>
          <w:rStyle w:val="BodyTextChar"/>
        </w:rPr>
        <w:t>currently</w:t>
      </w:r>
      <w:r w:rsidR="005D74FF">
        <w:t xml:space="preserve"> </w:t>
      </w:r>
      <w:r>
        <w:t>uncertain because most DENR hydrographs do not cover the full date range of interest and Origin Energy did not provide water levels prior to 2014.</w:t>
      </w:r>
    </w:p>
    <w:p w14:paraId="096137DC" w14:textId="2C48CFB3" w:rsidR="00C863D9" w:rsidRDefault="00C863D9" w:rsidP="00C863D9">
      <w:r>
        <w:t xml:space="preserve">Some </w:t>
      </w:r>
      <w:r w:rsidRPr="00482B5C">
        <w:t xml:space="preserve">authors (e.g. </w:t>
      </w:r>
      <w:r w:rsidR="00F47820">
        <w:fldChar w:fldCharType="begin"/>
      </w:r>
      <w:r w:rsidR="00F76E0D">
        <w:instrText xml:space="preserve"> ADDIN EN.CITE &lt;EndNote&gt;&lt;Cite AuthorYear="1"&gt;&lt;Author&gt;Tickell&lt;/Author&gt;&lt;Year&gt;2009&lt;/Year&gt;&lt;RecNum&gt;991&lt;/RecNum&gt;&lt;DisplayText&gt;Tickell (2009)&lt;/DisplayText&gt;&lt;record&gt;&lt;rec-number&gt;991&lt;/rec-number&gt;&lt;foreign-keys&gt;&lt;key app="EN" db-id="wdf9tzzdhw2saee559kv0vezt0wfsta0zedv" timestamp="1557991360"&gt;991&lt;/key&gt;&lt;/foreign-keys&gt;&lt;ref-type name="Journal Article"&gt;17&lt;/ref-type&gt;&lt;contributors&gt;&lt;authors&gt;&lt;author&gt;Tickell, S.J.&lt;/author&gt;&lt;/authors&gt;&lt;/contributors&gt;&lt;titles&gt;&lt;title&gt;Daly Basin Drilling, 2009&lt;/title&gt;&lt;secondary-title&gt;Northern Territory Government Department of Natural Resources the Environment The Arts and Sport, Technical Report No. 08/2010D&lt;/secondary-title&gt;&lt;/titles&gt;&lt;periodical&gt;&lt;full-title&gt;Northern Territory Government Department of Natural Resources the Environment The Arts and Sport, Technical Report No. 08/2010D&lt;/full-title&gt;&lt;/periodical&gt;&lt;dates&gt;&lt;year&gt;2009&lt;/year&gt;&lt;/dates&gt;&lt;urls&gt;&lt;/urls&gt;&lt;/record&gt;&lt;/Cite&gt;&lt;/EndNote&gt;</w:instrText>
      </w:r>
      <w:r w:rsidR="00F47820">
        <w:fldChar w:fldCharType="separate"/>
      </w:r>
      <w:r w:rsidR="00F76E0D">
        <w:rPr>
          <w:noProof/>
        </w:rPr>
        <w:t>Tickell (2009)</w:t>
      </w:r>
      <w:r w:rsidR="00F47820">
        <w:fldChar w:fldCharType="end"/>
      </w:r>
      <w:r w:rsidR="007535FA">
        <w:t>)</w:t>
      </w:r>
      <w:r w:rsidRPr="00482B5C">
        <w:t xml:space="preserve"> report</w:t>
      </w:r>
      <w:r>
        <w:t xml:space="preserve"> that groundwater levels in the region have been increasing since the 1970s due to increases in rainfall</w:t>
      </w:r>
      <w:r w:rsidR="005D74FF">
        <w:t xml:space="preserve"> (</w:t>
      </w:r>
      <w:r w:rsidR="005D74FF">
        <w:fldChar w:fldCharType="begin"/>
      </w:r>
      <w:r w:rsidR="005D74FF">
        <w:instrText xml:space="preserve"> REF _Ref4423727 \h </w:instrText>
      </w:r>
      <w:r w:rsidR="005D74FF">
        <w:fldChar w:fldCharType="separate"/>
      </w:r>
      <w:r w:rsidR="00B177F5">
        <w:t xml:space="preserve">Figure </w:t>
      </w:r>
      <w:r w:rsidR="00B177F5">
        <w:rPr>
          <w:noProof/>
        </w:rPr>
        <w:t>20</w:t>
      </w:r>
      <w:r w:rsidR="005D74FF">
        <w:fldChar w:fldCharType="end"/>
      </w:r>
      <w:r w:rsidR="005D74FF">
        <w:t>)</w:t>
      </w:r>
      <w:r>
        <w:t xml:space="preserve">, but hydrographs are not available in the </w:t>
      </w:r>
      <w:r w:rsidR="007535FA">
        <w:t>Beetaloo GBA extended region</w:t>
      </w:r>
      <w:r>
        <w:t xml:space="preserve"> to confirm this. A comparison to historic</w:t>
      </w:r>
      <w:r w:rsidR="008867D1">
        <w:t>al</w:t>
      </w:r>
      <w:r>
        <w:t xml:space="preserve"> groundwater levels suggests that despite the post-1996 rises, the general pattern of depth to groundwater has probably remained similar to what is outlined in </w:t>
      </w:r>
      <w:r>
        <w:fldChar w:fldCharType="begin"/>
      </w:r>
      <w:r>
        <w:instrText xml:space="preserve"> REF _Ref3985270 \h </w:instrText>
      </w:r>
      <w:r>
        <w:fldChar w:fldCharType="separate"/>
      </w:r>
      <w:r w:rsidR="00B177F5">
        <w:t xml:space="preserve">Figure </w:t>
      </w:r>
      <w:r w:rsidR="00B177F5">
        <w:rPr>
          <w:noProof/>
        </w:rPr>
        <w:t>18</w:t>
      </w:r>
      <w:r>
        <w:fldChar w:fldCharType="end"/>
      </w:r>
      <w:r>
        <w:t xml:space="preserve">. </w:t>
      </w:r>
    </w:p>
    <w:p w14:paraId="71A8AB91" w14:textId="00D9D7A3" w:rsidR="00C863D9" w:rsidRDefault="003D2AD8" w:rsidP="00F607AE">
      <w:pPr>
        <w:pStyle w:val="Figures"/>
      </w:pPr>
      <w:r>
        <w:rPr>
          <w:noProof/>
        </w:rPr>
        <w:drawing>
          <wp:inline distT="0" distB="0" distL="0" distR="0" wp14:anchorId="253A8D80" wp14:editId="24502F87">
            <wp:extent cx="6428232" cy="4626864"/>
            <wp:effectExtent l="0" t="0" r="0" b="2540"/>
            <wp:docPr id="942078849" name="Picture 2" descr="T:\proj\ba2\Stage2\3_Beetaloo\MapsAndFigures\Figures\PnP_Figures_Groundwater\PP-279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78" cstate="screen">
                      <a:extLst>
                        <a:ext uri="{28A0092B-C50C-407E-A947-70E740481C1C}">
                          <a14:useLocalDpi xmlns:a14="http://schemas.microsoft.com/office/drawing/2010/main" val="0"/>
                        </a:ext>
                      </a:extLst>
                    </a:blip>
                    <a:stretch>
                      <a:fillRect/>
                    </a:stretch>
                  </pic:blipFill>
                  <pic:spPr>
                    <a:xfrm>
                      <a:off x="0" y="0"/>
                      <a:ext cx="6428232" cy="4626864"/>
                    </a:xfrm>
                    <a:prstGeom prst="rect">
                      <a:avLst/>
                    </a:prstGeom>
                  </pic:spPr>
                </pic:pic>
              </a:graphicData>
            </a:graphic>
          </wp:inline>
        </w:drawing>
      </w:r>
    </w:p>
    <w:p w14:paraId="6ECABFCD" w14:textId="605C8725" w:rsidR="00C863D9" w:rsidRDefault="00C863D9" w:rsidP="00C863D9">
      <w:pPr>
        <w:pStyle w:val="Caption"/>
      </w:pPr>
      <w:bookmarkStart w:id="571" w:name="_Ref4049914"/>
      <w:bookmarkStart w:id="572" w:name="_Toc4670957"/>
      <w:bookmarkStart w:id="573" w:name="_Toc4754377"/>
      <w:bookmarkStart w:id="574" w:name="_Toc5020762"/>
      <w:bookmarkStart w:id="575" w:name="_Toc5021569"/>
      <w:bookmarkStart w:id="576" w:name="_Toc5097095"/>
      <w:bookmarkStart w:id="577" w:name="_Toc5108487"/>
      <w:bookmarkStart w:id="578" w:name="_Toc5284152"/>
      <w:bookmarkStart w:id="579" w:name="_Toc5635366"/>
      <w:bookmarkStart w:id="580" w:name="_Toc5808325"/>
      <w:bookmarkStart w:id="581" w:name="_Toc5895017"/>
      <w:bookmarkStart w:id="582" w:name="_Toc6308906"/>
      <w:bookmarkStart w:id="583" w:name="_Toc6327571"/>
      <w:bookmarkStart w:id="584" w:name="_Toc38990475"/>
      <w:r>
        <w:t xml:space="preserve">Figure </w:t>
      </w:r>
      <w:r>
        <w:rPr>
          <w:noProof/>
        </w:rPr>
        <w:fldChar w:fldCharType="begin"/>
      </w:r>
      <w:r>
        <w:rPr>
          <w:noProof/>
        </w:rPr>
        <w:instrText xml:space="preserve"> SEQ Figure \* ARABIC </w:instrText>
      </w:r>
      <w:r>
        <w:rPr>
          <w:noProof/>
        </w:rPr>
        <w:fldChar w:fldCharType="separate"/>
      </w:r>
      <w:r w:rsidR="00B177F5">
        <w:rPr>
          <w:noProof/>
        </w:rPr>
        <w:t>21</w:t>
      </w:r>
      <w:r>
        <w:rPr>
          <w:noProof/>
        </w:rPr>
        <w:fldChar w:fldCharType="end"/>
      </w:r>
      <w:bookmarkEnd w:id="571"/>
      <w:r>
        <w:t xml:space="preserve"> </w:t>
      </w:r>
      <w:r w:rsidR="00E95C7C">
        <w:t>Groundwater h</w:t>
      </w:r>
      <w:r>
        <w:t>ydrograph for well RN022002</w:t>
      </w:r>
      <w:bookmarkEnd w:id="572"/>
      <w:bookmarkEnd w:id="573"/>
      <w:bookmarkEnd w:id="574"/>
      <w:bookmarkEnd w:id="575"/>
      <w:bookmarkEnd w:id="576"/>
      <w:bookmarkEnd w:id="577"/>
      <w:bookmarkEnd w:id="578"/>
      <w:bookmarkEnd w:id="579"/>
      <w:bookmarkEnd w:id="580"/>
      <w:bookmarkEnd w:id="581"/>
      <w:bookmarkEnd w:id="582"/>
      <w:bookmarkEnd w:id="583"/>
      <w:bookmarkEnd w:id="584"/>
    </w:p>
    <w:p w14:paraId="116E3028" w14:textId="23D54F76" w:rsidR="00644802" w:rsidRDefault="004C2B83" w:rsidP="00644802">
      <w:pPr>
        <w:pStyle w:val="SourceornoteforTableorFigure"/>
        <w:contextualSpacing/>
        <w:rPr>
          <w:rFonts w:cs="Calibri"/>
        </w:rPr>
      </w:pPr>
      <w:r>
        <w:t xml:space="preserve">Bore location is outlined on </w:t>
      </w:r>
      <w:r>
        <w:fldChar w:fldCharType="begin"/>
      </w:r>
      <w:r>
        <w:instrText xml:space="preserve"> REF _Ref4423282 \h </w:instrText>
      </w:r>
      <w:r>
        <w:fldChar w:fldCharType="separate"/>
      </w:r>
      <w:r w:rsidR="00B177F5">
        <w:t xml:space="preserve">Figure </w:t>
      </w:r>
      <w:r w:rsidR="00B177F5">
        <w:rPr>
          <w:noProof/>
        </w:rPr>
        <w:t>19</w:t>
      </w:r>
      <w:r>
        <w:fldChar w:fldCharType="end"/>
      </w:r>
      <w:r w:rsidR="007535FA">
        <w:t>.</w:t>
      </w:r>
      <w:r>
        <w:br/>
      </w:r>
      <w:r w:rsidR="007535FA">
        <w:t xml:space="preserve">m bgl = metres below groundwater level; </w:t>
      </w:r>
      <w:r>
        <w:t xml:space="preserve">WL (mAHD) = </w:t>
      </w:r>
      <w:r w:rsidR="007535FA">
        <w:t>w</w:t>
      </w:r>
      <w:r>
        <w:t>ater</w:t>
      </w:r>
      <w:r w:rsidR="007535FA">
        <w:t xml:space="preserve"> </w:t>
      </w:r>
      <w:r>
        <w:t>level (metres above Australian Height Datum)</w:t>
      </w:r>
      <w:r w:rsidR="00EC58EB">
        <w:br/>
      </w:r>
      <w:r w:rsidR="00644802" w:rsidRPr="00F001E0">
        <w:t>Data:</w:t>
      </w:r>
      <w:r w:rsidR="00DD01FF">
        <w:t xml:space="preserve"> </w:t>
      </w:r>
      <w:r w:rsidR="00DD01FF">
        <w:fldChar w:fldCharType="begin"/>
      </w:r>
      <w:r w:rsidR="005D0C32">
        <w:instrText xml:space="preserve"> ADDIN EN.CITE &lt;EndNote&gt;&lt;Cite AuthorYear="1"&gt;&lt;Author&gt;Department of Environment and Natural Resources (NT)&lt;/Author&gt;&lt;Year&gt;2018&lt;/Year&gt;&lt;RecNum&gt;1539&lt;/RecNum&gt;&lt;DisplayText&gt;Department of Environment and Natural Resources (NT) (2018b)&lt;/DisplayText&gt;&lt;record&gt;&lt;rec-number&gt;1539&lt;/rec-number&gt;&lt;foreign-keys&gt;&lt;key app="EN" db-id="wdf9tzzdhw2saee559kv0vezt0wfsta0zedv" timestamp="1587958185"&gt;1539&lt;/key&gt;&lt;/foreign-keys&gt;&lt;ref-type name="Dataset"&gt;59&lt;/ref-type&gt;&lt;contributors&gt;&lt;authors&gt;&lt;author&gt;Department of Environment and Natural Resources (NT),&lt;/author&gt;&lt;/authors&gt;&lt;secondary-authors&gt;&lt;author&gt;CSIRO,&lt;/author&gt;&lt;/secondary-authors&gt;&lt;/contributors&gt;&lt;titles&gt;&lt;title&gt;Waterlevels from monitoring bores in Beetaloo GBA region&lt;/title&gt;&lt;/titles&gt;&lt;keywords&gt;&lt;keyword&gt;GROUNDWATER Waterlevel&lt;/keyword&gt;&lt;/keywords&gt;&lt;dates&gt;&lt;year&gt;2018&lt;/year&gt;&lt;/dates&gt;&lt;pub-location&gt;Canberra&lt;/pub-location&gt;&lt;label&gt;F2B1B357-6F0E-4E33-8DFA-6F6FD1A95DEF&lt;/label&gt;&lt;urls&gt;&lt;related-urls&gt;&lt;url&gt;https://denr.nt.gov.au/&lt;/url&gt;&lt;/related-urls&gt;&lt;/urls&gt;&lt;custom2&gt;unit of observation&lt;/custom2&gt;&lt;custom3&gt;spatial&lt;/custom3&gt;&lt;custom4&gt;dataset&lt;/custom4&gt;&lt;access-date&gt;27 April 2020&lt;/access-date&gt;&lt;/record&gt;&lt;/Cite&gt;&lt;/EndNote&gt;</w:instrText>
      </w:r>
      <w:r w:rsidR="00DD01FF">
        <w:fldChar w:fldCharType="separate"/>
      </w:r>
      <w:r w:rsidR="005D0C32">
        <w:rPr>
          <w:noProof/>
        </w:rPr>
        <w:t>Department of Environment and Natural Resources (NT) (2018b)</w:t>
      </w:r>
      <w:r w:rsidR="00DD01FF">
        <w:fldChar w:fldCharType="end"/>
      </w:r>
      <w:r w:rsidR="004E0400">
        <w:t xml:space="preserve"> </w:t>
      </w:r>
      <w:r w:rsidR="00644802" w:rsidRPr="00F001E0">
        <w:t xml:space="preserve"> </w:t>
      </w:r>
      <w:r w:rsidR="00F001E0" w:rsidRPr="00F001E0">
        <w:t xml:space="preserve"> </w:t>
      </w:r>
    </w:p>
    <w:p w14:paraId="4B3A2262" w14:textId="1D6874D3" w:rsidR="00644802" w:rsidRPr="00A61A49" w:rsidRDefault="00644802" w:rsidP="00644802">
      <w:pPr>
        <w:pStyle w:val="SourceornoteforTableorFigure"/>
        <w:contextualSpacing/>
      </w:pPr>
      <w:r w:rsidRPr="00A61A49">
        <w:t xml:space="preserve">Element: </w:t>
      </w:r>
      <w:r w:rsidR="00B11329" w:rsidRPr="00B11329">
        <w:t>GBA-BEE-2-330</w:t>
      </w:r>
    </w:p>
    <w:p w14:paraId="732D0B7D" w14:textId="1B447044" w:rsidR="00C863D9" w:rsidRDefault="003D2AD8" w:rsidP="003E1F1E">
      <w:pPr>
        <w:pStyle w:val="Figures"/>
      </w:pPr>
      <w:r>
        <w:rPr>
          <w:noProof/>
        </w:rPr>
        <w:drawing>
          <wp:inline distT="0" distB="0" distL="0" distR="0" wp14:anchorId="2B150325" wp14:editId="05070B14">
            <wp:extent cx="6373368" cy="4590288"/>
            <wp:effectExtent l="0" t="0" r="8890" b="1270"/>
            <wp:docPr id="276568444" name="Picture 14" descr="T:\proj\ba2\Stage2\3_Beetaloo\MapsAndFigures\Figures\PnP_Figures_Groundwater\PP-279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pic:nvPicPr>
                  <pic:blipFill>
                    <a:blip r:embed="rId79" cstate="screen">
                      <a:extLst>
                        <a:ext uri="{28A0092B-C50C-407E-A947-70E740481C1C}">
                          <a14:useLocalDpi xmlns:a14="http://schemas.microsoft.com/office/drawing/2010/main" val="0"/>
                        </a:ext>
                      </a:extLst>
                    </a:blip>
                    <a:stretch>
                      <a:fillRect/>
                    </a:stretch>
                  </pic:blipFill>
                  <pic:spPr>
                    <a:xfrm>
                      <a:off x="0" y="0"/>
                      <a:ext cx="6373368" cy="4590288"/>
                    </a:xfrm>
                    <a:prstGeom prst="rect">
                      <a:avLst/>
                    </a:prstGeom>
                  </pic:spPr>
                </pic:pic>
              </a:graphicData>
            </a:graphic>
          </wp:inline>
        </w:drawing>
      </w:r>
    </w:p>
    <w:p w14:paraId="0D5A8846" w14:textId="19B21657" w:rsidR="00C863D9" w:rsidRDefault="00C863D9" w:rsidP="00C863D9">
      <w:pPr>
        <w:pStyle w:val="Caption"/>
      </w:pPr>
      <w:bookmarkStart w:id="585" w:name="_Ref4049993"/>
      <w:bookmarkStart w:id="586" w:name="_Toc4670958"/>
      <w:bookmarkStart w:id="587" w:name="_Toc4754378"/>
      <w:bookmarkStart w:id="588" w:name="_Toc5020763"/>
      <w:bookmarkStart w:id="589" w:name="_Toc5021570"/>
      <w:bookmarkStart w:id="590" w:name="_Toc5097096"/>
      <w:bookmarkStart w:id="591" w:name="_Toc5108488"/>
      <w:bookmarkStart w:id="592" w:name="_Toc5284153"/>
      <w:bookmarkStart w:id="593" w:name="_Toc5635367"/>
      <w:bookmarkStart w:id="594" w:name="_Toc5808326"/>
      <w:bookmarkStart w:id="595" w:name="_Toc5895018"/>
      <w:bookmarkStart w:id="596" w:name="_Toc6308907"/>
      <w:bookmarkStart w:id="597" w:name="_Toc6327572"/>
      <w:bookmarkStart w:id="598" w:name="_Toc38990476"/>
      <w:r>
        <w:t xml:space="preserve">Figure </w:t>
      </w:r>
      <w:r>
        <w:rPr>
          <w:noProof/>
        </w:rPr>
        <w:fldChar w:fldCharType="begin"/>
      </w:r>
      <w:r>
        <w:rPr>
          <w:noProof/>
        </w:rPr>
        <w:instrText xml:space="preserve"> SEQ Figure \* ARABIC </w:instrText>
      </w:r>
      <w:r>
        <w:rPr>
          <w:noProof/>
        </w:rPr>
        <w:fldChar w:fldCharType="separate"/>
      </w:r>
      <w:r w:rsidR="00B177F5">
        <w:rPr>
          <w:noProof/>
        </w:rPr>
        <w:t>22</w:t>
      </w:r>
      <w:r>
        <w:rPr>
          <w:noProof/>
        </w:rPr>
        <w:fldChar w:fldCharType="end"/>
      </w:r>
      <w:bookmarkEnd w:id="585"/>
      <w:r>
        <w:t xml:space="preserve"> </w:t>
      </w:r>
      <w:r w:rsidR="00E95C7C">
        <w:t>Groundwater h</w:t>
      </w:r>
      <w:r w:rsidR="00F001E0">
        <w:t>ydrograph</w:t>
      </w:r>
      <w:r>
        <w:t xml:space="preserve"> for well RN020509</w:t>
      </w:r>
      <w:bookmarkEnd w:id="586"/>
      <w:bookmarkEnd w:id="587"/>
      <w:bookmarkEnd w:id="588"/>
      <w:bookmarkEnd w:id="589"/>
      <w:bookmarkEnd w:id="590"/>
      <w:bookmarkEnd w:id="591"/>
      <w:bookmarkEnd w:id="592"/>
      <w:bookmarkEnd w:id="593"/>
      <w:bookmarkEnd w:id="594"/>
      <w:bookmarkEnd w:id="595"/>
      <w:bookmarkEnd w:id="596"/>
      <w:bookmarkEnd w:id="597"/>
      <w:bookmarkEnd w:id="598"/>
    </w:p>
    <w:p w14:paraId="14D58B45" w14:textId="3684F961" w:rsidR="00F001E0" w:rsidRPr="00F001E0" w:rsidRDefault="004C2B83" w:rsidP="00F001E0">
      <w:pPr>
        <w:pStyle w:val="SourceornoteforTableorFigure"/>
        <w:contextualSpacing/>
      </w:pPr>
      <w:r>
        <w:t xml:space="preserve">Bore location is outlined on </w:t>
      </w:r>
      <w:r>
        <w:fldChar w:fldCharType="begin"/>
      </w:r>
      <w:r>
        <w:instrText xml:space="preserve"> REF _Ref4423282 \h </w:instrText>
      </w:r>
      <w:r>
        <w:fldChar w:fldCharType="separate"/>
      </w:r>
      <w:r w:rsidR="00B177F5">
        <w:t xml:space="preserve">Figure </w:t>
      </w:r>
      <w:r w:rsidR="00B177F5">
        <w:rPr>
          <w:noProof/>
        </w:rPr>
        <w:t>19</w:t>
      </w:r>
      <w:r>
        <w:fldChar w:fldCharType="end"/>
      </w:r>
      <w:r w:rsidR="00225452">
        <w:t>.</w:t>
      </w:r>
      <w:r>
        <w:br/>
      </w:r>
      <w:r w:rsidR="007535FA">
        <w:t xml:space="preserve">m bgl = metres below groundwater level; </w:t>
      </w:r>
      <w:r>
        <w:t xml:space="preserve">WL (mAHD) = </w:t>
      </w:r>
      <w:r w:rsidR="007535FA">
        <w:t>w</w:t>
      </w:r>
      <w:r>
        <w:t>ater</w:t>
      </w:r>
      <w:r w:rsidR="007535FA">
        <w:t xml:space="preserve"> </w:t>
      </w:r>
      <w:r>
        <w:t>level (metres above Australian Height Datum)</w:t>
      </w:r>
      <w:r w:rsidR="00EC58EB">
        <w:br/>
      </w:r>
      <w:r w:rsidR="00F001E0" w:rsidRPr="00F001E0">
        <w:t xml:space="preserve">Data: </w:t>
      </w:r>
      <w:r w:rsidR="006E541C">
        <w:fldChar w:fldCharType="begin">
          <w:fldData xml:space="preserve">PEVuZE5vdGU+PENpdGUgQXV0aG9yWWVhcj0iMSI+PEF1dGhvcj5EZXBhcnRtZW50IG9mIEVudmly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</w:fldData>
        </w:fldChar>
      </w:r>
      <w:r w:rsidR="005D0C32">
        <w:instrText xml:space="preserve"> ADDIN EN.CITE </w:instrText>
      </w:r>
      <w:r w:rsidR="005D0C32">
        <w:fldChar w:fldCharType="begin">
          <w:fldData xml:space="preserve">PEVuZE5vdGU+PENpdGUgQXV0aG9yWWVhcj0iMSI+PEF1dGhvcj5EZXBhcnRtZW50IG9mIEVudmly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</w:fldData>
        </w:fldChar>
      </w:r>
      <w:r w:rsidR="005D0C32">
        <w:instrText xml:space="preserve"> ADDIN EN.CITE.DATA </w:instrText>
      </w:r>
      <w:r w:rsidR="005D0C32">
        <w:fldChar w:fldCharType="end"/>
      </w:r>
      <w:r w:rsidR="006E541C">
        <w:fldChar w:fldCharType="separate"/>
      </w:r>
      <w:r w:rsidR="005D0C32">
        <w:rPr>
          <w:noProof/>
        </w:rPr>
        <w:t>Department of Environment and Natural Resources (NT) (2018b)</w:t>
      </w:r>
      <w:r w:rsidR="006E541C">
        <w:fldChar w:fldCharType="end"/>
      </w:r>
      <w:r w:rsidR="00DB7111">
        <w:t xml:space="preserve"> </w:t>
      </w:r>
    </w:p>
    <w:p w14:paraId="5F4C9754" w14:textId="5D2B0674" w:rsidR="00F001E0" w:rsidRPr="00A61A49" w:rsidRDefault="00F001E0" w:rsidP="00F001E0">
      <w:pPr>
        <w:pStyle w:val="SourceornoteforTableorFigure"/>
        <w:contextualSpacing/>
      </w:pPr>
      <w:r w:rsidRPr="00A61A49">
        <w:t xml:space="preserve">Element: </w:t>
      </w:r>
      <w:r w:rsidR="00B11329" w:rsidRPr="00B11329">
        <w:t>GBA-BEE-2-331</w:t>
      </w:r>
    </w:p>
    <w:p w14:paraId="652A8BF1" w14:textId="2D682262" w:rsidR="00C863D9" w:rsidRPr="002A1DFE" w:rsidRDefault="003D2AD8" w:rsidP="003E1F1E">
      <w:pPr>
        <w:pStyle w:val="Figures"/>
      </w:pPr>
      <w:r>
        <w:rPr>
          <w:noProof/>
        </w:rPr>
        <w:drawing>
          <wp:inline distT="0" distB="0" distL="0" distR="0" wp14:anchorId="02A5E19F" wp14:editId="3B458462">
            <wp:extent cx="6400800" cy="4594512"/>
            <wp:effectExtent l="0" t="0" r="0" b="0"/>
            <wp:docPr id="62399503" name="Picture 20" descr="T:\proj\ba2\Stage2\3_Beetaloo\MapsAndFigures\Figures\PnP_Figures_Groundwater\PP-279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80" cstate="screen">
                      <a:extLst>
                        <a:ext uri="{28A0092B-C50C-407E-A947-70E740481C1C}">
                          <a14:useLocalDpi xmlns:a14="http://schemas.microsoft.com/office/drawing/2010/main" val="0"/>
                        </a:ext>
                      </a:extLst>
                    </a:blip>
                    <a:stretch>
                      <a:fillRect/>
                    </a:stretch>
                  </pic:blipFill>
                  <pic:spPr>
                    <a:xfrm>
                      <a:off x="0" y="0"/>
                      <a:ext cx="6400800" cy="4594512"/>
                    </a:xfrm>
                    <a:prstGeom prst="rect">
                      <a:avLst/>
                    </a:prstGeom>
                  </pic:spPr>
                </pic:pic>
              </a:graphicData>
            </a:graphic>
          </wp:inline>
        </w:drawing>
      </w:r>
    </w:p>
    <w:p w14:paraId="4EAC53F2" w14:textId="25FCDEDC" w:rsidR="00C863D9" w:rsidRDefault="00C863D9" w:rsidP="00C863D9">
      <w:pPr>
        <w:pStyle w:val="Caption"/>
      </w:pPr>
      <w:bookmarkStart w:id="599" w:name="_Ref5095202"/>
      <w:bookmarkStart w:id="600" w:name="_Toc4670959"/>
      <w:bookmarkStart w:id="601" w:name="_Toc4754379"/>
      <w:bookmarkStart w:id="602" w:name="_Toc5020764"/>
      <w:bookmarkStart w:id="603" w:name="_Toc5021571"/>
      <w:bookmarkStart w:id="604" w:name="_Toc5097097"/>
      <w:bookmarkStart w:id="605" w:name="_Toc5108489"/>
      <w:bookmarkStart w:id="606" w:name="_Toc5284154"/>
      <w:bookmarkStart w:id="607" w:name="_Toc5635368"/>
      <w:bookmarkStart w:id="608" w:name="_Toc5808327"/>
      <w:bookmarkStart w:id="609" w:name="_Toc5895019"/>
      <w:bookmarkStart w:id="610" w:name="_Toc6308908"/>
      <w:bookmarkStart w:id="611" w:name="_Toc6327573"/>
      <w:bookmarkStart w:id="612" w:name="_Toc38990477"/>
      <w:r>
        <w:t xml:space="preserve">Figure </w:t>
      </w:r>
      <w:r>
        <w:rPr>
          <w:noProof/>
        </w:rPr>
        <w:fldChar w:fldCharType="begin"/>
      </w:r>
      <w:r>
        <w:rPr>
          <w:noProof/>
        </w:rPr>
        <w:instrText xml:space="preserve"> SEQ Figure \* ARABIC </w:instrText>
      </w:r>
      <w:r>
        <w:rPr>
          <w:noProof/>
        </w:rPr>
        <w:fldChar w:fldCharType="separate"/>
      </w:r>
      <w:r w:rsidR="00B177F5">
        <w:rPr>
          <w:noProof/>
        </w:rPr>
        <w:t>23</w:t>
      </w:r>
      <w:r>
        <w:rPr>
          <w:noProof/>
        </w:rPr>
        <w:fldChar w:fldCharType="end"/>
      </w:r>
      <w:bookmarkEnd w:id="599"/>
      <w:r>
        <w:t xml:space="preserve"> Groundwater hydrograph for well RN0</w:t>
      </w:r>
      <w:r w:rsidR="00F001E0">
        <w:t>30695</w:t>
      </w:r>
      <w:bookmarkEnd w:id="600"/>
      <w:bookmarkEnd w:id="601"/>
      <w:bookmarkEnd w:id="602"/>
      <w:bookmarkEnd w:id="603"/>
      <w:bookmarkEnd w:id="604"/>
      <w:bookmarkEnd w:id="605"/>
      <w:bookmarkEnd w:id="606"/>
      <w:bookmarkEnd w:id="607"/>
      <w:bookmarkEnd w:id="608"/>
      <w:bookmarkEnd w:id="609"/>
      <w:bookmarkEnd w:id="610"/>
      <w:bookmarkEnd w:id="611"/>
      <w:bookmarkEnd w:id="612"/>
    </w:p>
    <w:p w14:paraId="71FA7BCB" w14:textId="7E904AAA" w:rsidR="00F001E0" w:rsidRPr="00F001E0" w:rsidRDefault="004C2B83" w:rsidP="00F001E0">
      <w:pPr>
        <w:pStyle w:val="SourceornoteforTableorFigure"/>
        <w:contextualSpacing/>
      </w:pPr>
      <w:r>
        <w:t xml:space="preserve">Bore location is outlined on </w:t>
      </w:r>
      <w:r>
        <w:fldChar w:fldCharType="begin"/>
      </w:r>
      <w:r>
        <w:instrText xml:space="preserve"> REF _Ref4423282 \h </w:instrText>
      </w:r>
      <w:r>
        <w:fldChar w:fldCharType="separate"/>
      </w:r>
      <w:r w:rsidR="00B177F5">
        <w:t xml:space="preserve">Figure </w:t>
      </w:r>
      <w:r w:rsidR="00B177F5">
        <w:rPr>
          <w:noProof/>
        </w:rPr>
        <w:t>19</w:t>
      </w:r>
      <w:r>
        <w:fldChar w:fldCharType="end"/>
      </w:r>
      <w:r w:rsidR="00225452">
        <w:t>.</w:t>
      </w:r>
      <w:r>
        <w:br/>
      </w:r>
      <w:r w:rsidR="007535FA">
        <w:t xml:space="preserve">m bgl = metres below groundwater level; </w:t>
      </w:r>
      <w:r>
        <w:t xml:space="preserve">WL (mAHD) = </w:t>
      </w:r>
      <w:r w:rsidR="007535FA">
        <w:t>w</w:t>
      </w:r>
      <w:r>
        <w:t>ater</w:t>
      </w:r>
      <w:r w:rsidR="007535FA">
        <w:t xml:space="preserve"> </w:t>
      </w:r>
      <w:r>
        <w:t>level (metres above Australian Height Datum)</w:t>
      </w:r>
      <w:r w:rsidR="00EC58EB">
        <w:br/>
      </w:r>
      <w:r w:rsidR="00F001E0" w:rsidRPr="00F001E0">
        <w:t xml:space="preserve">Data: </w:t>
      </w:r>
      <w:r w:rsidR="00DD01FF">
        <w:fldChar w:fldCharType="begin"/>
      </w:r>
      <w:r w:rsidR="005D0C32">
        <w:instrText xml:space="preserve"> ADDIN EN.CITE &lt;EndNote&gt;&lt;Cite AuthorYear="1"&gt;&lt;Author&gt;Department of Environment and Natural Resources (NT)&lt;/Author&gt;&lt;Year&gt;2018&lt;/Year&gt;&lt;RecNum&gt;1539&lt;/RecNum&gt;&lt;DisplayText&gt;Department of Environment and Natural Resources (NT) (2018b)&lt;/DisplayText&gt;&lt;record&gt;&lt;rec-number&gt;1539&lt;/rec-number&gt;&lt;foreign-keys&gt;&lt;key app="EN" db-id="wdf9tzzdhw2saee559kv0vezt0wfsta0zedv" timestamp="1587958185"&gt;1539&lt;/key&gt;&lt;/foreign-keys&gt;&lt;ref-type name="Dataset"&gt;59&lt;/ref-type&gt;&lt;contributors&gt;&lt;authors&gt;&lt;author&gt;Department of Environment and Natural Resources (NT),&lt;/author&gt;&lt;/authors&gt;&lt;secondary-authors&gt;&lt;author&gt;CSIRO,&lt;/author&gt;&lt;/secondary-authors&gt;&lt;/contributors&gt;&lt;titles&gt;&lt;title&gt;Waterlevels from monitoring bores in Beetaloo GBA region&lt;/title&gt;&lt;/titles&gt;&lt;keywords&gt;&lt;keyword&gt;GROUNDWATER Waterlevel&lt;/keyword&gt;&lt;/keywords&gt;&lt;dates&gt;&lt;year&gt;2018&lt;/year&gt;&lt;/dates&gt;&lt;pub-location&gt;Canberra&lt;/pub-location&gt;&lt;label&gt;F2B1B357-6F0E-4E33-8DFA-6F6FD1A95DEF&lt;/label&gt;&lt;urls&gt;&lt;related-urls&gt;&lt;url&gt;https://denr.nt.gov.au/&lt;/url&gt;&lt;/related-urls&gt;&lt;/urls&gt;&lt;custom2&gt;unit of observation&lt;/custom2&gt;&lt;custom3&gt;spatial&lt;/custom3&gt;&lt;custom4&gt;dataset&lt;/custom4&gt;&lt;access-date&gt;27 April 2020&lt;/access-date&gt;&lt;/record&gt;&lt;/Cite&gt;&lt;/EndNote&gt;</w:instrText>
      </w:r>
      <w:r w:rsidR="00DD01FF">
        <w:fldChar w:fldCharType="separate"/>
      </w:r>
      <w:r w:rsidR="005D0C32">
        <w:rPr>
          <w:noProof/>
        </w:rPr>
        <w:t>Department of Environment and Natural Resources (NT) (2018b)</w:t>
      </w:r>
      <w:r w:rsidR="00DD01FF">
        <w:fldChar w:fldCharType="end"/>
      </w:r>
      <w:r w:rsidR="00DD01FF">
        <w:t xml:space="preserve"> </w:t>
      </w:r>
      <w:r w:rsidR="00F001E0" w:rsidRPr="00F001E0">
        <w:t xml:space="preserve"> </w:t>
      </w:r>
    </w:p>
    <w:p w14:paraId="316C1C13" w14:textId="0C579F3F" w:rsidR="00F001E0" w:rsidRPr="00A61A49" w:rsidRDefault="00F001E0" w:rsidP="00F001E0">
      <w:pPr>
        <w:pStyle w:val="SourceornoteforTableorFigure"/>
        <w:contextualSpacing/>
      </w:pPr>
      <w:r w:rsidRPr="00A61A49">
        <w:t xml:space="preserve">Element: </w:t>
      </w:r>
      <w:r w:rsidR="00B11329" w:rsidRPr="00B11329">
        <w:t>GBA-BEE-2-332</w:t>
      </w:r>
    </w:p>
    <w:p w14:paraId="452ADEB7" w14:textId="26A7C606" w:rsidR="00F001E0" w:rsidRPr="00F001E0" w:rsidRDefault="003D2AD8" w:rsidP="003E1F1E">
      <w:pPr>
        <w:pStyle w:val="Figures"/>
      </w:pPr>
      <w:r>
        <w:rPr>
          <w:noProof/>
        </w:rPr>
        <w:drawing>
          <wp:inline distT="0" distB="0" distL="0" distR="0" wp14:anchorId="1829C0AA" wp14:editId="6DF261C1">
            <wp:extent cx="6400800" cy="4572000"/>
            <wp:effectExtent l="0" t="0" r="0" b="0"/>
            <wp:docPr id="1308618357" name="Picture 21" descr="T:\proj\ba2\Stage2\3_Beetaloo\MapsAndFigures\Figures\PnP_Figures_Groundwater\PP-279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81" cstate="screen">
                      <a:extLst>
                        <a:ext uri="{28A0092B-C50C-407E-A947-70E740481C1C}">
                          <a14:useLocalDpi xmlns:a14="http://schemas.microsoft.com/office/drawing/2010/main" val="0"/>
                        </a:ext>
                      </a:extLst>
                    </a:blip>
                    <a:stretch>
                      <a:fillRect/>
                    </a:stretch>
                  </pic:blipFill>
                  <pic:spPr>
                    <a:xfrm>
                      <a:off x="0" y="0"/>
                      <a:ext cx="6400800" cy="4572000"/>
                    </a:xfrm>
                    <a:prstGeom prst="rect">
                      <a:avLst/>
                    </a:prstGeom>
                  </pic:spPr>
                </pic:pic>
              </a:graphicData>
            </a:graphic>
          </wp:inline>
        </w:drawing>
      </w:r>
    </w:p>
    <w:p w14:paraId="31EEF145" w14:textId="7042F279" w:rsidR="00C863D9" w:rsidRDefault="00C863D9" w:rsidP="00C863D9">
      <w:pPr>
        <w:pStyle w:val="Caption"/>
      </w:pPr>
      <w:bookmarkStart w:id="613" w:name="_Ref4050593"/>
      <w:bookmarkStart w:id="614" w:name="_Toc4670960"/>
      <w:bookmarkStart w:id="615" w:name="_Toc4754380"/>
      <w:bookmarkStart w:id="616" w:name="_Toc5020765"/>
      <w:bookmarkStart w:id="617" w:name="_Toc5021572"/>
      <w:bookmarkStart w:id="618" w:name="_Toc5097098"/>
      <w:bookmarkStart w:id="619" w:name="_Toc5108490"/>
      <w:bookmarkStart w:id="620" w:name="_Toc5284155"/>
      <w:bookmarkStart w:id="621" w:name="_Toc5635369"/>
      <w:bookmarkStart w:id="622" w:name="_Toc5808328"/>
      <w:bookmarkStart w:id="623" w:name="_Toc5895020"/>
      <w:bookmarkStart w:id="624" w:name="_Toc6308909"/>
      <w:bookmarkStart w:id="625" w:name="_Toc6327574"/>
      <w:bookmarkStart w:id="626" w:name="_Toc38990478"/>
      <w:r>
        <w:t xml:space="preserve">Figure </w:t>
      </w:r>
      <w:r>
        <w:rPr>
          <w:noProof/>
        </w:rPr>
        <w:fldChar w:fldCharType="begin"/>
      </w:r>
      <w:r>
        <w:rPr>
          <w:noProof/>
        </w:rPr>
        <w:instrText xml:space="preserve"> SEQ Figure \* ARABIC </w:instrText>
      </w:r>
      <w:r>
        <w:rPr>
          <w:noProof/>
        </w:rPr>
        <w:fldChar w:fldCharType="separate"/>
      </w:r>
      <w:r w:rsidR="00B177F5">
        <w:rPr>
          <w:noProof/>
        </w:rPr>
        <w:t>24</w:t>
      </w:r>
      <w:r>
        <w:rPr>
          <w:noProof/>
        </w:rPr>
        <w:fldChar w:fldCharType="end"/>
      </w:r>
      <w:bookmarkEnd w:id="613"/>
      <w:r>
        <w:t xml:space="preserve"> Groundwater hydrograph for well RN03</w:t>
      </w:r>
      <w:r w:rsidR="00F001E0">
        <w:t>5926</w:t>
      </w:r>
      <w:bookmarkEnd w:id="614"/>
      <w:bookmarkEnd w:id="615"/>
      <w:bookmarkEnd w:id="616"/>
      <w:bookmarkEnd w:id="617"/>
      <w:bookmarkEnd w:id="618"/>
      <w:bookmarkEnd w:id="619"/>
      <w:bookmarkEnd w:id="620"/>
      <w:bookmarkEnd w:id="621"/>
      <w:bookmarkEnd w:id="622"/>
      <w:bookmarkEnd w:id="623"/>
      <w:bookmarkEnd w:id="624"/>
      <w:bookmarkEnd w:id="625"/>
      <w:bookmarkEnd w:id="626"/>
    </w:p>
    <w:p w14:paraId="7151EE4B" w14:textId="4FE77104" w:rsidR="00F001E0" w:rsidRPr="00F001E0" w:rsidRDefault="004C2B83" w:rsidP="00F001E0">
      <w:pPr>
        <w:pStyle w:val="SourceornoteforTableorFigure"/>
        <w:contextualSpacing/>
      </w:pPr>
      <w:r>
        <w:t xml:space="preserve">Bore location is outlined on </w:t>
      </w:r>
      <w:r>
        <w:fldChar w:fldCharType="begin"/>
      </w:r>
      <w:r>
        <w:instrText xml:space="preserve"> REF _Ref4423282 \h </w:instrText>
      </w:r>
      <w:r>
        <w:fldChar w:fldCharType="separate"/>
      </w:r>
      <w:r w:rsidR="00B177F5">
        <w:t xml:space="preserve">Figure </w:t>
      </w:r>
      <w:r w:rsidR="00B177F5">
        <w:rPr>
          <w:noProof/>
        </w:rPr>
        <w:t>19</w:t>
      </w:r>
      <w:r>
        <w:fldChar w:fldCharType="end"/>
      </w:r>
      <w:r w:rsidR="00225452">
        <w:t>.</w:t>
      </w:r>
      <w:r>
        <w:br/>
      </w:r>
      <w:r w:rsidR="007535FA">
        <w:t xml:space="preserve">m bgl = metres below groundwater level; </w:t>
      </w:r>
      <w:r>
        <w:t xml:space="preserve">WL (mAHD) = </w:t>
      </w:r>
      <w:r w:rsidR="007535FA">
        <w:t>w</w:t>
      </w:r>
      <w:r>
        <w:t>ater</w:t>
      </w:r>
      <w:r w:rsidR="007535FA">
        <w:t xml:space="preserve"> </w:t>
      </w:r>
      <w:r>
        <w:t>level (metres above Australian Height Datum)</w:t>
      </w:r>
      <w:r w:rsidR="00EC58EB">
        <w:br/>
      </w:r>
      <w:r w:rsidR="00F001E0" w:rsidRPr="00F001E0">
        <w:t>Data:</w:t>
      </w:r>
      <w:r w:rsidR="00DD01FF">
        <w:t xml:space="preserve"> </w:t>
      </w:r>
      <w:r w:rsidR="00DD01FF">
        <w:fldChar w:fldCharType="begin"/>
      </w:r>
      <w:r w:rsidR="005D0C32">
        <w:instrText xml:space="preserve"> ADDIN EN.CITE &lt;EndNote&gt;&lt;Cite AuthorYear="1"&gt;&lt;Author&gt;Department of Environment and Natural Resources (NT)&lt;/Author&gt;&lt;Year&gt;2018&lt;/Year&gt;&lt;RecNum&gt;1539&lt;/RecNum&gt;&lt;DisplayText&gt;Department of Environment and Natural Resources (NT) (2018b)&lt;/DisplayText&gt;&lt;record&gt;&lt;rec-number&gt;1539&lt;/rec-number&gt;&lt;foreign-keys&gt;&lt;key app="EN" db-id="wdf9tzzdhw2saee559kv0vezt0wfsta0zedv" timestamp="1587958185"&gt;1539&lt;/key&gt;&lt;/foreign-keys&gt;&lt;ref-type name="Dataset"&gt;59&lt;/ref-type&gt;&lt;contributors&gt;&lt;authors&gt;&lt;author&gt;Department of Environment and Natural Resources (NT),&lt;/author&gt;&lt;/authors&gt;&lt;secondary-authors&gt;&lt;author&gt;CSIRO,&lt;/author&gt;&lt;/secondary-authors&gt;&lt;/contributors&gt;&lt;titles&gt;&lt;title&gt;Waterlevels from monitoring bores in Beetaloo GBA region&lt;/title&gt;&lt;/titles&gt;&lt;keywords&gt;&lt;keyword&gt;GROUNDWATER Waterlevel&lt;/keyword&gt;&lt;/keywords&gt;&lt;dates&gt;&lt;year&gt;2018&lt;/year&gt;&lt;/dates&gt;&lt;pub-location&gt;Canberra&lt;/pub-location&gt;&lt;label&gt;F2B1B357-6F0E-4E33-8DFA-6F6FD1A95DEF&lt;/label&gt;&lt;urls&gt;&lt;related-urls&gt;&lt;url&gt;https://denr.nt.gov.au/&lt;/url&gt;&lt;/related-urls&gt;&lt;/urls&gt;&lt;custom2&gt;unit of observation&lt;/custom2&gt;&lt;custom3&gt;spatial&lt;/custom3&gt;&lt;custom4&gt;dataset&lt;/custom4&gt;&lt;access-date&gt;27 April 2020&lt;/access-date&gt;&lt;/record&gt;&lt;/Cite&gt;&lt;/EndNote&gt;</w:instrText>
      </w:r>
      <w:r w:rsidR="00DD01FF">
        <w:fldChar w:fldCharType="separate"/>
      </w:r>
      <w:r w:rsidR="005D0C32">
        <w:rPr>
          <w:noProof/>
        </w:rPr>
        <w:t>Department of Environment and Natural Resources (NT) (2018b)</w:t>
      </w:r>
      <w:r w:rsidR="00DD01FF">
        <w:fldChar w:fldCharType="end"/>
      </w:r>
      <w:r w:rsidR="00F001E0" w:rsidRPr="00F001E0">
        <w:t xml:space="preserve">  </w:t>
      </w:r>
    </w:p>
    <w:p w14:paraId="6F2FAB0E" w14:textId="2A28CFD9" w:rsidR="00F001E0" w:rsidRPr="00A61A49" w:rsidRDefault="00F001E0" w:rsidP="00F001E0">
      <w:pPr>
        <w:pStyle w:val="SourceornoteforTableorFigure"/>
        <w:contextualSpacing/>
      </w:pPr>
      <w:r w:rsidRPr="00A61A49">
        <w:t xml:space="preserve">Element: </w:t>
      </w:r>
      <w:r w:rsidR="00B11329" w:rsidRPr="00B11329">
        <w:t>GBA-BEE-2-333</w:t>
      </w:r>
    </w:p>
    <w:p w14:paraId="107BDDE4" w14:textId="77777777" w:rsidR="00F001E0" w:rsidRPr="00F001E0" w:rsidRDefault="00F001E0" w:rsidP="00F001E0">
      <w:pPr>
        <w:pStyle w:val="BodyText"/>
      </w:pPr>
    </w:p>
    <w:p w14:paraId="36AAACF9" w14:textId="322BA957" w:rsidR="00C863D9" w:rsidRDefault="003D2AD8" w:rsidP="003E1F1E">
      <w:pPr>
        <w:pStyle w:val="Figures"/>
      </w:pPr>
      <w:r>
        <w:rPr>
          <w:noProof/>
        </w:rPr>
        <w:drawing>
          <wp:inline distT="0" distB="0" distL="0" distR="0" wp14:anchorId="431B49BB" wp14:editId="4082CE08">
            <wp:extent cx="6426202" cy="4600575"/>
            <wp:effectExtent l="0" t="0" r="0" b="9525"/>
            <wp:docPr id="106291101" name="Picture 24" descr="T:\proj\ba2\Stage2\3_Beetaloo\MapsAndFigures\Figures\PnP_Figures_Groundwater\PP-279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82" cstate="screen">
                      <a:extLst>
                        <a:ext uri="{28A0092B-C50C-407E-A947-70E740481C1C}">
                          <a14:useLocalDpi xmlns:a14="http://schemas.microsoft.com/office/drawing/2010/main" val="0"/>
                        </a:ext>
                      </a:extLst>
                    </a:blip>
                    <a:stretch>
                      <a:fillRect/>
                    </a:stretch>
                  </pic:blipFill>
                  <pic:spPr>
                    <a:xfrm>
                      <a:off x="0" y="0"/>
                      <a:ext cx="6426202" cy="4600575"/>
                    </a:xfrm>
                    <a:prstGeom prst="rect">
                      <a:avLst/>
                    </a:prstGeom>
                  </pic:spPr>
                </pic:pic>
              </a:graphicData>
            </a:graphic>
          </wp:inline>
        </w:drawing>
      </w:r>
    </w:p>
    <w:p w14:paraId="4CBA9C2E" w14:textId="0E0A666F" w:rsidR="00C863D9" w:rsidRDefault="00C863D9" w:rsidP="00C863D9">
      <w:pPr>
        <w:pStyle w:val="Caption"/>
      </w:pPr>
      <w:bookmarkStart w:id="627" w:name="_Ref4054363"/>
      <w:bookmarkStart w:id="628" w:name="_Toc4670961"/>
      <w:bookmarkStart w:id="629" w:name="_Toc4754381"/>
      <w:bookmarkStart w:id="630" w:name="_Toc5020766"/>
      <w:bookmarkStart w:id="631" w:name="_Toc5021573"/>
      <w:bookmarkStart w:id="632" w:name="_Toc5097099"/>
      <w:bookmarkStart w:id="633" w:name="_Toc5108491"/>
      <w:bookmarkStart w:id="634" w:name="_Toc5284156"/>
      <w:bookmarkStart w:id="635" w:name="_Toc5635370"/>
      <w:bookmarkStart w:id="636" w:name="_Toc5808329"/>
      <w:bookmarkStart w:id="637" w:name="_Toc5895021"/>
      <w:bookmarkStart w:id="638" w:name="_Toc6308910"/>
      <w:bookmarkStart w:id="639" w:name="_Toc6327575"/>
      <w:bookmarkStart w:id="640" w:name="_Toc38990479"/>
      <w:r>
        <w:t xml:space="preserve">Figure </w:t>
      </w:r>
      <w:r>
        <w:rPr>
          <w:noProof/>
        </w:rPr>
        <w:fldChar w:fldCharType="begin"/>
      </w:r>
      <w:r>
        <w:rPr>
          <w:noProof/>
        </w:rPr>
        <w:instrText xml:space="preserve"> SEQ Figure \* ARABIC </w:instrText>
      </w:r>
      <w:r>
        <w:rPr>
          <w:noProof/>
        </w:rPr>
        <w:fldChar w:fldCharType="separate"/>
      </w:r>
      <w:r w:rsidR="00B177F5">
        <w:rPr>
          <w:noProof/>
        </w:rPr>
        <w:t>25</w:t>
      </w:r>
      <w:r>
        <w:rPr>
          <w:noProof/>
        </w:rPr>
        <w:fldChar w:fldCharType="end"/>
      </w:r>
      <w:bookmarkEnd w:id="627"/>
      <w:r>
        <w:t xml:space="preserve"> Groundwater hydrograph for well RN034032</w:t>
      </w:r>
      <w:bookmarkEnd w:id="628"/>
      <w:bookmarkEnd w:id="629"/>
      <w:bookmarkEnd w:id="630"/>
      <w:bookmarkEnd w:id="631"/>
      <w:bookmarkEnd w:id="632"/>
      <w:bookmarkEnd w:id="633"/>
      <w:bookmarkEnd w:id="634"/>
      <w:bookmarkEnd w:id="635"/>
      <w:bookmarkEnd w:id="636"/>
      <w:bookmarkEnd w:id="637"/>
      <w:bookmarkEnd w:id="638"/>
      <w:bookmarkEnd w:id="639"/>
      <w:bookmarkEnd w:id="640"/>
    </w:p>
    <w:p w14:paraId="2BDD42A9" w14:textId="17302BC8" w:rsidR="00F001E0" w:rsidRPr="00F001E0" w:rsidRDefault="00EC58EB" w:rsidP="00F001E0">
      <w:pPr>
        <w:pStyle w:val="SourceornoteforTableorFigure"/>
        <w:contextualSpacing/>
      </w:pPr>
      <w:r>
        <w:t xml:space="preserve">Bore location is outlined on </w:t>
      </w:r>
      <w:r>
        <w:fldChar w:fldCharType="begin"/>
      </w:r>
      <w:r>
        <w:instrText xml:space="preserve"> REF _Ref4423282 \h </w:instrText>
      </w:r>
      <w:r>
        <w:fldChar w:fldCharType="separate"/>
      </w:r>
      <w:r w:rsidR="00B177F5">
        <w:t xml:space="preserve">Figure </w:t>
      </w:r>
      <w:r w:rsidR="00B177F5">
        <w:rPr>
          <w:noProof/>
        </w:rPr>
        <w:t>19</w:t>
      </w:r>
      <w:r>
        <w:fldChar w:fldCharType="end"/>
      </w:r>
      <w:r w:rsidR="00225452">
        <w:t>.</w:t>
      </w:r>
      <w:r w:rsidR="004C2B83">
        <w:br/>
      </w:r>
      <w:r w:rsidR="007535FA">
        <w:t xml:space="preserve">m bgl = metres below groundwater level; </w:t>
      </w:r>
      <w:r w:rsidR="004C2B83">
        <w:t xml:space="preserve">WL (mAHD) = </w:t>
      </w:r>
      <w:r w:rsidR="007535FA">
        <w:t>w</w:t>
      </w:r>
      <w:r w:rsidR="004C2B83">
        <w:t>ater</w:t>
      </w:r>
      <w:r w:rsidR="007535FA">
        <w:t xml:space="preserve"> </w:t>
      </w:r>
      <w:r w:rsidR="004C2B83">
        <w:t xml:space="preserve">level (metres above Australian Height Datum) </w:t>
      </w:r>
      <w:r>
        <w:br/>
      </w:r>
      <w:r w:rsidR="00F001E0" w:rsidRPr="00F001E0">
        <w:t>Data:</w:t>
      </w:r>
      <w:r w:rsidR="00DD01FF">
        <w:t xml:space="preserve"> </w:t>
      </w:r>
      <w:r w:rsidR="00DD01FF">
        <w:fldChar w:fldCharType="begin"/>
      </w:r>
      <w:r w:rsidR="005D0C32">
        <w:instrText xml:space="preserve"> ADDIN EN.CITE &lt;EndNote&gt;&lt;Cite AuthorYear="1"&gt;&lt;Author&gt;Department of Environment and Natural Resources (NT)&lt;/Author&gt;&lt;Year&gt;2018&lt;/Year&gt;&lt;RecNum&gt;1539&lt;/RecNum&gt;&lt;DisplayText&gt;Department of Environment and Natural Resources (NT) (2018b)&lt;/DisplayText&gt;&lt;record&gt;&lt;rec-number&gt;1539&lt;/rec-number&gt;&lt;foreign-keys&gt;&lt;key app="EN" db-id="wdf9tzzdhw2saee559kv0vezt0wfsta0zedv" timestamp="1587958185"&gt;1539&lt;/key&gt;&lt;/foreign-keys&gt;&lt;ref-type name="Dataset"&gt;59&lt;/ref-type&gt;&lt;contributors&gt;&lt;authors&gt;&lt;author&gt;Department of Environment and Natural Resources (NT),&lt;/author&gt;&lt;/authors&gt;&lt;secondary-authors&gt;&lt;author&gt;CSIRO,&lt;/author&gt;&lt;/secondary-authors&gt;&lt;/contributors&gt;&lt;titles&gt;&lt;title&gt;Waterlevels from monitoring bores in Beetaloo GBA region&lt;/title&gt;&lt;/titles&gt;&lt;keywords&gt;&lt;keyword&gt;GROUNDWATER Waterlevel&lt;/keyword&gt;&lt;/keywords&gt;&lt;dates&gt;&lt;year&gt;2018&lt;/year&gt;&lt;/dates&gt;&lt;pub-location&gt;Canberra&lt;/pub-location&gt;&lt;label&gt;F2B1B357-6F0E-4E33-8DFA-6F6FD1A95DEF&lt;/label&gt;&lt;urls&gt;&lt;related-urls&gt;&lt;url&gt;https://denr.nt.gov.au/&lt;/url&gt;&lt;/related-urls&gt;&lt;/urls&gt;&lt;custom2&gt;unit of observation&lt;/custom2&gt;&lt;custom3&gt;spatial&lt;/custom3&gt;&lt;custom4&gt;dataset&lt;/custom4&gt;&lt;access-date&gt;27 April 2020&lt;/access-date&gt;&lt;/record&gt;&lt;/Cite&gt;&lt;/EndNote&gt;</w:instrText>
      </w:r>
      <w:r w:rsidR="00DD01FF">
        <w:fldChar w:fldCharType="separate"/>
      </w:r>
      <w:r w:rsidR="005D0C32">
        <w:rPr>
          <w:noProof/>
        </w:rPr>
        <w:t>Department of Environment and Natural Resources (NT) (2018b)</w:t>
      </w:r>
      <w:r w:rsidR="00DD01FF">
        <w:fldChar w:fldCharType="end"/>
      </w:r>
      <w:r w:rsidR="00F001E0" w:rsidRPr="00F001E0">
        <w:t xml:space="preserve">  </w:t>
      </w:r>
    </w:p>
    <w:p w14:paraId="62530703" w14:textId="55A361A9" w:rsidR="00F001E0" w:rsidRPr="00A61A49" w:rsidRDefault="00F001E0" w:rsidP="00F001E0">
      <w:pPr>
        <w:pStyle w:val="SourceornoteforTableorFigure"/>
        <w:contextualSpacing/>
      </w:pPr>
      <w:r w:rsidRPr="00A61A49">
        <w:t xml:space="preserve">Element: </w:t>
      </w:r>
      <w:r w:rsidR="00B11329" w:rsidRPr="00B11329">
        <w:t>GBA-BEE-2-334</w:t>
      </w:r>
    </w:p>
    <w:p w14:paraId="2E0674BE" w14:textId="08B99CAB" w:rsidR="00C863D9" w:rsidRDefault="003D2AD8" w:rsidP="003E1F1E">
      <w:pPr>
        <w:pStyle w:val="Figures"/>
      </w:pPr>
      <w:r>
        <w:rPr>
          <w:noProof/>
        </w:rPr>
        <w:drawing>
          <wp:inline distT="0" distB="0" distL="0" distR="0" wp14:anchorId="334D4A30" wp14:editId="04AD23E0">
            <wp:extent cx="6382512" cy="4572000"/>
            <wp:effectExtent l="0" t="0" r="0" b="0"/>
            <wp:docPr id="586007589" name="Picture 25" descr="T:\proj\ba2\Stage2\3_Beetaloo\MapsAndFigures\Figures\PnP_Figures_Groundwater\PP-279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83" cstate="screen">
                      <a:extLst>
                        <a:ext uri="{28A0092B-C50C-407E-A947-70E740481C1C}">
                          <a14:useLocalDpi xmlns:a14="http://schemas.microsoft.com/office/drawing/2010/main" val="0"/>
                        </a:ext>
                      </a:extLst>
                    </a:blip>
                    <a:stretch>
                      <a:fillRect/>
                    </a:stretch>
                  </pic:blipFill>
                  <pic:spPr>
                    <a:xfrm>
                      <a:off x="0" y="0"/>
                      <a:ext cx="6382512" cy="4572000"/>
                    </a:xfrm>
                    <a:prstGeom prst="rect">
                      <a:avLst/>
                    </a:prstGeom>
                  </pic:spPr>
                </pic:pic>
              </a:graphicData>
            </a:graphic>
          </wp:inline>
        </w:drawing>
      </w:r>
    </w:p>
    <w:p w14:paraId="48B9634E" w14:textId="3F14A959" w:rsidR="00C863D9" w:rsidRDefault="00C863D9" w:rsidP="00C863D9">
      <w:pPr>
        <w:pStyle w:val="Caption"/>
      </w:pPr>
      <w:bookmarkStart w:id="641" w:name="_Toc4670962"/>
      <w:bookmarkStart w:id="642" w:name="_Toc4754382"/>
      <w:bookmarkStart w:id="643" w:name="_Toc5020767"/>
      <w:bookmarkStart w:id="644" w:name="_Toc5021574"/>
      <w:bookmarkStart w:id="645" w:name="_Toc5097100"/>
      <w:bookmarkStart w:id="646" w:name="_Toc5108492"/>
      <w:bookmarkStart w:id="647" w:name="_Toc5284157"/>
      <w:bookmarkStart w:id="648" w:name="_Toc5635371"/>
      <w:bookmarkStart w:id="649" w:name="_Toc5808330"/>
      <w:bookmarkStart w:id="650" w:name="_Toc5895022"/>
      <w:bookmarkStart w:id="651" w:name="_Toc6308911"/>
      <w:bookmarkStart w:id="652" w:name="_Toc6327576"/>
      <w:bookmarkStart w:id="653" w:name="_Toc38990480"/>
      <w:r>
        <w:t xml:space="preserve">Figure </w:t>
      </w:r>
      <w:r>
        <w:rPr>
          <w:noProof/>
        </w:rPr>
        <w:fldChar w:fldCharType="begin"/>
      </w:r>
      <w:r>
        <w:rPr>
          <w:noProof/>
        </w:rPr>
        <w:instrText xml:space="preserve"> SEQ Figure \* ARABIC </w:instrText>
      </w:r>
      <w:r>
        <w:rPr>
          <w:noProof/>
        </w:rPr>
        <w:fldChar w:fldCharType="separate"/>
      </w:r>
      <w:r w:rsidR="00B177F5">
        <w:rPr>
          <w:noProof/>
        </w:rPr>
        <w:t>26</w:t>
      </w:r>
      <w:r>
        <w:rPr>
          <w:noProof/>
        </w:rPr>
        <w:fldChar w:fldCharType="end"/>
      </w:r>
      <w:r>
        <w:t xml:space="preserve"> Groundwater hydrograph for well RN0</w:t>
      </w:r>
      <w:r w:rsidR="00F001E0">
        <w:t>29012</w:t>
      </w:r>
      <w:bookmarkEnd w:id="641"/>
      <w:bookmarkEnd w:id="642"/>
      <w:bookmarkEnd w:id="643"/>
      <w:bookmarkEnd w:id="644"/>
      <w:bookmarkEnd w:id="645"/>
      <w:bookmarkEnd w:id="646"/>
      <w:bookmarkEnd w:id="647"/>
      <w:bookmarkEnd w:id="648"/>
      <w:bookmarkEnd w:id="649"/>
      <w:bookmarkEnd w:id="650"/>
      <w:bookmarkEnd w:id="651"/>
      <w:bookmarkEnd w:id="652"/>
      <w:bookmarkEnd w:id="653"/>
    </w:p>
    <w:p w14:paraId="2D43F86C" w14:textId="50732A8A" w:rsidR="00F001E0" w:rsidRPr="00F001E0" w:rsidRDefault="004C2B83" w:rsidP="00F001E0">
      <w:pPr>
        <w:pStyle w:val="SourceornoteforTableorFigure"/>
        <w:contextualSpacing/>
      </w:pPr>
      <w:r>
        <w:t xml:space="preserve">Bore location is outlined on </w:t>
      </w:r>
      <w:r>
        <w:fldChar w:fldCharType="begin"/>
      </w:r>
      <w:r>
        <w:instrText xml:space="preserve"> REF _Ref4423282 \h </w:instrText>
      </w:r>
      <w:r>
        <w:fldChar w:fldCharType="separate"/>
      </w:r>
      <w:r w:rsidR="00B177F5">
        <w:t xml:space="preserve">Figure </w:t>
      </w:r>
      <w:r w:rsidR="00B177F5">
        <w:rPr>
          <w:noProof/>
        </w:rPr>
        <w:t>19</w:t>
      </w:r>
      <w:r>
        <w:fldChar w:fldCharType="end"/>
      </w:r>
      <w:r w:rsidR="00225452">
        <w:t>.</w:t>
      </w:r>
      <w:r>
        <w:br/>
      </w:r>
      <w:r w:rsidR="007535FA">
        <w:t xml:space="preserve">m bgl = metres below groundwater level; </w:t>
      </w:r>
      <w:r>
        <w:t xml:space="preserve">WL (mAHD) = </w:t>
      </w:r>
      <w:r w:rsidR="007535FA">
        <w:t>w</w:t>
      </w:r>
      <w:r>
        <w:t>ater</w:t>
      </w:r>
      <w:r w:rsidR="007535FA">
        <w:t xml:space="preserve"> </w:t>
      </w:r>
      <w:r>
        <w:t>level (metres above Australian Height Datum)</w:t>
      </w:r>
      <w:r w:rsidR="00EC58EB">
        <w:br/>
      </w:r>
      <w:r w:rsidR="00F001E0" w:rsidRPr="00F001E0">
        <w:t>Data:</w:t>
      </w:r>
      <w:r w:rsidR="00AB393C">
        <w:t xml:space="preserve"> </w:t>
      </w:r>
      <w:r w:rsidR="00AB393C">
        <w:fldChar w:fldCharType="begin"/>
      </w:r>
      <w:r w:rsidR="005D0C32">
        <w:instrText xml:space="preserve"> ADDIN EN.CITE &lt;EndNote&gt;&lt;Cite AuthorYear="1"&gt;&lt;Author&gt;Department of Environment and Natural Resources (NT)&lt;/Author&gt;&lt;Year&gt;2018&lt;/Year&gt;&lt;RecNum&gt;1539&lt;/RecNum&gt;&lt;DisplayText&gt;Department of Environment and Natural Resources (NT) (2018b)&lt;/DisplayText&gt;&lt;record&gt;&lt;rec-number&gt;1539&lt;/rec-number&gt;&lt;foreign-keys&gt;&lt;key app="EN" db-id="wdf9tzzdhw2saee559kv0vezt0wfsta0zedv" timestamp="1587958185"&gt;1539&lt;/key&gt;&lt;/foreign-keys&gt;&lt;ref-type name="Dataset"&gt;59&lt;/ref-type&gt;&lt;contributors&gt;&lt;authors&gt;&lt;author&gt;Department of Environment and Natural Resources (NT),&lt;/author&gt;&lt;/authors&gt;&lt;secondary-authors&gt;&lt;author&gt;CSIRO,&lt;/author&gt;&lt;/secondary-authors&gt;&lt;/contributors&gt;&lt;titles&gt;&lt;title&gt;Waterlevels from monitoring bores in Beetaloo GBA region&lt;/title&gt;&lt;/titles&gt;&lt;keywords&gt;&lt;keyword&gt;GROUNDWATER Waterlevel&lt;/keyword&gt;&lt;/keywords&gt;&lt;dates&gt;&lt;year&gt;2018&lt;/year&gt;&lt;/dates&gt;&lt;pub-location&gt;Canberra&lt;/pub-location&gt;&lt;label&gt;F2B1B357-6F0E-4E33-8DFA-6F6FD1A95DEF&lt;/label&gt;&lt;urls&gt;&lt;related-urls&gt;&lt;url&gt;https://denr.nt.gov.au/&lt;/url&gt;&lt;/related-urls&gt;&lt;/urls&gt;&lt;custom2&gt;unit of observation&lt;/custom2&gt;&lt;custom3&gt;spatial&lt;/custom3&gt;&lt;custom4&gt;dataset&lt;/custom4&gt;&lt;access-date&gt;27 April 2020&lt;/access-date&gt;&lt;/record&gt;&lt;/Cite&gt;&lt;/EndNote&gt;</w:instrText>
      </w:r>
      <w:r w:rsidR="00AB393C">
        <w:fldChar w:fldCharType="separate"/>
      </w:r>
      <w:r w:rsidR="005D0C32">
        <w:rPr>
          <w:noProof/>
        </w:rPr>
        <w:t>Department of Environment and Natural Resources (NT) (2018b)</w:t>
      </w:r>
      <w:r w:rsidR="00AB393C">
        <w:fldChar w:fldCharType="end"/>
      </w:r>
      <w:r w:rsidR="00F001E0" w:rsidRPr="00F001E0">
        <w:t xml:space="preserve">  </w:t>
      </w:r>
    </w:p>
    <w:p w14:paraId="239E0042" w14:textId="274C3475" w:rsidR="00F001E0" w:rsidRPr="00A61A49" w:rsidRDefault="00F001E0" w:rsidP="00F001E0">
      <w:pPr>
        <w:pStyle w:val="SourceornoteforTableorFigure"/>
        <w:contextualSpacing/>
      </w:pPr>
      <w:r w:rsidRPr="00A61A49">
        <w:t xml:space="preserve">Element: </w:t>
      </w:r>
      <w:r w:rsidR="00B11329" w:rsidRPr="00B11329">
        <w:t>GBA-BEE-2-33</w:t>
      </w:r>
      <w:r w:rsidR="00B11329">
        <w:t>5</w:t>
      </w:r>
    </w:p>
    <w:p w14:paraId="2EB29D12" w14:textId="4BBC5802" w:rsidR="00F001E0" w:rsidRPr="00F001E0" w:rsidRDefault="003D2AD8" w:rsidP="003E1F1E">
      <w:pPr>
        <w:pStyle w:val="Figures"/>
      </w:pPr>
      <w:r>
        <w:rPr>
          <w:noProof/>
        </w:rPr>
        <w:drawing>
          <wp:inline distT="0" distB="0" distL="0" distR="0" wp14:anchorId="3FCEAA25" wp14:editId="23959F20">
            <wp:extent cx="6439506" cy="4610098"/>
            <wp:effectExtent l="0" t="0" r="0" b="635"/>
            <wp:docPr id="7756588" name="Picture 26" descr="T:\proj\ba2\Stage2\3_Beetaloo\MapsAndFigures\Figures\PnP_Figures_Groundwater\PP-2795-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pic:nvPicPr>
                  <pic:blipFill>
                    <a:blip r:embed="rId84" cstate="screen">
                      <a:extLst>
                        <a:ext uri="{28A0092B-C50C-407E-A947-70E740481C1C}">
                          <a14:useLocalDpi xmlns:a14="http://schemas.microsoft.com/office/drawing/2010/main" val="0"/>
                        </a:ext>
                      </a:extLst>
                    </a:blip>
                    <a:stretch>
                      <a:fillRect/>
                    </a:stretch>
                  </pic:blipFill>
                  <pic:spPr>
                    <a:xfrm>
                      <a:off x="0" y="0"/>
                      <a:ext cx="6439506" cy="4610098"/>
                    </a:xfrm>
                    <a:prstGeom prst="rect">
                      <a:avLst/>
                    </a:prstGeom>
                  </pic:spPr>
                </pic:pic>
              </a:graphicData>
            </a:graphic>
          </wp:inline>
        </w:drawing>
      </w:r>
    </w:p>
    <w:p w14:paraId="6E4D13EE" w14:textId="1A148581" w:rsidR="00C863D9" w:rsidRDefault="00C863D9" w:rsidP="00C863D9">
      <w:pPr>
        <w:pStyle w:val="Caption"/>
      </w:pPr>
      <w:bookmarkStart w:id="654" w:name="_Ref4054899"/>
      <w:bookmarkStart w:id="655" w:name="_Toc4670963"/>
      <w:bookmarkStart w:id="656" w:name="_Toc4754383"/>
      <w:bookmarkStart w:id="657" w:name="_Toc5020768"/>
      <w:bookmarkStart w:id="658" w:name="_Toc5021575"/>
      <w:bookmarkStart w:id="659" w:name="_Toc5097101"/>
      <w:bookmarkStart w:id="660" w:name="_Toc5108493"/>
      <w:bookmarkStart w:id="661" w:name="_Toc5284158"/>
      <w:bookmarkStart w:id="662" w:name="_Toc5635372"/>
      <w:bookmarkStart w:id="663" w:name="_Toc5808331"/>
      <w:bookmarkStart w:id="664" w:name="_Toc5895023"/>
      <w:bookmarkStart w:id="665" w:name="_Toc6308912"/>
      <w:bookmarkStart w:id="666" w:name="_Toc6327577"/>
      <w:bookmarkStart w:id="667" w:name="_Toc38990481"/>
      <w:r>
        <w:t xml:space="preserve">Figure </w:t>
      </w:r>
      <w:r>
        <w:rPr>
          <w:noProof/>
        </w:rPr>
        <w:fldChar w:fldCharType="begin"/>
      </w:r>
      <w:r>
        <w:rPr>
          <w:noProof/>
        </w:rPr>
        <w:instrText xml:space="preserve"> SEQ Figure \* ARABIC </w:instrText>
      </w:r>
      <w:r>
        <w:rPr>
          <w:noProof/>
        </w:rPr>
        <w:fldChar w:fldCharType="separate"/>
      </w:r>
      <w:r w:rsidR="00B177F5">
        <w:rPr>
          <w:noProof/>
        </w:rPr>
        <w:t>27</w:t>
      </w:r>
      <w:r>
        <w:rPr>
          <w:noProof/>
        </w:rPr>
        <w:fldChar w:fldCharType="end"/>
      </w:r>
      <w:bookmarkEnd w:id="654"/>
      <w:r>
        <w:t xml:space="preserve"> Groundwater hydrograph for well RN036471.11</w:t>
      </w:r>
      <w:bookmarkEnd w:id="655"/>
      <w:bookmarkEnd w:id="656"/>
      <w:bookmarkEnd w:id="657"/>
      <w:bookmarkEnd w:id="658"/>
      <w:bookmarkEnd w:id="659"/>
      <w:bookmarkEnd w:id="660"/>
      <w:bookmarkEnd w:id="661"/>
      <w:bookmarkEnd w:id="662"/>
      <w:bookmarkEnd w:id="663"/>
      <w:bookmarkEnd w:id="664"/>
      <w:bookmarkEnd w:id="665"/>
      <w:bookmarkEnd w:id="666"/>
      <w:bookmarkEnd w:id="667"/>
    </w:p>
    <w:p w14:paraId="635301A8" w14:textId="1FAACB4B" w:rsidR="00F001E0" w:rsidRPr="00F001E0" w:rsidRDefault="004C2B83" w:rsidP="00F001E0">
      <w:pPr>
        <w:pStyle w:val="SourceornoteforTableorFigure"/>
        <w:contextualSpacing/>
      </w:pPr>
      <w:r>
        <w:t xml:space="preserve">Bore location is outlined on </w:t>
      </w:r>
      <w:r>
        <w:fldChar w:fldCharType="begin"/>
      </w:r>
      <w:r>
        <w:instrText xml:space="preserve"> REF _Ref4423282 \h </w:instrText>
      </w:r>
      <w:r>
        <w:fldChar w:fldCharType="separate"/>
      </w:r>
      <w:r w:rsidR="00B177F5">
        <w:t xml:space="preserve">Figure </w:t>
      </w:r>
      <w:r w:rsidR="00B177F5">
        <w:rPr>
          <w:noProof/>
        </w:rPr>
        <w:t>19</w:t>
      </w:r>
      <w:r>
        <w:fldChar w:fldCharType="end"/>
      </w:r>
      <w:r w:rsidR="00225452">
        <w:t>.</w:t>
      </w:r>
      <w:r>
        <w:br/>
      </w:r>
      <w:r w:rsidR="007535FA">
        <w:t xml:space="preserve">m bgl = metres below groundwater level; </w:t>
      </w:r>
      <w:r>
        <w:t xml:space="preserve">WL (mAHD) = </w:t>
      </w:r>
      <w:r w:rsidR="007535FA">
        <w:t>w</w:t>
      </w:r>
      <w:r>
        <w:t>ater</w:t>
      </w:r>
      <w:r w:rsidR="007535FA">
        <w:t xml:space="preserve"> </w:t>
      </w:r>
      <w:r>
        <w:t xml:space="preserve">level (metres above Australian Height Datum) </w:t>
      </w:r>
      <w:r>
        <w:br/>
      </w:r>
      <w:r w:rsidR="00F001E0" w:rsidRPr="00F001E0">
        <w:t>Data:</w:t>
      </w:r>
      <w:r w:rsidR="00AB393C">
        <w:t xml:space="preserve"> </w:t>
      </w:r>
      <w:r w:rsidR="00AB393C">
        <w:fldChar w:fldCharType="begin"/>
      </w:r>
      <w:r w:rsidR="005D0C32">
        <w:instrText xml:space="preserve"> ADDIN EN.CITE &lt;EndNote&gt;&lt;Cite AuthorYear="1"&gt;&lt;Author&gt;Department of Environment and Natural Resources (NT)&lt;/Author&gt;&lt;Year&gt;2018&lt;/Year&gt;&lt;RecNum&gt;1539&lt;/RecNum&gt;&lt;DisplayText&gt;Department of Environment and Natural Resources (NT) (2018b)&lt;/DisplayText&gt;&lt;record&gt;&lt;rec-number&gt;1539&lt;/rec-number&gt;&lt;foreign-keys&gt;&lt;key app="EN" db-id="wdf9tzzdhw2saee559kv0vezt0wfsta0zedv" timestamp="1587958185"&gt;1539&lt;/key&gt;&lt;/foreign-keys&gt;&lt;ref-type name="Dataset"&gt;59&lt;/ref-type&gt;&lt;contributors&gt;&lt;authors&gt;&lt;author&gt;Department of Environment and Natural Resources (NT),&lt;/author&gt;&lt;/authors&gt;&lt;secondary-authors&gt;&lt;author&gt;CSIRO,&lt;/author&gt;&lt;/secondary-authors&gt;&lt;/contributors&gt;&lt;titles&gt;&lt;title&gt;Waterlevels from monitoring bores in Beetaloo GBA region&lt;/title&gt;&lt;/titles&gt;&lt;keywords&gt;&lt;keyword&gt;GROUNDWATER Waterlevel&lt;/keyword&gt;&lt;/keywords&gt;&lt;dates&gt;&lt;year&gt;2018&lt;/year&gt;&lt;/dates&gt;&lt;pub-location&gt;Canberra&lt;/pub-location&gt;&lt;label&gt;F2B1B357-6F0E-4E33-8DFA-6F6FD1A95DEF&lt;/label&gt;&lt;urls&gt;&lt;related-urls&gt;&lt;url&gt;https://denr.nt.gov.au/&lt;/url&gt;&lt;/related-urls&gt;&lt;/urls&gt;&lt;custom2&gt;unit of observation&lt;/custom2&gt;&lt;custom3&gt;spatial&lt;/custom3&gt;&lt;custom4&gt;dataset&lt;/custom4&gt;&lt;access-date&gt;27 April 2020&lt;/access-date&gt;&lt;/record&gt;&lt;/Cite&gt;&lt;/EndNote&gt;</w:instrText>
      </w:r>
      <w:r w:rsidR="00AB393C">
        <w:fldChar w:fldCharType="separate"/>
      </w:r>
      <w:r w:rsidR="005D0C32">
        <w:rPr>
          <w:noProof/>
        </w:rPr>
        <w:t>Department of Environment and Natural Resources (NT) (2018b)</w:t>
      </w:r>
      <w:r w:rsidR="00AB393C">
        <w:fldChar w:fldCharType="end"/>
      </w:r>
      <w:r w:rsidR="00F001E0" w:rsidRPr="00F001E0">
        <w:t xml:space="preserve">  </w:t>
      </w:r>
    </w:p>
    <w:p w14:paraId="027371BC" w14:textId="744EB36F" w:rsidR="00F001E0" w:rsidRPr="00A61A49" w:rsidRDefault="00F001E0" w:rsidP="00F001E0">
      <w:pPr>
        <w:pStyle w:val="SourceornoteforTableorFigure"/>
        <w:contextualSpacing/>
      </w:pPr>
      <w:r w:rsidRPr="00A61A49">
        <w:t xml:space="preserve">Element: </w:t>
      </w:r>
      <w:r w:rsidR="00B11329" w:rsidRPr="00B11329">
        <w:t>GBA-BEE-2-336</w:t>
      </w:r>
    </w:p>
    <w:p w14:paraId="1E0270FF" w14:textId="2B87F2D9" w:rsidR="00C863D9" w:rsidRDefault="003D2AD8" w:rsidP="003D2AD8">
      <w:pPr>
        <w:pStyle w:val="Figures"/>
      </w:pPr>
      <w:r>
        <w:rPr>
          <w:noProof/>
        </w:rPr>
        <w:drawing>
          <wp:inline distT="0" distB="0" distL="0" distR="0" wp14:anchorId="58AEBC6D" wp14:editId="3BD1255E">
            <wp:extent cx="6426202" cy="4600575"/>
            <wp:effectExtent l="0" t="0" r="0" b="9525"/>
            <wp:docPr id="1616053202" name="Picture 27" descr="T:\proj\ba2\Stage2\3_Beetaloo\MapsAndFigures\Figures\PnP_Figures_Groundwater\PP-279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85" cstate="screen">
                      <a:extLst>
                        <a:ext uri="{28A0092B-C50C-407E-A947-70E740481C1C}">
                          <a14:useLocalDpi xmlns:a14="http://schemas.microsoft.com/office/drawing/2010/main" val="0"/>
                        </a:ext>
                      </a:extLst>
                    </a:blip>
                    <a:stretch>
                      <a:fillRect/>
                    </a:stretch>
                  </pic:blipFill>
                  <pic:spPr>
                    <a:xfrm>
                      <a:off x="0" y="0"/>
                      <a:ext cx="6426202" cy="4600575"/>
                    </a:xfrm>
                    <a:prstGeom prst="rect">
                      <a:avLst/>
                    </a:prstGeom>
                  </pic:spPr>
                </pic:pic>
              </a:graphicData>
            </a:graphic>
          </wp:inline>
        </w:drawing>
      </w:r>
    </w:p>
    <w:p w14:paraId="5EB5B0E4" w14:textId="32584047" w:rsidR="00C863D9" w:rsidRDefault="00C863D9" w:rsidP="00C863D9">
      <w:pPr>
        <w:pStyle w:val="Caption"/>
      </w:pPr>
      <w:bookmarkStart w:id="668" w:name="_Ref4049916"/>
      <w:bookmarkStart w:id="669" w:name="_Toc4670964"/>
      <w:bookmarkStart w:id="670" w:name="_Toc4754384"/>
      <w:bookmarkStart w:id="671" w:name="_Toc5020769"/>
      <w:bookmarkStart w:id="672" w:name="_Toc5021576"/>
      <w:bookmarkStart w:id="673" w:name="_Toc5097102"/>
      <w:bookmarkStart w:id="674" w:name="_Toc5108494"/>
      <w:bookmarkStart w:id="675" w:name="_Toc5284159"/>
      <w:bookmarkStart w:id="676" w:name="_Toc5635373"/>
      <w:bookmarkStart w:id="677" w:name="_Toc5808332"/>
      <w:bookmarkStart w:id="678" w:name="_Toc5895024"/>
      <w:bookmarkStart w:id="679" w:name="_Toc6308913"/>
      <w:bookmarkStart w:id="680" w:name="_Toc6327578"/>
      <w:bookmarkStart w:id="681" w:name="_Toc38990482"/>
      <w:r>
        <w:t xml:space="preserve">Figure </w:t>
      </w:r>
      <w:r>
        <w:rPr>
          <w:noProof/>
        </w:rPr>
        <w:fldChar w:fldCharType="begin"/>
      </w:r>
      <w:r>
        <w:rPr>
          <w:noProof/>
        </w:rPr>
        <w:instrText xml:space="preserve"> SEQ Figure \* ARABIC </w:instrText>
      </w:r>
      <w:r>
        <w:rPr>
          <w:noProof/>
        </w:rPr>
        <w:fldChar w:fldCharType="separate"/>
      </w:r>
      <w:r w:rsidR="00B177F5">
        <w:rPr>
          <w:noProof/>
        </w:rPr>
        <w:t>28</w:t>
      </w:r>
      <w:r>
        <w:rPr>
          <w:noProof/>
        </w:rPr>
        <w:fldChar w:fldCharType="end"/>
      </w:r>
      <w:bookmarkEnd w:id="668"/>
      <w:r>
        <w:t xml:space="preserve"> Groundwater hydrograph for well RN036471.12</w:t>
      </w:r>
      <w:bookmarkEnd w:id="669"/>
      <w:bookmarkEnd w:id="670"/>
      <w:bookmarkEnd w:id="671"/>
      <w:bookmarkEnd w:id="672"/>
      <w:bookmarkEnd w:id="673"/>
      <w:bookmarkEnd w:id="674"/>
      <w:bookmarkEnd w:id="675"/>
      <w:bookmarkEnd w:id="676"/>
      <w:bookmarkEnd w:id="677"/>
      <w:bookmarkEnd w:id="678"/>
      <w:bookmarkEnd w:id="679"/>
      <w:bookmarkEnd w:id="680"/>
      <w:bookmarkEnd w:id="681"/>
    </w:p>
    <w:p w14:paraId="5CC477CB" w14:textId="61DFD8BB" w:rsidR="00F001E0" w:rsidRPr="00F001E0" w:rsidRDefault="004C2B83" w:rsidP="00F001E0">
      <w:pPr>
        <w:pStyle w:val="SourceornoteforTableorFigure"/>
        <w:contextualSpacing/>
      </w:pPr>
      <w:r>
        <w:t xml:space="preserve">Bore location is outlined on </w:t>
      </w:r>
      <w:r>
        <w:fldChar w:fldCharType="begin"/>
      </w:r>
      <w:r>
        <w:instrText xml:space="preserve"> REF _Ref4423282 \h </w:instrText>
      </w:r>
      <w:r>
        <w:fldChar w:fldCharType="separate"/>
      </w:r>
      <w:r w:rsidR="00B177F5">
        <w:t xml:space="preserve">Figure </w:t>
      </w:r>
      <w:r w:rsidR="00B177F5">
        <w:rPr>
          <w:noProof/>
        </w:rPr>
        <w:t>19</w:t>
      </w:r>
      <w:r>
        <w:fldChar w:fldCharType="end"/>
      </w:r>
      <w:r w:rsidR="00225452">
        <w:t>.</w:t>
      </w:r>
      <w:r>
        <w:br/>
      </w:r>
      <w:r w:rsidR="007535FA">
        <w:t xml:space="preserve">m bgl = metres below groundwater level; </w:t>
      </w:r>
      <w:r>
        <w:t xml:space="preserve">WL (mAHD) = </w:t>
      </w:r>
      <w:r w:rsidR="007535FA">
        <w:t>w</w:t>
      </w:r>
      <w:r>
        <w:t>ater</w:t>
      </w:r>
      <w:r w:rsidR="007535FA">
        <w:t xml:space="preserve"> </w:t>
      </w:r>
      <w:r>
        <w:t>level (metres above Australian Height Datum)</w:t>
      </w:r>
      <w:r w:rsidR="00EC58EB">
        <w:br/>
      </w:r>
      <w:r w:rsidR="00F001E0" w:rsidRPr="00F001E0">
        <w:t>Data:</w:t>
      </w:r>
      <w:r w:rsidR="00BE5A09">
        <w:t xml:space="preserve"> </w:t>
      </w:r>
      <w:r w:rsidR="00BE5A09">
        <w:fldChar w:fldCharType="begin"/>
      </w:r>
      <w:r w:rsidR="005D0C32">
        <w:instrText xml:space="preserve"> ADDIN EN.CITE &lt;EndNote&gt;&lt;Cite AuthorYear="1"&gt;&lt;Author&gt;Department of Environment and Natural Resources (NT)&lt;/Author&gt;&lt;Year&gt;2018&lt;/Year&gt;&lt;RecNum&gt;1539&lt;/RecNum&gt;&lt;DisplayText&gt;Department of Environment and Natural Resources (NT) (2018b)&lt;/DisplayText&gt;&lt;record&gt;&lt;rec-number&gt;1539&lt;/rec-number&gt;&lt;foreign-keys&gt;&lt;key app="EN" db-id="wdf9tzzdhw2saee559kv0vezt0wfsta0zedv" timestamp="1587958185"&gt;1539&lt;/key&gt;&lt;/foreign-keys&gt;&lt;ref-type name="Dataset"&gt;59&lt;/ref-type&gt;&lt;contributors&gt;&lt;authors&gt;&lt;author&gt;Department of Environment and Natural Resources (NT),&lt;/author&gt;&lt;/authors&gt;&lt;secondary-authors&gt;&lt;author&gt;CSIRO,&lt;/author&gt;&lt;/secondary-authors&gt;&lt;/contributors&gt;&lt;titles&gt;&lt;title&gt;Waterlevels from monitoring bores in Beetaloo GBA region&lt;/title&gt;&lt;/titles&gt;&lt;keywords&gt;&lt;keyword&gt;GROUNDWATER Waterlevel&lt;/keyword&gt;&lt;/keywords&gt;&lt;dates&gt;&lt;year&gt;2018&lt;/year&gt;&lt;/dates&gt;&lt;pub-location&gt;Canberra&lt;/pub-location&gt;&lt;label&gt;F2B1B357-6F0E-4E33-8DFA-6F6FD1A95DEF&lt;/label&gt;&lt;urls&gt;&lt;related-urls&gt;&lt;url&gt;https://denr.nt.gov.au/&lt;/url&gt;&lt;/related-urls&gt;&lt;/urls&gt;&lt;custom2&gt;unit of observation&lt;/custom2&gt;&lt;custom3&gt;spatial&lt;/custom3&gt;&lt;custom4&gt;dataset&lt;/custom4&gt;&lt;access-date&gt;27 April 2020&lt;/access-date&gt;&lt;/record&gt;&lt;/Cite&gt;&lt;/EndNote&gt;</w:instrText>
      </w:r>
      <w:r w:rsidR="00BE5A09">
        <w:fldChar w:fldCharType="separate"/>
      </w:r>
      <w:r w:rsidR="005D0C32">
        <w:rPr>
          <w:noProof/>
        </w:rPr>
        <w:t>Department of Environment and Natural Resources (NT) (2018b)</w:t>
      </w:r>
      <w:r w:rsidR="00BE5A09">
        <w:fldChar w:fldCharType="end"/>
      </w:r>
      <w:r w:rsidR="00F001E0" w:rsidRPr="00F001E0">
        <w:t xml:space="preserve">  </w:t>
      </w:r>
    </w:p>
    <w:p w14:paraId="1447053A" w14:textId="0F5FF306" w:rsidR="00F67163" w:rsidRPr="00A61A49" w:rsidRDefault="00F67163" w:rsidP="00F67163">
      <w:pPr>
        <w:pStyle w:val="SourceornoteforTableorFigure"/>
        <w:contextualSpacing/>
      </w:pPr>
      <w:r w:rsidRPr="00A61A49">
        <w:t xml:space="preserve">Element: </w:t>
      </w:r>
      <w:r w:rsidR="00B11329" w:rsidRPr="00B11329">
        <w:t>GBA-BEE-2-337</w:t>
      </w:r>
    </w:p>
    <w:p w14:paraId="7B4FF4E3" w14:textId="3CAE2DE6" w:rsidR="00C863D9" w:rsidRDefault="00C863D9" w:rsidP="00C863D9">
      <w:r>
        <w:t xml:space="preserve">DENR hydrographs in the north of the </w:t>
      </w:r>
      <w:r w:rsidR="007535FA">
        <w:t>Beetaloo GBA extended region</w:t>
      </w:r>
      <w:r>
        <w:t xml:space="preserve"> commonly show seasonal fluctuations of between approximately 0.5 and 2 m depending on the monitoring well. Seasonal fluctuations in groundwater well RN034032 close to the Roper River (</w:t>
      </w:r>
      <w:r>
        <w:fldChar w:fldCharType="begin"/>
      </w:r>
      <w:r>
        <w:instrText xml:space="preserve"> REF _Ref4054363 \h </w:instrText>
      </w:r>
      <w:r>
        <w:fldChar w:fldCharType="separate"/>
      </w:r>
      <w:r w:rsidR="00B177F5">
        <w:t xml:space="preserve">Figure </w:t>
      </w:r>
      <w:r w:rsidR="00B177F5">
        <w:rPr>
          <w:noProof/>
        </w:rPr>
        <w:t>25</w:t>
      </w:r>
      <w:r>
        <w:fldChar w:fldCharType="end"/>
      </w:r>
      <w:r>
        <w:t>)</w:t>
      </w:r>
      <w:r w:rsidR="0047278E">
        <w:t>,</w:t>
      </w:r>
      <w:r>
        <w:t xml:space="preserve"> are particularly pronounced regularly exceeding 6 m in response to rainfall in the November to April wet season. Groundwater responses in individual wells </w:t>
      </w:r>
      <w:r w:rsidR="0047278E">
        <w:t>are</w:t>
      </w:r>
      <w:r>
        <w:t xml:space="preserve"> a function of local conditions (e.g.</w:t>
      </w:r>
      <w:r w:rsidR="00572192">
        <w:t> </w:t>
      </w:r>
      <w:r>
        <w:t>proximity to rivers, karst features, degree of hydraulic confinement, groundwater extraction</w:t>
      </w:r>
      <w:r w:rsidR="007535FA">
        <w:t>,</w:t>
      </w:r>
      <w:r>
        <w:t xml:space="preserve"> etc.)</w:t>
      </w:r>
      <w:r w:rsidR="0006209A">
        <w:t>,</w:t>
      </w:r>
      <w:r w:rsidDel="0056581A">
        <w:t xml:space="preserve"> and </w:t>
      </w:r>
      <w:r w:rsidR="0006209A">
        <w:t>may</w:t>
      </w:r>
      <w:r w:rsidDel="0056581A">
        <w:t xml:space="preserve"> be interpreted </w:t>
      </w:r>
      <w:r w:rsidR="0006209A">
        <w:t xml:space="preserve">at specific locations </w:t>
      </w:r>
      <w:r w:rsidDel="0056581A">
        <w:t xml:space="preserve">in </w:t>
      </w:r>
      <w:r w:rsidR="0006209A">
        <w:t>later investigation phases if required</w:t>
      </w:r>
      <w:r>
        <w:t>. It is important to consider frequency of water level measurements when making such assessments, since some wells are only dipped occasionally while others have loggers installed to gather more frequent measurements.</w:t>
      </w:r>
    </w:p>
    <w:p w14:paraId="5CA623E2" w14:textId="2C0B06AF" w:rsidR="00C863D9" w:rsidRDefault="005D74FF" w:rsidP="00C863D9">
      <w:r>
        <w:t>H</w:t>
      </w:r>
      <w:r w:rsidR="00C863D9">
        <w:t>ydrographs for the nested wells RN036471.11 (Gum Ridge Formation) and RN036471.12 (Anthony Lagoon Formation) in the south</w:t>
      </w:r>
      <w:r w:rsidR="00737C45">
        <w:t>-</w:t>
      </w:r>
      <w:r w:rsidR="00C863D9">
        <w:t xml:space="preserve">west of the </w:t>
      </w:r>
      <w:r w:rsidR="00136CCF">
        <w:t>e</w:t>
      </w:r>
      <w:r w:rsidR="00C863D9">
        <w:t xml:space="preserve">astern Beetaloo </w:t>
      </w:r>
      <w:r w:rsidR="00136CCF">
        <w:t>GBA region</w:t>
      </w:r>
      <w:r w:rsidR="00C863D9">
        <w:t xml:space="preserve"> (</w:t>
      </w:r>
      <w:r w:rsidR="005A6D1E">
        <w:fldChar w:fldCharType="begin"/>
      </w:r>
      <w:r w:rsidR="005A6D1E">
        <w:instrText xml:space="preserve"> REF _Ref4423282 \h </w:instrText>
      </w:r>
      <w:r w:rsidR="005A6D1E">
        <w:fldChar w:fldCharType="separate"/>
      </w:r>
      <w:r w:rsidR="00B177F5">
        <w:t xml:space="preserve">Figure </w:t>
      </w:r>
      <w:r w:rsidR="00B177F5">
        <w:rPr>
          <w:noProof/>
        </w:rPr>
        <w:t>19</w:t>
      </w:r>
      <w:r w:rsidR="005A6D1E">
        <w:fldChar w:fldCharType="end"/>
      </w:r>
      <w:r w:rsidR="00C863D9">
        <w:t xml:space="preserve">) are included as </w:t>
      </w:r>
      <w:r w:rsidR="00C863D9">
        <w:fldChar w:fldCharType="begin"/>
      </w:r>
      <w:r w:rsidR="00C863D9">
        <w:instrText xml:space="preserve"> REF _Ref4054899 \h </w:instrText>
      </w:r>
      <w:r w:rsidR="00C863D9">
        <w:fldChar w:fldCharType="separate"/>
      </w:r>
      <w:r w:rsidR="00B177F5">
        <w:t xml:space="preserve">Figure </w:t>
      </w:r>
      <w:r w:rsidR="00B177F5">
        <w:rPr>
          <w:noProof/>
        </w:rPr>
        <w:t>27</w:t>
      </w:r>
      <w:r w:rsidR="00C863D9">
        <w:fldChar w:fldCharType="end"/>
      </w:r>
      <w:r w:rsidR="00C863D9">
        <w:t xml:space="preserve"> and </w:t>
      </w:r>
      <w:r w:rsidR="00C863D9">
        <w:fldChar w:fldCharType="begin"/>
      </w:r>
      <w:r w:rsidR="00C863D9">
        <w:instrText xml:space="preserve"> REF _Ref4049916 \h </w:instrText>
      </w:r>
      <w:r w:rsidR="00C863D9">
        <w:fldChar w:fldCharType="separate"/>
      </w:r>
      <w:r w:rsidR="00B177F5">
        <w:t xml:space="preserve">Figure </w:t>
      </w:r>
      <w:r w:rsidR="00B177F5">
        <w:rPr>
          <w:noProof/>
        </w:rPr>
        <w:t>28</w:t>
      </w:r>
      <w:r w:rsidR="00C863D9">
        <w:fldChar w:fldCharType="end"/>
      </w:r>
      <w:r w:rsidR="00C863D9">
        <w:t xml:space="preserve">. Water levels are only available from September 2014 to May 2018, over which time the hydrographs show limited seasonal fluctuation. The hydraulic head in RN036471.11 generally remained 1 m higher than in RN036471.12, indicating a potential for upward flow at this location (noting that there is a vertical difference of 89.49 m between screen centres). No other nested wells are monitored in the </w:t>
      </w:r>
      <w:r w:rsidR="00E12779">
        <w:t>Beetaloo GBA region</w:t>
      </w:r>
      <w:r w:rsidR="00C863D9">
        <w:t>, so the distribution of relative head differences is unknown from available hydrographs.</w:t>
      </w:r>
    </w:p>
    <w:p w14:paraId="6D14CB4C" w14:textId="3D74FF09" w:rsidR="00C863D9" w:rsidRDefault="37D398EC" w:rsidP="00C863D9">
      <w:r>
        <w:t>Origin Energy’s monitoring has focused on the eastern Beetaloo GBA region (</w:t>
      </w:r>
      <w:r w:rsidR="00C863D9">
        <w:fldChar w:fldCharType="begin"/>
      </w:r>
      <w:r w:rsidR="00C863D9">
        <w:instrText xml:space="preserve"> REF _Ref4423282 \h </w:instrText>
      </w:r>
      <w:r w:rsidR="00C863D9">
        <w:fldChar w:fldCharType="separate"/>
      </w:r>
      <w:r w:rsidR="00B177F5">
        <w:t xml:space="preserve">Figure </w:t>
      </w:r>
      <w:r w:rsidR="00B177F5">
        <w:rPr>
          <w:noProof/>
        </w:rPr>
        <w:t>19</w:t>
      </w:r>
      <w:r w:rsidR="00C863D9">
        <w:fldChar w:fldCharType="end"/>
      </w:r>
      <w:r>
        <w:t xml:space="preserve">). Most of their hydrographs commence in 2015 or 2016, so long-term trends are uncertain. Logger hydrographs have not had barometric pressure removed, and many include potentially anomalous data points. It is difficult to make definitive interpretations without longer term data, although it does appear that seasonal fluctuation in some of Origin Energy’s monitoring bores may be less than in monitoring bores further north. </w:t>
      </w:r>
    </w:p>
    <w:p w14:paraId="01583CA9" w14:textId="4BAE2162" w:rsidR="00C2742F" w:rsidRDefault="00574E33" w:rsidP="00836181">
      <w:pPr>
        <w:pStyle w:val="Heading6"/>
      </w:pPr>
      <w:bookmarkStart w:id="682" w:name="_Ref33450601"/>
      <w:r>
        <w:t xml:space="preserve">Karst, </w:t>
      </w:r>
      <w:r w:rsidR="00A43C9F">
        <w:t xml:space="preserve">fracture porosity </w:t>
      </w:r>
      <w:r w:rsidR="00C06326">
        <w:t>and</w:t>
      </w:r>
      <w:r>
        <w:t xml:space="preserve"> groundwater flow</w:t>
      </w:r>
      <w:r w:rsidR="00A43C9F">
        <w:t xml:space="preserve"> paths</w:t>
      </w:r>
      <w:bookmarkEnd w:id="682"/>
    </w:p>
    <w:p w14:paraId="0128CDAA" w14:textId="3D09F2DA" w:rsidR="002A77AD" w:rsidRPr="00746B2A" w:rsidRDefault="005233CD">
      <w:pPr>
        <w:pStyle w:val="BodyText"/>
        <w:rPr>
          <w:rStyle w:val="Bold"/>
          <w:b w:val="0"/>
        </w:rPr>
      </w:pPr>
      <w:r w:rsidRPr="00746B2A">
        <w:rPr>
          <w:rStyle w:val="Bold"/>
          <w:b w:val="0"/>
        </w:rPr>
        <w:t>Whil</w:t>
      </w:r>
      <w:r w:rsidR="00A00A2A" w:rsidRPr="00746B2A">
        <w:rPr>
          <w:rStyle w:val="Bold"/>
          <w:b w:val="0"/>
        </w:rPr>
        <w:t>e</w:t>
      </w:r>
      <w:r w:rsidRPr="00746B2A">
        <w:rPr>
          <w:rStyle w:val="Bold"/>
          <w:b w:val="0"/>
        </w:rPr>
        <w:t xml:space="preserve"> regional groundwater flow is </w:t>
      </w:r>
      <w:r w:rsidR="00C06326" w:rsidRPr="00746B2A">
        <w:rPr>
          <w:rStyle w:val="Bold"/>
          <w:b w:val="0"/>
        </w:rPr>
        <w:t xml:space="preserve">generally </w:t>
      </w:r>
      <w:r w:rsidRPr="00746B2A">
        <w:rPr>
          <w:rStyle w:val="Bold"/>
          <w:b w:val="0"/>
        </w:rPr>
        <w:t>northwards</w:t>
      </w:r>
      <w:r w:rsidR="00A43C9F" w:rsidRPr="00746B2A">
        <w:rPr>
          <w:rStyle w:val="Bold"/>
          <w:b w:val="0"/>
        </w:rPr>
        <w:t xml:space="preserve"> (</w:t>
      </w:r>
      <w:r w:rsidR="00A43C9F" w:rsidRPr="00746B2A">
        <w:rPr>
          <w:rStyle w:val="Bold"/>
          <w:b w:val="0"/>
        </w:rPr>
        <w:fldChar w:fldCharType="begin"/>
      </w:r>
      <w:r w:rsidR="00A43C9F" w:rsidRPr="00746B2A">
        <w:rPr>
          <w:rStyle w:val="Bold"/>
          <w:b w:val="0"/>
        </w:rPr>
        <w:instrText xml:space="preserve"> REF _Ref1137606 \h </w:instrText>
      </w:r>
      <w:r w:rsidR="00455FCB" w:rsidRPr="00746B2A">
        <w:rPr>
          <w:rStyle w:val="Bold"/>
          <w:b w:val="0"/>
        </w:rPr>
        <w:instrText xml:space="preserve"> \* MERGEFORMAT </w:instrText>
      </w:r>
      <w:r w:rsidR="00A43C9F" w:rsidRPr="00746B2A">
        <w:rPr>
          <w:rStyle w:val="Bold"/>
          <w:b w:val="0"/>
        </w:rPr>
      </w:r>
      <w:r w:rsidR="00A43C9F" w:rsidRPr="00746B2A">
        <w:rPr>
          <w:rStyle w:val="Bold"/>
          <w:b w:val="0"/>
        </w:rPr>
        <w:fldChar w:fldCharType="separate"/>
      </w:r>
      <w:r w:rsidR="00B177F5" w:rsidRPr="00B177F5">
        <w:rPr>
          <w:rStyle w:val="Bold"/>
          <w:b w:val="0"/>
        </w:rPr>
        <w:t>Figure 16</w:t>
      </w:r>
      <w:r w:rsidR="00A43C9F" w:rsidRPr="00746B2A">
        <w:rPr>
          <w:rStyle w:val="Bold"/>
          <w:b w:val="0"/>
        </w:rPr>
        <w:fldChar w:fldCharType="end"/>
      </w:r>
      <w:r w:rsidR="00A43C9F" w:rsidRPr="00746B2A">
        <w:rPr>
          <w:rStyle w:val="Bold"/>
          <w:b w:val="0"/>
        </w:rPr>
        <w:t>)</w:t>
      </w:r>
      <w:r w:rsidR="002A77AD" w:rsidRPr="00746B2A">
        <w:rPr>
          <w:rStyle w:val="Bold"/>
          <w:b w:val="0"/>
        </w:rPr>
        <w:t xml:space="preserve">, </w:t>
      </w:r>
      <w:r w:rsidR="006B6F2C" w:rsidRPr="00746B2A">
        <w:rPr>
          <w:rStyle w:val="Bold"/>
          <w:b w:val="0"/>
        </w:rPr>
        <w:t xml:space="preserve">the </w:t>
      </w:r>
      <w:r w:rsidR="002A77AD" w:rsidRPr="00746B2A">
        <w:rPr>
          <w:rStyle w:val="Bold"/>
          <w:b w:val="0"/>
        </w:rPr>
        <w:t xml:space="preserve">groundwater flow configuration in the </w:t>
      </w:r>
      <w:r w:rsidR="00136CCF" w:rsidRPr="00746B2A">
        <w:rPr>
          <w:rStyle w:val="Bold"/>
          <w:b w:val="0"/>
        </w:rPr>
        <w:t>CLA</w:t>
      </w:r>
      <w:r w:rsidR="002A77AD" w:rsidRPr="00746B2A">
        <w:rPr>
          <w:rStyle w:val="Bold"/>
          <w:b w:val="0"/>
        </w:rPr>
        <w:t xml:space="preserve"> varies between the different basins </w:t>
      </w:r>
      <w:r w:rsidR="00A541ED" w:rsidRPr="00746B2A">
        <w:rPr>
          <w:rStyle w:val="Bold"/>
          <w:b w:val="0"/>
        </w:rPr>
        <w:fldChar w:fldCharType="begin"/>
      </w:r>
      <w:r w:rsidR="00F76E0D">
        <w:rPr>
          <w:rStyle w:val="Bold"/>
          <w:b w:val="0"/>
        </w:rPr>
        <w:instrText xml:space="preserve"> ADDIN EN.CITE &lt;EndNote&gt;&lt;Cite&gt;&lt;Author&gt;Tickell&lt;/Author&gt;&lt;Year&gt;2017&lt;/Year&gt;&lt;RecNum&gt;695&lt;/RecNum&gt;&lt;DisplayText&gt;(Tickell and Bruwer, 2017)&lt;/DisplayText&gt;&lt;record&gt;&lt;rec-number&gt;695&lt;/rec-number&gt;&lt;foreign-keys&gt;&lt;key app="EN" db-id="wdf9tzzdhw2saee559kv0vezt0wfsta0zedv" timestamp="1545264525"&gt;695&lt;/key&gt;&lt;key app="ENWeb" db-id=""&gt;0&lt;/key&gt;&lt;/foreign-keys&gt;&lt;ref-type name="Report"&gt;27&lt;/ref-type&gt;&lt;contributors&gt;&lt;authors&gt;&lt;author&gt;Tickell, Stephen. J.&lt;/author&gt;&lt;author&gt;Bruwer, Quentin&lt;/author&gt;&lt;/authors&gt;&lt;tertiary-authors&gt;&lt;author&gt;Northern Territory Department of Environment and Natural Resources&lt;/author&gt;&lt;/tertiary-authors&gt;&lt;subsidiary-authors&gt;&lt;author&gt;Water Resources Division&lt;/author&gt;&lt;/subsidiary-authors&gt;&lt;/contributors&gt;&lt;titles&gt;&lt;title&gt;Georgina Basin Groundwater Assessment: Daly Waters to Tennant Creek&lt;/title&gt;&lt;/titles&gt;&lt;pages&gt;108&lt;/pages&gt;&lt;number&gt;Technical Report 17/2017&lt;/number&gt;&lt;dates&gt;&lt;year&gt;2017&lt;/year&gt;&lt;/dates&gt;&lt;publisher&gt;Northern Territory Department of Environment and Natural Resources&lt;/publisher&gt;&lt;isbn&gt;Technical Report 17/2017&lt;/isbn&gt;&lt;urls&gt;&lt;related-urls&gt;&lt;url&gt;&lt;style face="underline" font="default" size="100%"&gt;http://www.territorystories.nt.gov.au/jspui/handle/10070/304921&lt;/style&gt;&lt;/url&gt;&lt;/related-urls&gt;&lt;/urls&gt;&lt;access-date&gt;20 April 2020&lt;/access-date&gt;&lt;/record&gt;&lt;/Cite&gt;&lt;/EndNote&gt;</w:instrText>
      </w:r>
      <w:r w:rsidR="00A541ED" w:rsidRPr="00746B2A">
        <w:rPr>
          <w:rStyle w:val="Bold"/>
          <w:b w:val="0"/>
        </w:rPr>
        <w:fldChar w:fldCharType="separate"/>
      </w:r>
      <w:r w:rsidR="007E7B35" w:rsidRPr="00746B2A">
        <w:rPr>
          <w:rStyle w:val="Bold"/>
          <w:b w:val="0"/>
          <w:noProof/>
        </w:rPr>
        <w:t>(Tickell and Bruwer, 2017)</w:t>
      </w:r>
      <w:r w:rsidR="00A541ED" w:rsidRPr="00746B2A">
        <w:rPr>
          <w:rStyle w:val="Bold"/>
          <w:b w:val="0"/>
        </w:rPr>
        <w:fldChar w:fldCharType="end"/>
      </w:r>
      <w:r w:rsidR="002A77AD" w:rsidRPr="00746B2A">
        <w:rPr>
          <w:rStyle w:val="Bold"/>
          <w:b w:val="0"/>
        </w:rPr>
        <w:t>. For instance</w:t>
      </w:r>
      <w:r w:rsidR="006B6F2C" w:rsidRPr="00746B2A">
        <w:rPr>
          <w:rStyle w:val="Bold"/>
          <w:b w:val="0"/>
        </w:rPr>
        <w:t>,</w:t>
      </w:r>
      <w:r w:rsidR="002A77AD" w:rsidRPr="00746B2A">
        <w:rPr>
          <w:rStyle w:val="Bold"/>
          <w:b w:val="0"/>
        </w:rPr>
        <w:t xml:space="preserve"> groundwater flow in</w:t>
      </w:r>
      <w:r w:rsidR="006B6F2C" w:rsidRPr="00746B2A">
        <w:rPr>
          <w:rStyle w:val="Bold"/>
          <w:b w:val="0"/>
        </w:rPr>
        <w:t xml:space="preserve"> the Gum Ridge Formation (</w:t>
      </w:r>
      <w:r w:rsidR="002A77AD" w:rsidRPr="00746B2A">
        <w:rPr>
          <w:rStyle w:val="Bold"/>
          <w:b w:val="0"/>
        </w:rPr>
        <w:t>Georgina Basin</w:t>
      </w:r>
      <w:r w:rsidR="006B6F2C" w:rsidRPr="00746B2A">
        <w:rPr>
          <w:rStyle w:val="Bold"/>
          <w:b w:val="0"/>
        </w:rPr>
        <w:t>)</w:t>
      </w:r>
      <w:r w:rsidR="002A77AD" w:rsidRPr="00746B2A">
        <w:rPr>
          <w:rStyle w:val="Bold"/>
          <w:b w:val="0"/>
        </w:rPr>
        <w:t xml:space="preserve"> </w:t>
      </w:r>
      <w:r w:rsidR="006B6F2C" w:rsidRPr="00746B2A">
        <w:rPr>
          <w:rStyle w:val="Bold"/>
          <w:b w:val="0"/>
        </w:rPr>
        <w:t xml:space="preserve">is largely confined, </w:t>
      </w:r>
      <w:r w:rsidR="004F4026" w:rsidRPr="00746B2A">
        <w:rPr>
          <w:rStyle w:val="Bold"/>
          <w:b w:val="0"/>
        </w:rPr>
        <w:t xml:space="preserve">and </w:t>
      </w:r>
      <w:r w:rsidR="002A77AD" w:rsidRPr="00746B2A">
        <w:rPr>
          <w:rStyle w:val="Bold"/>
          <w:b w:val="0"/>
        </w:rPr>
        <w:t xml:space="preserve">is from </w:t>
      </w:r>
      <w:r w:rsidR="006B6F2C" w:rsidRPr="00746B2A">
        <w:rPr>
          <w:rStyle w:val="Bold"/>
          <w:b w:val="0"/>
        </w:rPr>
        <w:t>basin margin to</w:t>
      </w:r>
      <w:r w:rsidR="002A77AD" w:rsidRPr="00746B2A">
        <w:rPr>
          <w:rStyle w:val="Bold"/>
          <w:b w:val="0"/>
        </w:rPr>
        <w:t xml:space="preserve"> basin centre</w:t>
      </w:r>
      <w:r w:rsidR="006B6F2C" w:rsidRPr="00746B2A">
        <w:rPr>
          <w:rStyle w:val="Bold"/>
          <w:b w:val="0"/>
        </w:rPr>
        <w:t xml:space="preserve">, </w:t>
      </w:r>
      <w:r w:rsidR="004F4026" w:rsidRPr="00746B2A">
        <w:rPr>
          <w:rStyle w:val="Bold"/>
          <w:b w:val="0"/>
        </w:rPr>
        <w:t>then northwards into the Daly Basin</w:t>
      </w:r>
      <w:r w:rsidR="002A77AD" w:rsidRPr="00746B2A">
        <w:rPr>
          <w:rStyle w:val="Bold"/>
          <w:b w:val="0"/>
        </w:rPr>
        <w:t xml:space="preserve">. Whereas, </w:t>
      </w:r>
      <w:r w:rsidR="004F4026" w:rsidRPr="00746B2A">
        <w:rPr>
          <w:rStyle w:val="Bold"/>
          <w:b w:val="0"/>
        </w:rPr>
        <w:t xml:space="preserve">in the vicinity of unconfined areas of </w:t>
      </w:r>
      <w:r w:rsidR="0047278E" w:rsidRPr="00746B2A">
        <w:rPr>
          <w:rStyle w:val="Bold"/>
          <w:b w:val="0"/>
        </w:rPr>
        <w:t xml:space="preserve">the </w:t>
      </w:r>
      <w:r w:rsidR="002A77AD" w:rsidRPr="00746B2A">
        <w:rPr>
          <w:rStyle w:val="Bold"/>
          <w:b w:val="0"/>
        </w:rPr>
        <w:t>Tindall</w:t>
      </w:r>
      <w:r w:rsidR="004F4026" w:rsidRPr="00746B2A">
        <w:rPr>
          <w:rStyle w:val="Bold"/>
          <w:b w:val="0"/>
        </w:rPr>
        <w:t xml:space="preserve"> aquifer in </w:t>
      </w:r>
      <w:r w:rsidR="006B6F2C" w:rsidRPr="00746B2A">
        <w:rPr>
          <w:rStyle w:val="Bold"/>
          <w:b w:val="0"/>
        </w:rPr>
        <w:t xml:space="preserve">the </w:t>
      </w:r>
      <w:r w:rsidR="004F4026" w:rsidRPr="00746B2A">
        <w:rPr>
          <w:rStyle w:val="Bold"/>
          <w:b w:val="0"/>
        </w:rPr>
        <w:t xml:space="preserve">Daly Basin, groundwater flow tends to parallel basin margins, discharging to rivers that crosscut the aquifer </w:t>
      </w:r>
      <w:r w:rsidR="00A541ED" w:rsidRPr="00746B2A">
        <w:rPr>
          <w:rStyle w:val="Bold"/>
          <w:b w:val="0"/>
        </w:rPr>
        <w:fldChar w:fldCharType="begin"/>
      </w:r>
      <w:r w:rsidR="00F76E0D">
        <w:rPr>
          <w:rStyle w:val="Bold"/>
          <w:b w:val="0"/>
        </w:rPr>
        <w:instrText xml:space="preserve"> ADDIN EN.CITE &lt;EndNote&gt;&lt;Cite&gt;&lt;Author&gt;Tickell&lt;/Author&gt;&lt;Year&gt;2017&lt;/Year&gt;&lt;RecNum&gt;695&lt;/RecNum&gt;&lt;DisplayText&gt;(Tickell and Bruwer, 2017)&lt;/DisplayText&gt;&lt;record&gt;&lt;rec-number&gt;695&lt;/rec-number&gt;&lt;foreign-keys&gt;&lt;key app="EN" db-id="wdf9tzzdhw2saee559kv0vezt0wfsta0zedv" timestamp="1545264525"&gt;695&lt;/key&gt;&lt;key app="ENWeb" db-id=""&gt;0&lt;/key&gt;&lt;/foreign-keys&gt;&lt;ref-type name="Report"&gt;27&lt;/ref-type&gt;&lt;contributors&gt;&lt;authors&gt;&lt;author&gt;Tickell, Stephen. J.&lt;/author&gt;&lt;author&gt;Bruwer, Quentin&lt;/author&gt;&lt;/authors&gt;&lt;tertiary-authors&gt;&lt;author&gt;Northern Territory Department of Environment and Natural Resources&lt;/author&gt;&lt;/tertiary-authors&gt;&lt;subsidiary-authors&gt;&lt;author&gt;Water Resources Division&lt;/author&gt;&lt;/subsidiary-authors&gt;&lt;/contributors&gt;&lt;titles&gt;&lt;title&gt;Georgina Basin Groundwater Assessment: Daly Waters to Tennant Creek&lt;/title&gt;&lt;/titles&gt;&lt;pages&gt;108&lt;/pages&gt;&lt;number&gt;Technical Report 17/2017&lt;/number&gt;&lt;dates&gt;&lt;year&gt;2017&lt;/year&gt;&lt;/dates&gt;&lt;publisher&gt;Northern Territory Department of Environment and Natural Resources&lt;/publisher&gt;&lt;isbn&gt;Technical Report 17/2017&lt;/isbn&gt;&lt;urls&gt;&lt;related-urls&gt;&lt;url&gt;&lt;style face="underline" font="default" size="100%"&gt;http://www.territorystories.nt.gov.au/jspui/handle/10070/304921&lt;/style&gt;&lt;/url&gt;&lt;/related-urls&gt;&lt;/urls&gt;&lt;access-date&gt;20 April 2020&lt;/access-date&gt;&lt;/record&gt;&lt;/Cite&gt;&lt;/EndNote&gt;</w:instrText>
      </w:r>
      <w:r w:rsidR="00A541ED" w:rsidRPr="00746B2A">
        <w:rPr>
          <w:rStyle w:val="Bold"/>
          <w:b w:val="0"/>
        </w:rPr>
        <w:fldChar w:fldCharType="separate"/>
      </w:r>
      <w:r w:rsidR="007E7B35" w:rsidRPr="00746B2A">
        <w:rPr>
          <w:rStyle w:val="Bold"/>
          <w:b w:val="0"/>
          <w:noProof/>
        </w:rPr>
        <w:t>(Tickell and Bruwer, 2017)</w:t>
      </w:r>
      <w:r w:rsidR="00A541ED" w:rsidRPr="00746B2A">
        <w:rPr>
          <w:rStyle w:val="Bold"/>
          <w:b w:val="0"/>
        </w:rPr>
        <w:fldChar w:fldCharType="end"/>
      </w:r>
      <w:r w:rsidR="004F4026" w:rsidRPr="00746B2A">
        <w:rPr>
          <w:rStyle w:val="Bold"/>
          <w:b w:val="0"/>
        </w:rPr>
        <w:t>.</w:t>
      </w:r>
      <w:r w:rsidR="0056581A" w:rsidRPr="00746B2A">
        <w:rPr>
          <w:rStyle w:val="Bold"/>
          <w:b w:val="0"/>
        </w:rPr>
        <w:t xml:space="preserve"> </w:t>
      </w:r>
    </w:p>
    <w:p w14:paraId="5FBC83FC" w14:textId="01A5D5B9" w:rsidR="00922FF7" w:rsidRPr="00746B2A" w:rsidRDefault="004F4026">
      <w:pPr>
        <w:pStyle w:val="BodyText"/>
        <w:rPr>
          <w:rStyle w:val="Bold"/>
          <w:b w:val="0"/>
        </w:rPr>
      </w:pPr>
      <w:r w:rsidRPr="00746B2A">
        <w:rPr>
          <w:rStyle w:val="Bold"/>
          <w:b w:val="0"/>
        </w:rPr>
        <w:t>T</w:t>
      </w:r>
      <w:r w:rsidR="001C2380" w:rsidRPr="00746B2A">
        <w:rPr>
          <w:rStyle w:val="Bold"/>
          <w:b w:val="0"/>
        </w:rPr>
        <w:t>he variable</w:t>
      </w:r>
      <w:r w:rsidR="00C70EAC" w:rsidRPr="00746B2A">
        <w:rPr>
          <w:rStyle w:val="Bold"/>
          <w:b w:val="0"/>
        </w:rPr>
        <w:t xml:space="preserve"> and relative</w:t>
      </w:r>
      <w:r w:rsidR="00136CCF" w:rsidRPr="00746B2A">
        <w:rPr>
          <w:rStyle w:val="Bold"/>
          <w:b w:val="0"/>
        </w:rPr>
        <w:t>ly</w:t>
      </w:r>
      <w:r w:rsidR="00C70EAC" w:rsidRPr="00746B2A">
        <w:rPr>
          <w:rStyle w:val="Bold"/>
          <w:b w:val="0"/>
        </w:rPr>
        <w:t xml:space="preserve"> unpredictable</w:t>
      </w:r>
      <w:r w:rsidR="001C2380" w:rsidRPr="00746B2A">
        <w:rPr>
          <w:rStyle w:val="Bold"/>
          <w:b w:val="0"/>
        </w:rPr>
        <w:t xml:space="preserve"> degree of </w:t>
      </w:r>
      <w:r w:rsidR="00574E33" w:rsidRPr="00746B2A">
        <w:rPr>
          <w:rStyle w:val="Bold"/>
          <w:b w:val="0"/>
        </w:rPr>
        <w:t xml:space="preserve">karstification </w:t>
      </w:r>
      <w:r w:rsidR="009052FB" w:rsidRPr="00746B2A">
        <w:rPr>
          <w:rStyle w:val="Bold"/>
          <w:b w:val="0"/>
        </w:rPr>
        <w:t xml:space="preserve">and fracturing </w:t>
      </w:r>
      <w:r w:rsidR="002A77AD" w:rsidRPr="00746B2A">
        <w:rPr>
          <w:rStyle w:val="Bold"/>
          <w:b w:val="0"/>
        </w:rPr>
        <w:t xml:space="preserve">throughout the </w:t>
      </w:r>
      <w:r w:rsidR="00136CCF" w:rsidRPr="00746B2A">
        <w:rPr>
          <w:rStyle w:val="Bold"/>
          <w:b w:val="0"/>
        </w:rPr>
        <w:t>CLA</w:t>
      </w:r>
      <w:r w:rsidR="001C2380" w:rsidRPr="00746B2A">
        <w:rPr>
          <w:rStyle w:val="Bold"/>
          <w:b w:val="0"/>
        </w:rPr>
        <w:t xml:space="preserve"> </w:t>
      </w:r>
      <w:r w:rsidR="00005B50" w:rsidRPr="00746B2A">
        <w:rPr>
          <w:rStyle w:val="Bold"/>
          <w:b w:val="0"/>
        </w:rPr>
        <w:t>are likely to influence</w:t>
      </w:r>
      <w:r w:rsidR="00574E33" w:rsidRPr="00746B2A">
        <w:rPr>
          <w:rStyle w:val="Bold"/>
          <w:b w:val="0"/>
        </w:rPr>
        <w:t xml:space="preserve"> </w:t>
      </w:r>
      <w:r w:rsidR="000947D2" w:rsidRPr="00746B2A">
        <w:rPr>
          <w:rStyle w:val="Bold"/>
          <w:b w:val="0"/>
        </w:rPr>
        <w:t xml:space="preserve">both </w:t>
      </w:r>
      <w:r w:rsidR="00574E33" w:rsidRPr="00746B2A">
        <w:rPr>
          <w:rStyle w:val="Bold"/>
          <w:b w:val="0"/>
        </w:rPr>
        <w:t>groundwater flow direction</w:t>
      </w:r>
      <w:r w:rsidR="002A77AD" w:rsidRPr="00746B2A">
        <w:rPr>
          <w:rStyle w:val="Bold"/>
          <w:b w:val="0"/>
        </w:rPr>
        <w:t xml:space="preserve"> </w:t>
      </w:r>
      <w:r w:rsidR="00574E33" w:rsidRPr="00746B2A">
        <w:rPr>
          <w:rStyle w:val="Bold"/>
          <w:b w:val="0"/>
        </w:rPr>
        <w:t xml:space="preserve">and </w:t>
      </w:r>
      <w:r w:rsidR="000947D2" w:rsidRPr="00746B2A">
        <w:rPr>
          <w:rStyle w:val="Bold"/>
          <w:b w:val="0"/>
        </w:rPr>
        <w:t xml:space="preserve">flow </w:t>
      </w:r>
      <w:r w:rsidR="00574E33" w:rsidRPr="00746B2A">
        <w:rPr>
          <w:rStyle w:val="Bold"/>
          <w:b w:val="0"/>
        </w:rPr>
        <w:t>rates, at</w:t>
      </w:r>
      <w:r w:rsidR="009052FB" w:rsidRPr="00746B2A">
        <w:rPr>
          <w:rStyle w:val="Bold"/>
          <w:b w:val="0"/>
        </w:rPr>
        <w:t xml:space="preserve"> least</w:t>
      </w:r>
      <w:r w:rsidR="00574E33" w:rsidRPr="00746B2A">
        <w:rPr>
          <w:rStyle w:val="Bold"/>
          <w:b w:val="0"/>
        </w:rPr>
        <w:t xml:space="preserve"> a</w:t>
      </w:r>
      <w:r w:rsidR="009052FB" w:rsidRPr="00746B2A">
        <w:rPr>
          <w:rStyle w:val="Bold"/>
          <w:b w:val="0"/>
        </w:rPr>
        <w:t>t</w:t>
      </w:r>
      <w:r w:rsidR="00574E33" w:rsidRPr="00746B2A">
        <w:rPr>
          <w:rStyle w:val="Bold"/>
          <w:b w:val="0"/>
        </w:rPr>
        <w:t xml:space="preserve"> local to </w:t>
      </w:r>
      <w:r w:rsidR="001C2380" w:rsidRPr="00746B2A">
        <w:rPr>
          <w:rStyle w:val="Bold"/>
          <w:b w:val="0"/>
        </w:rPr>
        <w:t>intermediate scale</w:t>
      </w:r>
      <w:r w:rsidR="00C97946" w:rsidRPr="00746B2A">
        <w:rPr>
          <w:rStyle w:val="Bold"/>
          <w:b w:val="0"/>
        </w:rPr>
        <w:t>s</w:t>
      </w:r>
      <w:r w:rsidRPr="00746B2A">
        <w:rPr>
          <w:rStyle w:val="Bold"/>
          <w:b w:val="0"/>
        </w:rPr>
        <w:t xml:space="preserve"> (i.e. ten</w:t>
      </w:r>
      <w:r w:rsidR="00C06326" w:rsidRPr="00746B2A">
        <w:rPr>
          <w:rStyle w:val="Bold"/>
          <w:b w:val="0"/>
        </w:rPr>
        <w:t xml:space="preserve">s of </w:t>
      </w:r>
      <w:r w:rsidR="00236B0A" w:rsidRPr="00746B2A">
        <w:rPr>
          <w:rStyle w:val="Bold"/>
          <w:b w:val="0"/>
        </w:rPr>
        <w:t>kilometres</w:t>
      </w:r>
      <w:r w:rsidR="002A77AD" w:rsidRPr="00746B2A">
        <w:rPr>
          <w:rStyle w:val="Bold"/>
          <w:b w:val="0"/>
        </w:rPr>
        <w:t>)</w:t>
      </w:r>
      <w:r w:rsidR="001C2380" w:rsidRPr="00746B2A">
        <w:rPr>
          <w:rStyle w:val="Bold"/>
          <w:b w:val="0"/>
        </w:rPr>
        <w:t xml:space="preserve">. </w:t>
      </w:r>
      <w:r w:rsidR="005233CD" w:rsidRPr="00746B2A">
        <w:rPr>
          <w:rStyle w:val="Bold"/>
          <w:b w:val="0"/>
        </w:rPr>
        <w:t xml:space="preserve">This </w:t>
      </w:r>
      <w:r w:rsidR="000947D2" w:rsidRPr="00746B2A">
        <w:rPr>
          <w:rStyle w:val="Bold"/>
          <w:b w:val="0"/>
        </w:rPr>
        <w:t>is especially</w:t>
      </w:r>
      <w:r w:rsidR="005233CD" w:rsidRPr="00746B2A">
        <w:rPr>
          <w:rStyle w:val="Bold"/>
          <w:b w:val="0"/>
        </w:rPr>
        <w:t xml:space="preserve"> </w:t>
      </w:r>
      <w:r w:rsidR="00136CCF" w:rsidRPr="00746B2A">
        <w:rPr>
          <w:rStyle w:val="Bold"/>
          <w:b w:val="0"/>
        </w:rPr>
        <w:t xml:space="preserve">the </w:t>
      </w:r>
      <w:r w:rsidR="005233CD" w:rsidRPr="00746B2A">
        <w:rPr>
          <w:rStyle w:val="Bold"/>
          <w:b w:val="0"/>
        </w:rPr>
        <w:t>case in area</w:t>
      </w:r>
      <w:r w:rsidR="000947D2" w:rsidRPr="00746B2A">
        <w:rPr>
          <w:rStyle w:val="Bold"/>
          <w:b w:val="0"/>
        </w:rPr>
        <w:t xml:space="preserve">s where the </w:t>
      </w:r>
      <w:r w:rsidR="00136CCF" w:rsidRPr="00746B2A">
        <w:rPr>
          <w:rStyle w:val="Bold"/>
          <w:b w:val="0"/>
        </w:rPr>
        <w:t>CLA</w:t>
      </w:r>
      <w:r w:rsidR="000947D2" w:rsidRPr="00746B2A">
        <w:rPr>
          <w:rStyle w:val="Bold"/>
          <w:b w:val="0"/>
        </w:rPr>
        <w:t xml:space="preserve"> </w:t>
      </w:r>
      <w:r w:rsidR="00136CCF" w:rsidRPr="00746B2A">
        <w:rPr>
          <w:rStyle w:val="Bold"/>
          <w:b w:val="0"/>
        </w:rPr>
        <w:t>is</w:t>
      </w:r>
      <w:r w:rsidR="000947D2" w:rsidRPr="00746B2A">
        <w:rPr>
          <w:rStyle w:val="Bold"/>
          <w:b w:val="0"/>
        </w:rPr>
        <w:t xml:space="preserve"> not confined by </w:t>
      </w:r>
      <w:r w:rsidR="00E75C2E" w:rsidRPr="00746B2A">
        <w:rPr>
          <w:rStyle w:val="Bold"/>
          <w:b w:val="0"/>
        </w:rPr>
        <w:t xml:space="preserve">the </w:t>
      </w:r>
      <w:r w:rsidR="000947D2" w:rsidRPr="00746B2A">
        <w:rPr>
          <w:rStyle w:val="Bold"/>
          <w:b w:val="0"/>
        </w:rPr>
        <w:t xml:space="preserve">overlying </w:t>
      </w:r>
      <w:r w:rsidR="00E75C2E" w:rsidRPr="00746B2A">
        <w:rPr>
          <w:rStyle w:val="Bold"/>
          <w:b w:val="0"/>
        </w:rPr>
        <w:t>Carpentaria Basin</w:t>
      </w:r>
      <w:r w:rsidR="005233CD" w:rsidRPr="00746B2A">
        <w:rPr>
          <w:rStyle w:val="Bold"/>
          <w:b w:val="0"/>
        </w:rPr>
        <w:t xml:space="preserve">, </w:t>
      </w:r>
      <w:r w:rsidR="006B6F2C" w:rsidRPr="00746B2A">
        <w:rPr>
          <w:rStyle w:val="Bold"/>
          <w:b w:val="0"/>
        </w:rPr>
        <w:t xml:space="preserve">and/or the </w:t>
      </w:r>
      <w:r w:rsidR="005233CD" w:rsidRPr="00746B2A">
        <w:rPr>
          <w:rStyle w:val="Bold"/>
          <w:b w:val="0"/>
        </w:rPr>
        <w:t>Jinduckin or Anthony Lagoon f</w:t>
      </w:r>
      <w:r w:rsidR="000947D2" w:rsidRPr="00746B2A">
        <w:rPr>
          <w:rStyle w:val="Bold"/>
          <w:b w:val="0"/>
        </w:rPr>
        <w:t xml:space="preserve">ormations. </w:t>
      </w:r>
      <w:r w:rsidR="001C2380" w:rsidRPr="00746B2A">
        <w:rPr>
          <w:rStyle w:val="Bold"/>
          <w:b w:val="0"/>
        </w:rPr>
        <w:t>As an example</w:t>
      </w:r>
      <w:r w:rsidR="00EE1F22" w:rsidRPr="00746B2A">
        <w:rPr>
          <w:rStyle w:val="Bold"/>
          <w:b w:val="0"/>
        </w:rPr>
        <w:t xml:space="preserve">, </w:t>
      </w:r>
      <w:r w:rsidR="00EE1F22" w:rsidRPr="00746B2A">
        <w:rPr>
          <w:rStyle w:val="Bold"/>
          <w:b w:val="0"/>
        </w:rPr>
        <w:fldChar w:fldCharType="begin"/>
      </w:r>
      <w:r w:rsidR="00F76E0D">
        <w:rPr>
          <w:rStyle w:val="Bold"/>
          <w:b w:val="0"/>
        </w:rPr>
        <w:instrText xml:space="preserve"> ADDIN EN.CITE &lt;EndNote&gt;&lt;Cite AuthorYear="1"&gt;&lt;Author&gt;Karp&lt;/Author&gt;&lt;Year&gt;2005&lt;/Year&gt;&lt;RecNum&gt;1337&lt;/RecNum&gt;&lt;DisplayText&gt;Karp (2005)&lt;/DisplayText&gt;&lt;record&gt;&lt;rec-number&gt;1337&lt;/rec-number&gt;&lt;foreign-keys&gt;&lt;key app="EN" db-id="wdf9tzzdhw2saee559kv0vezt0wfsta0zedv" timestamp="1570747027"&gt;1337&lt;/key&gt;&lt;/foreign-keys&gt;&lt;ref-type name="Report"&gt;27&lt;/ref-type&gt;&lt;contributors&gt;&lt;authors&gt;&lt;author&gt;Karp, D.&lt;/author&gt;&lt;/authors&gt;&lt;tertiary-authors&gt;&lt;author&gt;Department of Natural Resources, Environment, the Arts and Sport (NT)&lt;/author&gt;&lt;/tertiary-authors&gt;&lt;subsidiary-authors&gt;&lt;author&gt;Department of Natural Resources, Environment, the Arts and Sport (NT)&lt;/author&gt;&lt;/subsidiary-authors&gt;&lt;/contributors&gt;&lt;titles&gt;&lt;title&gt;Evaluation of groundwater flow by dye tracing Katherine region&lt;/title&gt;&lt;/titles&gt;&lt;volume&gt;22/2005D.&lt;/volume&gt;&lt;number&gt;Technical Report No. 22/2005D.&lt;/number&gt;&lt;dates&gt;&lt;year&gt;2005&lt;/year&gt;&lt;/dates&gt;&lt;publisher&gt;Department of Natural Resources, Environment, the Arts and Sport (NT)&lt;/publisher&gt;&lt;isbn&gt;20&lt;/isbn&gt;&lt;urls&gt;&lt;/urls&gt;&lt;/record&gt;&lt;/Cite&gt;&lt;/EndNote&gt;</w:instrText>
      </w:r>
      <w:r w:rsidR="00EE1F22" w:rsidRPr="00746B2A">
        <w:rPr>
          <w:rStyle w:val="Bold"/>
          <w:b w:val="0"/>
        </w:rPr>
        <w:fldChar w:fldCharType="separate"/>
      </w:r>
      <w:r w:rsidR="00225452" w:rsidRPr="00746B2A">
        <w:rPr>
          <w:rStyle w:val="Bold"/>
          <w:b w:val="0"/>
          <w:noProof/>
        </w:rPr>
        <w:t>Karp (2005)</w:t>
      </w:r>
      <w:r w:rsidR="00EE1F22" w:rsidRPr="00746B2A">
        <w:rPr>
          <w:rStyle w:val="Bold"/>
          <w:b w:val="0"/>
        </w:rPr>
        <w:fldChar w:fldCharType="end"/>
      </w:r>
      <w:r w:rsidR="00EE1F22" w:rsidRPr="00746B2A">
        <w:rPr>
          <w:rStyle w:val="Bold"/>
          <w:b w:val="0"/>
        </w:rPr>
        <w:t xml:space="preserve"> </w:t>
      </w:r>
      <w:r w:rsidR="005233CD" w:rsidRPr="00746B2A">
        <w:rPr>
          <w:rStyle w:val="Bold"/>
          <w:b w:val="0"/>
        </w:rPr>
        <w:t>provides</w:t>
      </w:r>
      <w:r w:rsidR="00593584" w:rsidRPr="00746B2A">
        <w:rPr>
          <w:rStyle w:val="Bold"/>
          <w:b w:val="0"/>
        </w:rPr>
        <w:t xml:space="preserve"> </w:t>
      </w:r>
      <w:r w:rsidR="00455FCB" w:rsidRPr="00746B2A">
        <w:rPr>
          <w:rStyle w:val="Bold"/>
          <w:b w:val="0"/>
        </w:rPr>
        <w:t xml:space="preserve">a </w:t>
      </w:r>
      <w:r w:rsidR="00593584" w:rsidRPr="00746B2A">
        <w:rPr>
          <w:rStyle w:val="Bold"/>
          <w:b w:val="0"/>
        </w:rPr>
        <w:t xml:space="preserve">detailed description of recharge and discharge pathways to </w:t>
      </w:r>
      <w:r w:rsidR="005233CD" w:rsidRPr="00746B2A">
        <w:rPr>
          <w:rStyle w:val="Bold"/>
          <w:b w:val="0"/>
        </w:rPr>
        <w:t xml:space="preserve">unconfined portions of the </w:t>
      </w:r>
      <w:r w:rsidR="00593584" w:rsidRPr="00746B2A">
        <w:rPr>
          <w:rStyle w:val="Bold"/>
          <w:b w:val="0"/>
        </w:rPr>
        <w:t xml:space="preserve">Tindall </w:t>
      </w:r>
      <w:r w:rsidR="00BB6D37" w:rsidRPr="00746B2A">
        <w:rPr>
          <w:rStyle w:val="Bold"/>
          <w:b w:val="0"/>
        </w:rPr>
        <w:t>L</w:t>
      </w:r>
      <w:r w:rsidR="00593584" w:rsidRPr="00746B2A">
        <w:rPr>
          <w:rStyle w:val="Bold"/>
          <w:b w:val="0"/>
        </w:rPr>
        <w:t xml:space="preserve">imestone aquifer in the vicinity of Katherine. </w:t>
      </w:r>
      <w:r w:rsidR="00E75C2E" w:rsidRPr="00746B2A">
        <w:rPr>
          <w:rStyle w:val="Bold"/>
          <w:b w:val="0"/>
        </w:rPr>
        <w:t>Here, s</w:t>
      </w:r>
      <w:r w:rsidR="00FD7371" w:rsidRPr="00746B2A">
        <w:rPr>
          <w:rStyle w:val="Bold"/>
          <w:b w:val="0"/>
        </w:rPr>
        <w:t xml:space="preserve">everal north-west trending cave systems </w:t>
      </w:r>
      <w:r w:rsidR="000947D2" w:rsidRPr="00746B2A">
        <w:rPr>
          <w:rStyle w:val="Bold"/>
          <w:b w:val="0"/>
        </w:rPr>
        <w:t>are noted</w:t>
      </w:r>
      <w:r w:rsidR="005233CD" w:rsidRPr="00746B2A">
        <w:rPr>
          <w:rStyle w:val="Bold"/>
          <w:b w:val="0"/>
        </w:rPr>
        <w:t>, which</w:t>
      </w:r>
      <w:r w:rsidR="00FD7371" w:rsidRPr="00746B2A">
        <w:rPr>
          <w:rStyle w:val="Bold"/>
          <w:b w:val="0"/>
        </w:rPr>
        <w:t xml:space="preserve"> are in part structurally c</w:t>
      </w:r>
      <w:r w:rsidR="00A90771" w:rsidRPr="00746B2A">
        <w:rPr>
          <w:rStyle w:val="Bold"/>
          <w:b w:val="0"/>
        </w:rPr>
        <w:t xml:space="preserve">ontrolled by fracturing </w:t>
      </w:r>
      <w:r w:rsidR="00FD7371" w:rsidRPr="00746B2A">
        <w:rPr>
          <w:rStyle w:val="Bold"/>
          <w:b w:val="0"/>
        </w:rPr>
        <w:t xml:space="preserve">parallel to </w:t>
      </w:r>
      <w:r w:rsidR="005172A9" w:rsidRPr="00746B2A">
        <w:rPr>
          <w:rStyle w:val="Bold"/>
          <w:b w:val="0"/>
        </w:rPr>
        <w:t xml:space="preserve">the </w:t>
      </w:r>
      <w:r w:rsidR="00FD7371" w:rsidRPr="00746B2A">
        <w:rPr>
          <w:rStyle w:val="Bold"/>
          <w:b w:val="0"/>
        </w:rPr>
        <w:t>strike of bedding</w:t>
      </w:r>
      <w:r w:rsidR="00BC7662" w:rsidRPr="00746B2A">
        <w:rPr>
          <w:rStyle w:val="Bold"/>
          <w:b w:val="0"/>
        </w:rPr>
        <w:t xml:space="preserve"> (i.e. north</w:t>
      </w:r>
      <w:r w:rsidR="00737C45" w:rsidRPr="00746B2A">
        <w:rPr>
          <w:rStyle w:val="Bold"/>
          <w:b w:val="0"/>
        </w:rPr>
        <w:t>-</w:t>
      </w:r>
      <w:r w:rsidR="00BC7662" w:rsidRPr="00746B2A">
        <w:rPr>
          <w:rStyle w:val="Bold"/>
          <w:b w:val="0"/>
        </w:rPr>
        <w:t>west)</w:t>
      </w:r>
      <w:r w:rsidR="00FD7371" w:rsidRPr="00746B2A">
        <w:rPr>
          <w:rStyle w:val="Bold"/>
          <w:b w:val="0"/>
        </w:rPr>
        <w:t>. A series of d</w:t>
      </w:r>
      <w:r w:rsidR="00C97946" w:rsidRPr="00746B2A">
        <w:rPr>
          <w:rStyle w:val="Bold"/>
          <w:b w:val="0"/>
        </w:rPr>
        <w:t xml:space="preserve">ye tracer tests from a sinkhole to springs located at 2.5 </w:t>
      </w:r>
      <w:r w:rsidR="00136CCF" w:rsidRPr="00746B2A">
        <w:rPr>
          <w:rStyle w:val="Bold"/>
          <w:b w:val="0"/>
        </w:rPr>
        <w:t xml:space="preserve">km </w:t>
      </w:r>
      <w:r w:rsidR="00C97946" w:rsidRPr="00746B2A">
        <w:rPr>
          <w:rStyle w:val="Bold"/>
          <w:b w:val="0"/>
        </w:rPr>
        <w:t xml:space="preserve">and 4 km along the </w:t>
      </w:r>
      <w:r w:rsidR="00AB41C2" w:rsidRPr="00746B2A">
        <w:rPr>
          <w:rStyle w:val="Bold"/>
          <w:b w:val="0"/>
        </w:rPr>
        <w:t xml:space="preserve">south-west trending </w:t>
      </w:r>
      <w:r w:rsidR="00C97946" w:rsidRPr="00746B2A">
        <w:rPr>
          <w:rStyle w:val="Bold"/>
          <w:b w:val="0"/>
        </w:rPr>
        <w:t>Katherine River</w:t>
      </w:r>
      <w:r w:rsidR="00FD7371" w:rsidRPr="00746B2A">
        <w:rPr>
          <w:rStyle w:val="Bold"/>
          <w:b w:val="0"/>
        </w:rPr>
        <w:t>,</w:t>
      </w:r>
      <w:r w:rsidR="00C97946" w:rsidRPr="00746B2A">
        <w:rPr>
          <w:rStyle w:val="Bold"/>
          <w:b w:val="0"/>
        </w:rPr>
        <w:t xml:space="preserve"> </w:t>
      </w:r>
      <w:r w:rsidR="00FD7371" w:rsidRPr="00746B2A">
        <w:rPr>
          <w:rStyle w:val="Bold"/>
          <w:b w:val="0"/>
        </w:rPr>
        <w:t>demonstrated</w:t>
      </w:r>
      <w:r w:rsidR="00C97946" w:rsidRPr="00746B2A">
        <w:rPr>
          <w:rStyle w:val="Bold"/>
          <w:b w:val="0"/>
        </w:rPr>
        <w:t xml:space="preserve"> that </w:t>
      </w:r>
      <w:r w:rsidR="005172A9" w:rsidRPr="00746B2A">
        <w:rPr>
          <w:rStyle w:val="Bold"/>
          <w:b w:val="0"/>
        </w:rPr>
        <w:t xml:space="preserve">recharge and </w:t>
      </w:r>
      <w:r w:rsidR="00C97946" w:rsidRPr="00746B2A">
        <w:rPr>
          <w:rStyle w:val="Bold"/>
          <w:b w:val="0"/>
        </w:rPr>
        <w:t xml:space="preserve">groundwater flow could be rapid </w:t>
      </w:r>
      <w:r w:rsidR="00A541ED" w:rsidRPr="00746B2A">
        <w:rPr>
          <w:rStyle w:val="Bold"/>
          <w:b w:val="0"/>
        </w:rPr>
        <w:fldChar w:fldCharType="begin"/>
      </w:r>
      <w:r w:rsidR="00F76E0D">
        <w:rPr>
          <w:rStyle w:val="Bold"/>
          <w:b w:val="0"/>
        </w:rPr>
        <w:instrText xml:space="preserve"> ADDIN EN.CITE &lt;EndNote&gt;&lt;Cite&gt;&lt;Author&gt;Tickell&lt;/Author&gt;&lt;Year&gt;2005&lt;/Year&gt;&lt;RecNum&gt;733&lt;/RecNum&gt;&lt;DisplayText&gt;(Tickell, 2005)&lt;/DisplayText&gt;&lt;record&gt;&lt;rec-number&gt;733&lt;/rec-number&gt;&lt;foreign-keys&gt;&lt;key app="EN" db-id="wdf9tzzdhw2saee559kv0vezt0wfsta0zedv" timestamp="1550544784"&gt;733&lt;/key&gt;&lt;/foreign-keys&gt;&lt;ref-type name="Report"&gt;27&lt;/ref-type&gt;&lt;contributors&gt;&lt;authors&gt;&lt;author&gt;Tickell, Stephen. J.&lt;/author&gt;&lt;/authors&gt;&lt;secondary-authors&gt;&lt;author&gt;DEPARTMENT OF NATURAL RESOURCES THE ENVIRONMENT AND THE ARTS&lt;/author&gt;&lt;author&gt;NATURAL RESOURCES DIVISION&lt;/author&gt;&lt;/secondary-authors&gt;&lt;/contributors&gt;&lt;titles&gt;&lt;title&gt;Groundwater resources of the Tindall Limestone. Report 34/2005&lt;/title&gt;&lt;secondary-title&gt;REPORT 34/2005&lt;/secondary-title&gt;&lt;/titles&gt;&lt;dates&gt;&lt;year&gt;2005&lt;/year&gt;&lt;/dates&gt;&lt;publisher&gt;Department of Natural Resources, The Environment and The Arts Natural Resources Division&lt;/publisher&gt;&lt;urls&gt;&lt;/urls&gt;&lt;/record&gt;&lt;/Cite&gt;&lt;/EndNote&gt;</w:instrText>
      </w:r>
      <w:r w:rsidR="00A541ED" w:rsidRPr="00746B2A">
        <w:rPr>
          <w:rStyle w:val="Bold"/>
          <w:b w:val="0"/>
        </w:rPr>
        <w:fldChar w:fldCharType="separate"/>
      </w:r>
      <w:r w:rsidR="007E7B35" w:rsidRPr="00746B2A">
        <w:rPr>
          <w:rStyle w:val="Bold"/>
          <w:b w:val="0"/>
          <w:noProof/>
        </w:rPr>
        <w:t>(Tickell, 2005)</w:t>
      </w:r>
      <w:r w:rsidR="00A541ED" w:rsidRPr="00746B2A">
        <w:rPr>
          <w:rStyle w:val="Bold"/>
          <w:b w:val="0"/>
        </w:rPr>
        <w:fldChar w:fldCharType="end"/>
      </w:r>
      <w:r w:rsidR="00AB41C2" w:rsidRPr="00746B2A">
        <w:rPr>
          <w:rStyle w:val="Bold"/>
          <w:b w:val="0"/>
        </w:rPr>
        <w:t xml:space="preserve">, </w:t>
      </w:r>
      <w:r w:rsidR="00C97946" w:rsidRPr="00746B2A">
        <w:rPr>
          <w:rStyle w:val="Bold"/>
          <w:b w:val="0"/>
        </w:rPr>
        <w:t xml:space="preserve">taking </w:t>
      </w:r>
      <w:r w:rsidR="007535FA">
        <w:rPr>
          <w:rStyle w:val="Bold"/>
          <w:b w:val="0"/>
        </w:rPr>
        <w:t>two</w:t>
      </w:r>
      <w:r w:rsidR="00C97946" w:rsidRPr="00746B2A">
        <w:rPr>
          <w:rStyle w:val="Bold"/>
          <w:b w:val="0"/>
        </w:rPr>
        <w:t xml:space="preserve"> </w:t>
      </w:r>
      <w:r w:rsidR="00455FCB">
        <w:rPr>
          <w:rStyle w:val="Bold"/>
          <w:b w:val="0"/>
        </w:rPr>
        <w:t>and</w:t>
      </w:r>
      <w:r w:rsidR="00C97946" w:rsidRPr="00746B2A">
        <w:rPr>
          <w:rStyle w:val="Bold"/>
          <w:b w:val="0"/>
        </w:rPr>
        <w:t xml:space="preserve"> </w:t>
      </w:r>
      <w:r w:rsidR="007535FA">
        <w:rPr>
          <w:rStyle w:val="Bold"/>
          <w:b w:val="0"/>
        </w:rPr>
        <w:t>seven</w:t>
      </w:r>
      <w:r w:rsidR="00C97946" w:rsidRPr="00746B2A">
        <w:rPr>
          <w:rStyle w:val="Bold"/>
          <w:b w:val="0"/>
        </w:rPr>
        <w:t xml:space="preserve"> days</w:t>
      </w:r>
      <w:r w:rsidR="005233CD" w:rsidRPr="00746B2A">
        <w:rPr>
          <w:rStyle w:val="Bold"/>
          <w:b w:val="0"/>
        </w:rPr>
        <w:t xml:space="preserve"> </w:t>
      </w:r>
      <w:r w:rsidR="00455FCB">
        <w:rPr>
          <w:rStyle w:val="Bold"/>
          <w:b w:val="0"/>
        </w:rPr>
        <w:t xml:space="preserve">respectively </w:t>
      </w:r>
      <w:r w:rsidR="005233CD" w:rsidRPr="00746B2A">
        <w:rPr>
          <w:rStyle w:val="Bold"/>
          <w:b w:val="0"/>
        </w:rPr>
        <w:t xml:space="preserve">to reach </w:t>
      </w:r>
      <w:r w:rsidR="00455FCB">
        <w:rPr>
          <w:rStyle w:val="Bold"/>
          <w:b w:val="0"/>
        </w:rPr>
        <w:t xml:space="preserve">the </w:t>
      </w:r>
      <w:r w:rsidR="005233CD" w:rsidRPr="00746B2A">
        <w:rPr>
          <w:rStyle w:val="Bold"/>
          <w:b w:val="0"/>
        </w:rPr>
        <w:t xml:space="preserve">spring </w:t>
      </w:r>
      <w:r w:rsidR="00AB41C2" w:rsidRPr="00746B2A">
        <w:rPr>
          <w:rStyle w:val="Bold"/>
          <w:b w:val="0"/>
        </w:rPr>
        <w:t>discharge points (570</w:t>
      </w:r>
      <w:r w:rsidR="007535FA">
        <w:rPr>
          <w:rStyle w:val="Bold"/>
          <w:b w:val="0"/>
        </w:rPr>
        <w:t>–</w:t>
      </w:r>
      <w:r w:rsidR="00AB41C2" w:rsidRPr="00746B2A">
        <w:rPr>
          <w:rStyle w:val="Bold"/>
          <w:b w:val="0"/>
        </w:rPr>
        <w:t xml:space="preserve">1250 m/day). </w:t>
      </w:r>
      <w:r w:rsidR="00A541ED" w:rsidRPr="00746B2A">
        <w:rPr>
          <w:rStyle w:val="Bold"/>
          <w:b w:val="0"/>
        </w:rPr>
        <w:fldChar w:fldCharType="begin"/>
      </w:r>
      <w:r w:rsidR="00F76E0D">
        <w:rPr>
          <w:rStyle w:val="Bold"/>
          <w:b w:val="0"/>
        </w:rPr>
        <w:instrText xml:space="preserve"> ADDIN EN.CITE &lt;EndNote&gt;&lt;Cite AuthorYear="1"&gt;&lt;Author&gt;Tickell&lt;/Author&gt;&lt;Year&gt;2005&lt;/Year&gt;&lt;RecNum&gt;733&lt;/RecNum&gt;&lt;DisplayText&gt;Tickell (2005)&lt;/DisplayText&gt;&lt;record&gt;&lt;rec-number&gt;733&lt;/rec-number&gt;&lt;foreign-keys&gt;&lt;key app="EN" db-id="wdf9tzzdhw2saee559kv0vezt0wfsta0zedv" timestamp="1550544784"&gt;733&lt;/key&gt;&lt;/foreign-keys&gt;&lt;ref-type name="Report"&gt;27&lt;/ref-type&gt;&lt;contributors&gt;&lt;authors&gt;&lt;author&gt;Tickell, Stephen. J.&lt;/author&gt;&lt;/authors&gt;&lt;secondary-authors&gt;&lt;author&gt;DEPARTMENT OF NATURAL RESOURCES THE ENVIRONMENT AND THE ARTS&lt;/author&gt;&lt;author&gt;NATURAL RESOURCES DIVISION&lt;/author&gt;&lt;/secondary-authors&gt;&lt;/contributors&gt;&lt;titles&gt;&lt;title&gt;Groundwater resources of the Tindall Limestone. Report 34/2005&lt;/title&gt;&lt;secondary-title&gt;REPORT 34/2005&lt;/secondary-title&gt;&lt;/titles&gt;&lt;dates&gt;&lt;year&gt;2005&lt;/year&gt;&lt;/dates&gt;&lt;publisher&gt;Department of Natural Resources, The Environment and The Arts Natural Resources Division&lt;/publisher&gt;&lt;urls&gt;&lt;/urls&gt;&lt;/record&gt;&lt;/Cite&gt;&lt;/EndNote&gt;</w:instrText>
      </w:r>
      <w:r w:rsidR="00A541ED" w:rsidRPr="00746B2A">
        <w:rPr>
          <w:rStyle w:val="Bold"/>
          <w:b w:val="0"/>
        </w:rPr>
        <w:fldChar w:fldCharType="separate"/>
      </w:r>
      <w:r w:rsidR="007E7B35" w:rsidRPr="00746B2A">
        <w:rPr>
          <w:rStyle w:val="Bold"/>
          <w:b w:val="0"/>
          <w:noProof/>
        </w:rPr>
        <w:t>Tickell (2005)</w:t>
      </w:r>
      <w:r w:rsidR="00A541ED" w:rsidRPr="00746B2A">
        <w:rPr>
          <w:rStyle w:val="Bold"/>
          <w:b w:val="0"/>
        </w:rPr>
        <w:fldChar w:fldCharType="end"/>
      </w:r>
      <w:r w:rsidR="004B1C1A" w:rsidRPr="00746B2A">
        <w:rPr>
          <w:rStyle w:val="Bold"/>
          <w:b w:val="0"/>
        </w:rPr>
        <w:t xml:space="preserve"> </w:t>
      </w:r>
      <w:r w:rsidR="00AB41C2" w:rsidRPr="00746B2A">
        <w:rPr>
          <w:rStyle w:val="Bold"/>
          <w:b w:val="0"/>
        </w:rPr>
        <w:t xml:space="preserve">suggests that </w:t>
      </w:r>
      <w:r w:rsidR="00FD7371" w:rsidRPr="00746B2A">
        <w:rPr>
          <w:rStyle w:val="Bold"/>
          <w:b w:val="0"/>
        </w:rPr>
        <w:t>whil</w:t>
      </w:r>
      <w:r w:rsidR="00A00A2A" w:rsidRPr="00746B2A">
        <w:rPr>
          <w:rStyle w:val="Bold"/>
          <w:b w:val="0"/>
        </w:rPr>
        <w:t>e</w:t>
      </w:r>
      <w:r w:rsidR="00FD7371" w:rsidRPr="00746B2A">
        <w:rPr>
          <w:rStyle w:val="Bold"/>
          <w:b w:val="0"/>
        </w:rPr>
        <w:t xml:space="preserve"> groundwater may move relatively slowly through </w:t>
      </w:r>
      <w:r w:rsidR="00AB41C2" w:rsidRPr="00746B2A">
        <w:rPr>
          <w:rStyle w:val="Bold"/>
          <w:b w:val="0"/>
        </w:rPr>
        <w:t>fracture networks</w:t>
      </w:r>
      <w:r w:rsidR="00FD7371" w:rsidRPr="00746B2A">
        <w:rPr>
          <w:rStyle w:val="Bold"/>
          <w:b w:val="0"/>
        </w:rPr>
        <w:t xml:space="preserve"> and small solu</w:t>
      </w:r>
      <w:r w:rsidR="00BC7662" w:rsidRPr="00746B2A">
        <w:rPr>
          <w:rStyle w:val="Bold"/>
          <w:b w:val="0"/>
        </w:rPr>
        <w:t xml:space="preserve">tion cavities, once </w:t>
      </w:r>
      <w:r w:rsidR="00FD7371" w:rsidRPr="00746B2A">
        <w:rPr>
          <w:rStyle w:val="Bold"/>
          <w:b w:val="0"/>
        </w:rPr>
        <w:t xml:space="preserve">it reaches larger karst </w:t>
      </w:r>
      <w:r w:rsidR="006B6F2C" w:rsidRPr="00746B2A">
        <w:rPr>
          <w:rStyle w:val="Bold"/>
          <w:b w:val="0"/>
        </w:rPr>
        <w:t>there are marked increases in conductivity and flow rates</w:t>
      </w:r>
      <w:r w:rsidR="00FD7371" w:rsidRPr="00746B2A">
        <w:rPr>
          <w:rStyle w:val="Bold"/>
          <w:b w:val="0"/>
        </w:rPr>
        <w:t xml:space="preserve">. </w:t>
      </w:r>
      <w:r w:rsidR="00455FCB">
        <w:rPr>
          <w:rStyle w:val="Bold"/>
          <w:b w:val="0"/>
        </w:rPr>
        <w:t>T</w:t>
      </w:r>
      <w:r w:rsidR="00FD7371" w:rsidRPr="00746B2A">
        <w:rPr>
          <w:rStyle w:val="Bold"/>
          <w:b w:val="0"/>
        </w:rPr>
        <w:t xml:space="preserve">he caves </w:t>
      </w:r>
      <w:r w:rsidR="00BC7662" w:rsidRPr="00746B2A">
        <w:rPr>
          <w:rStyle w:val="Bold"/>
          <w:b w:val="0"/>
        </w:rPr>
        <w:t>oriented perpendicular to the trend of the river</w:t>
      </w:r>
      <w:r w:rsidR="006B6F2C" w:rsidRPr="00746B2A">
        <w:rPr>
          <w:rStyle w:val="Bold"/>
          <w:b w:val="0"/>
        </w:rPr>
        <w:t xml:space="preserve"> reaches</w:t>
      </w:r>
      <w:r w:rsidR="00BC7662" w:rsidRPr="00746B2A">
        <w:rPr>
          <w:rStyle w:val="Bold"/>
          <w:b w:val="0"/>
        </w:rPr>
        <w:t xml:space="preserve"> </w:t>
      </w:r>
      <w:r w:rsidR="00A90771" w:rsidRPr="00746B2A">
        <w:rPr>
          <w:rStyle w:val="Bold"/>
          <w:b w:val="0"/>
        </w:rPr>
        <w:t xml:space="preserve">are </w:t>
      </w:r>
      <w:r w:rsidR="00FD7371" w:rsidRPr="00746B2A">
        <w:rPr>
          <w:rStyle w:val="Bold"/>
          <w:b w:val="0"/>
        </w:rPr>
        <w:t xml:space="preserve">acting as drainage conduits </w:t>
      </w:r>
      <w:r w:rsidR="00BC7662" w:rsidRPr="00746B2A">
        <w:rPr>
          <w:rStyle w:val="Bold"/>
          <w:b w:val="0"/>
        </w:rPr>
        <w:t xml:space="preserve">fast tracking flow </w:t>
      </w:r>
      <w:r w:rsidR="00FD7371" w:rsidRPr="00746B2A">
        <w:rPr>
          <w:rStyle w:val="Bold"/>
          <w:b w:val="0"/>
        </w:rPr>
        <w:t>towards river</w:t>
      </w:r>
      <w:r w:rsidR="00593584" w:rsidRPr="00746B2A">
        <w:rPr>
          <w:rStyle w:val="Bold"/>
          <w:b w:val="0"/>
        </w:rPr>
        <w:t>s and springs</w:t>
      </w:r>
      <w:r w:rsidR="00FD7371" w:rsidRPr="00746B2A">
        <w:rPr>
          <w:rStyle w:val="Bold"/>
          <w:b w:val="0"/>
        </w:rPr>
        <w:t>.</w:t>
      </w:r>
      <w:r w:rsidR="00784197" w:rsidRPr="00746B2A">
        <w:rPr>
          <w:rStyle w:val="Bold"/>
          <w:b w:val="0"/>
        </w:rPr>
        <w:t xml:space="preserve"> High flow rates </w:t>
      </w:r>
      <w:r w:rsidR="00455FCB">
        <w:rPr>
          <w:rStyle w:val="Bold"/>
          <w:b w:val="0"/>
        </w:rPr>
        <w:t>c</w:t>
      </w:r>
      <w:r w:rsidR="00784197" w:rsidRPr="00746B2A">
        <w:rPr>
          <w:rStyle w:val="Bold"/>
          <w:b w:val="0"/>
        </w:rPr>
        <w:t xml:space="preserve">ould exacerbate the spread and dispersion of contaminants. Low levels of contaminants (pesticides) have been detected at Mataranka Thermal Pools </w:t>
      </w:r>
      <w:r w:rsidR="00784197" w:rsidRPr="00746B2A">
        <w:rPr>
          <w:rStyle w:val="Bold"/>
          <w:b w:val="0"/>
        </w:rPr>
        <w:fldChar w:fldCharType="begin"/>
      </w:r>
      <w:r w:rsidR="00F76E0D">
        <w:rPr>
          <w:rStyle w:val="Bold"/>
          <w:b w:val="0"/>
        </w:rPr>
        <w:instrText xml:space="preserve"> ADDIN EN.CITE &lt;EndNote&gt;&lt;Cite&gt;&lt;Author&gt;Schult&lt;/Author&gt;&lt;Year&gt;2016&lt;/Year&gt;&lt;RecNum&gt;1269&lt;/RecNum&gt;&lt;DisplayText&gt;(Schult, 2016)&lt;/DisplayText&gt;&lt;record&gt;&lt;rec-number&gt;1269&lt;/rec-number&gt;&lt;foreign-keys&gt;&lt;key app="EN" db-id="wdf9tzzdhw2saee559kv0vezt0wfsta0zedv" timestamp="1569210745"&gt;1269&lt;/key&gt;&lt;key app="ENWeb" db-id=""&gt;0&lt;/key&gt;&lt;/foreign-keys&gt;&lt;ref-type name="Report"&gt;27&lt;/ref-type&gt;&lt;contributors&gt;&lt;authors&gt;&lt;author&gt;Schult, J&lt;/author&gt;&lt;/authors&gt;&lt;subsidiary-authors&gt;&lt;author&gt;Aquatic Health Unit&lt;/author&gt;&lt;/subsidiary-authors&gt;&lt;/contributors&gt;&lt;titles&gt;&lt;title&gt;Pesticide and nutrient monitoring in the Roper River region during the 2015 dry season&lt;/title&gt;&lt;/titles&gt;&lt;pages&gt;19&lt;/pages&gt;&lt;number&gt;20/2016D&lt;/number&gt;&lt;keywords&gt;&lt;keyword&gt;Mataranka Springs&lt;/keyword&gt;&lt;/keywords&gt;&lt;dates&gt;&lt;year&gt;2016&lt;/year&gt;&lt;/dates&gt;&lt;pub-location&gt;Palmerston, NT&lt;/pub-location&gt;&lt;publisher&gt;Northern Territory Department of Environment and Natural Resources&lt;/publisher&gt;&lt;urls&gt;&lt;related-urls&gt;&lt;url&gt;https://denr.nt.gov.au/__data/assets/pdf_file/0011/384392/Schult_2016_pesticides_Roper.pdf&lt;/url&gt;&lt;/related-urls&gt;&lt;/urls&gt;&lt;access-date&gt;25 October 2019&lt;/access-date&gt;&lt;/record&gt;&lt;/Cite&gt;&lt;/EndNote&gt;</w:instrText>
      </w:r>
      <w:r w:rsidR="00784197" w:rsidRPr="00746B2A">
        <w:rPr>
          <w:rStyle w:val="Bold"/>
          <w:b w:val="0"/>
        </w:rPr>
        <w:fldChar w:fldCharType="separate"/>
      </w:r>
      <w:r w:rsidR="00784197" w:rsidRPr="00746B2A">
        <w:rPr>
          <w:rStyle w:val="Bold"/>
          <w:b w:val="0"/>
          <w:noProof/>
        </w:rPr>
        <w:t>(Schult, 2016)</w:t>
      </w:r>
      <w:r w:rsidR="00784197" w:rsidRPr="00746B2A">
        <w:rPr>
          <w:rStyle w:val="Bold"/>
          <w:b w:val="0"/>
        </w:rPr>
        <w:fldChar w:fldCharType="end"/>
      </w:r>
      <w:r w:rsidR="00455FCB">
        <w:rPr>
          <w:rStyle w:val="Bold"/>
          <w:b w:val="0"/>
        </w:rPr>
        <w:t>,</w:t>
      </w:r>
      <w:r w:rsidR="00455FCB" w:rsidRPr="00455FCB">
        <w:rPr>
          <w:rStyle w:val="Bold"/>
          <w:b w:val="0"/>
        </w:rPr>
        <w:t xml:space="preserve"> </w:t>
      </w:r>
      <w:r w:rsidR="00455FCB">
        <w:rPr>
          <w:rStyle w:val="Bold"/>
          <w:b w:val="0"/>
        </w:rPr>
        <w:t>which</w:t>
      </w:r>
      <w:r w:rsidR="00455FCB" w:rsidRPr="005A0C2F">
        <w:rPr>
          <w:rStyle w:val="Bold"/>
          <w:b w:val="0"/>
        </w:rPr>
        <w:t xml:space="preserve"> are probably derived from gro</w:t>
      </w:r>
      <w:r w:rsidR="00455FCB">
        <w:rPr>
          <w:rStyle w:val="Bold"/>
          <w:b w:val="0"/>
        </w:rPr>
        <w:t xml:space="preserve">undwater discharge </w:t>
      </w:r>
      <w:r w:rsidR="00455FCB" w:rsidRPr="005A0C2F">
        <w:rPr>
          <w:rStyle w:val="Bold"/>
          <w:b w:val="0"/>
        </w:rPr>
        <w:t>from the CLA</w:t>
      </w:r>
      <w:r w:rsidR="00784197" w:rsidRPr="00746B2A">
        <w:rPr>
          <w:rStyle w:val="Bold"/>
          <w:b w:val="0"/>
        </w:rPr>
        <w:t>.</w:t>
      </w:r>
    </w:p>
    <w:p w14:paraId="20A68AE1" w14:textId="099C8DBD" w:rsidR="00C97946" w:rsidRPr="00746B2A" w:rsidRDefault="00A541ED">
      <w:pPr>
        <w:pStyle w:val="BodyText"/>
        <w:rPr>
          <w:rStyle w:val="Bold"/>
          <w:b w:val="0"/>
        </w:rPr>
      </w:pPr>
      <w:r w:rsidRPr="00746B2A">
        <w:rPr>
          <w:rStyle w:val="Bold"/>
          <w:b w:val="0"/>
        </w:rPr>
        <w:fldChar w:fldCharType="begin"/>
      </w:r>
      <w:r w:rsidR="00F76E0D">
        <w:rPr>
          <w:rStyle w:val="Bold"/>
          <w:b w:val="0"/>
        </w:rPr>
        <w:instrText xml:space="preserve"> ADDIN EN.CITE &lt;EndNote&gt;&lt;Cite AuthorYear="1"&gt;&lt;Author&gt;Tickell&lt;/Author&gt;&lt;Year&gt;2005&lt;/Year&gt;&lt;RecNum&gt;733&lt;/RecNum&gt;&lt;DisplayText&gt;Tickell (2005)&lt;/DisplayText&gt;&lt;record&gt;&lt;rec-number&gt;733&lt;/rec-number&gt;&lt;foreign-keys&gt;&lt;key app="EN" db-id="wdf9tzzdhw2saee559kv0vezt0wfsta0zedv" timestamp="1550544784"&gt;733&lt;/key&gt;&lt;/foreign-keys&gt;&lt;ref-type name="Report"&gt;27&lt;/ref-type&gt;&lt;contributors&gt;&lt;authors&gt;&lt;author&gt;Tickell, Stephen. J.&lt;/author&gt;&lt;/authors&gt;&lt;secondary-authors&gt;&lt;author&gt;DEPARTMENT OF NATURAL RESOURCES THE ENVIRONMENT AND THE ARTS&lt;/author&gt;&lt;author&gt;NATURAL RESOURCES DIVISION&lt;/author&gt;&lt;/secondary-authors&gt;&lt;/contributors&gt;&lt;titles&gt;&lt;title&gt;Groundwater resources of the Tindall Limestone. Report 34/2005&lt;/title&gt;&lt;secondary-title&gt;REPORT 34/2005&lt;/secondary-title&gt;&lt;/titles&gt;&lt;dates&gt;&lt;year&gt;2005&lt;/year&gt;&lt;/dates&gt;&lt;publisher&gt;Department of Natural Resources, The Environment and The Arts Natural Resources Division&lt;/publisher&gt;&lt;urls&gt;&lt;/urls&gt;&lt;/record&gt;&lt;/Cite&gt;&lt;/EndNote&gt;</w:instrText>
      </w:r>
      <w:r w:rsidRPr="00746B2A">
        <w:rPr>
          <w:rStyle w:val="Bold"/>
          <w:b w:val="0"/>
        </w:rPr>
        <w:fldChar w:fldCharType="separate"/>
      </w:r>
      <w:r w:rsidR="007E7B35" w:rsidRPr="00746B2A">
        <w:rPr>
          <w:rStyle w:val="Bold"/>
          <w:b w:val="0"/>
          <w:noProof/>
        </w:rPr>
        <w:t>Tickell (2005)</w:t>
      </w:r>
      <w:r w:rsidRPr="00746B2A">
        <w:rPr>
          <w:rStyle w:val="Bold"/>
          <w:b w:val="0"/>
        </w:rPr>
        <w:fldChar w:fldCharType="end"/>
      </w:r>
      <w:r w:rsidR="004B1C1A" w:rsidRPr="00746B2A">
        <w:rPr>
          <w:rStyle w:val="Bold"/>
          <w:b w:val="0"/>
        </w:rPr>
        <w:t xml:space="preserve"> </w:t>
      </w:r>
      <w:r w:rsidR="00593584" w:rsidRPr="00746B2A">
        <w:rPr>
          <w:rStyle w:val="Bold"/>
          <w:b w:val="0"/>
        </w:rPr>
        <w:t xml:space="preserve">suggests that shale interbedded in the Tindall </w:t>
      </w:r>
      <w:r w:rsidR="00BB6D37" w:rsidRPr="00746B2A">
        <w:rPr>
          <w:rStyle w:val="Bold"/>
          <w:b w:val="0"/>
        </w:rPr>
        <w:t>L</w:t>
      </w:r>
      <w:r w:rsidR="00593584" w:rsidRPr="00746B2A">
        <w:rPr>
          <w:rStyle w:val="Bold"/>
          <w:b w:val="0"/>
        </w:rPr>
        <w:t xml:space="preserve">imestone may </w:t>
      </w:r>
      <w:r w:rsidR="00C06326" w:rsidRPr="00746B2A">
        <w:rPr>
          <w:rStyle w:val="Bold"/>
          <w:b w:val="0"/>
        </w:rPr>
        <w:t>not, on a regional scale</w:t>
      </w:r>
      <w:r w:rsidR="00136CCF" w:rsidRPr="00746B2A">
        <w:rPr>
          <w:rStyle w:val="Bold"/>
          <w:b w:val="0"/>
        </w:rPr>
        <w:t>,</w:t>
      </w:r>
      <w:r w:rsidR="00C06326" w:rsidRPr="00746B2A">
        <w:rPr>
          <w:rStyle w:val="Bold"/>
          <w:b w:val="0"/>
        </w:rPr>
        <w:t xml:space="preserve"> impede</w:t>
      </w:r>
      <w:r w:rsidR="00593584" w:rsidRPr="00746B2A">
        <w:rPr>
          <w:rStyle w:val="Bold"/>
          <w:b w:val="0"/>
        </w:rPr>
        <w:t xml:space="preserve"> vertical groundwater movement</w:t>
      </w:r>
      <w:r w:rsidR="004173A8" w:rsidRPr="00746B2A">
        <w:rPr>
          <w:rStyle w:val="Bold"/>
          <w:b w:val="0"/>
        </w:rPr>
        <w:t xml:space="preserve"> and that the</w:t>
      </w:r>
      <w:r w:rsidR="00593584" w:rsidRPr="00746B2A">
        <w:rPr>
          <w:rStyle w:val="Bold"/>
          <w:b w:val="0"/>
        </w:rPr>
        <w:t xml:space="preserve"> karst </w:t>
      </w:r>
      <w:r w:rsidR="00C06326" w:rsidRPr="00746B2A">
        <w:rPr>
          <w:rStyle w:val="Bold"/>
          <w:b w:val="0"/>
        </w:rPr>
        <w:t>provides</w:t>
      </w:r>
      <w:r w:rsidR="00593584" w:rsidRPr="00746B2A">
        <w:rPr>
          <w:rStyle w:val="Bold"/>
          <w:b w:val="0"/>
        </w:rPr>
        <w:t xml:space="preserve"> pathways for groundwater to connect between different </w:t>
      </w:r>
      <w:r w:rsidR="00A43C9F" w:rsidRPr="00746B2A">
        <w:rPr>
          <w:rStyle w:val="Bold"/>
          <w:b w:val="0"/>
        </w:rPr>
        <w:t>limestone layers. S</w:t>
      </w:r>
      <w:r w:rsidR="00593584" w:rsidRPr="00746B2A">
        <w:rPr>
          <w:rStyle w:val="Bold"/>
          <w:b w:val="0"/>
        </w:rPr>
        <w:t>urface runoff</w:t>
      </w:r>
      <w:r w:rsidR="00C06326" w:rsidRPr="00746B2A">
        <w:rPr>
          <w:rStyle w:val="Bold"/>
          <w:b w:val="0"/>
        </w:rPr>
        <w:t xml:space="preserve"> </w:t>
      </w:r>
      <w:r w:rsidR="003D78FC" w:rsidRPr="00746B2A">
        <w:rPr>
          <w:rStyle w:val="Bold"/>
          <w:b w:val="0"/>
        </w:rPr>
        <w:t xml:space="preserve">in the Daly Basin </w:t>
      </w:r>
      <w:r w:rsidR="00C06326" w:rsidRPr="00746B2A">
        <w:rPr>
          <w:rStyle w:val="Bold"/>
          <w:b w:val="0"/>
        </w:rPr>
        <w:t>has been observed to</w:t>
      </w:r>
      <w:r w:rsidR="00593584" w:rsidRPr="00746B2A">
        <w:rPr>
          <w:rStyle w:val="Bold"/>
          <w:b w:val="0"/>
        </w:rPr>
        <w:t xml:space="preserve"> p</w:t>
      </w:r>
      <w:r w:rsidR="00C06326" w:rsidRPr="00746B2A">
        <w:rPr>
          <w:rStyle w:val="Bold"/>
          <w:b w:val="0"/>
        </w:rPr>
        <w:t>our</w:t>
      </w:r>
      <w:r w:rsidR="00593584" w:rsidRPr="00746B2A">
        <w:rPr>
          <w:rStyle w:val="Bold"/>
          <w:b w:val="0"/>
        </w:rPr>
        <w:t xml:space="preserve"> directly d</w:t>
      </w:r>
      <w:r w:rsidR="00C06326" w:rsidRPr="00746B2A">
        <w:rPr>
          <w:rStyle w:val="Bold"/>
          <w:b w:val="0"/>
        </w:rPr>
        <w:t xml:space="preserve">own sinkholes </w:t>
      </w:r>
      <w:r w:rsidR="00593584" w:rsidRPr="00746B2A">
        <w:rPr>
          <w:rStyle w:val="Bold"/>
          <w:b w:val="0"/>
        </w:rPr>
        <w:t xml:space="preserve">in the Katherine area </w:t>
      </w:r>
      <w:r w:rsidRPr="00746B2A">
        <w:rPr>
          <w:rStyle w:val="Bold"/>
          <w:b w:val="0"/>
        </w:rPr>
        <w:fldChar w:fldCharType="begin"/>
      </w:r>
      <w:r w:rsidR="00F76E0D">
        <w:rPr>
          <w:rStyle w:val="Bold"/>
          <w:b w:val="0"/>
        </w:rPr>
        <w:instrText xml:space="preserve"> ADDIN EN.CITE &lt;EndNote&gt;&lt;Cite&gt;&lt;Author&gt;Karp&lt;/Author&gt;&lt;Year&gt;2008&lt;/Year&gt;&lt;RecNum&gt;911&lt;/RecNum&gt;&lt;DisplayText&gt;(Karp, 2008)&lt;/DisplayText&gt;&lt;record&gt;&lt;rec-number&gt;911&lt;/rec-number&gt;&lt;foreign-keys&gt;&lt;key app="EN" db-id="wdf9tzzdhw2saee559kv0vezt0wfsta0zedv" timestamp="1555975788"&gt;911&lt;/key&gt;&lt;/foreign-keys&gt;&lt;ref-type name="Report"&gt;27&lt;/ref-type&gt;&lt;contributors&gt;&lt;authors&gt;&lt;author&gt;Karp, D.&lt;/author&gt;&lt;/authors&gt;&lt;/contributors&gt;&lt;titles&gt;&lt;title&gt;Surface and groundwater interaction the Mataranka area&lt;/title&gt;&lt;/titles&gt;&lt;pages&gt;69&lt;/pages&gt;&lt;number&gt;17/2008D&lt;/number&gt;&lt;dates&gt;&lt;year&gt;2008&lt;/year&gt;&lt;/dates&gt;&lt;publisher&gt;Department of Natural Resources, Environment, the Arts and Sport (NT)&lt;/publisher&gt;&lt;urls&gt;&lt;/urls&gt;&lt;/record&gt;&lt;/Cite&gt;&lt;/EndNote&gt;</w:instrText>
      </w:r>
      <w:r w:rsidRPr="00746B2A">
        <w:rPr>
          <w:rStyle w:val="Bold"/>
          <w:b w:val="0"/>
        </w:rPr>
        <w:fldChar w:fldCharType="separate"/>
      </w:r>
      <w:r w:rsidRPr="00746B2A">
        <w:rPr>
          <w:rStyle w:val="Bold"/>
          <w:b w:val="0"/>
          <w:noProof/>
        </w:rPr>
        <w:t>(Karp, 2008)</w:t>
      </w:r>
      <w:r w:rsidRPr="00746B2A">
        <w:rPr>
          <w:rStyle w:val="Bold"/>
          <w:b w:val="0"/>
        </w:rPr>
        <w:fldChar w:fldCharType="end"/>
      </w:r>
      <w:r w:rsidR="00005B50" w:rsidRPr="00746B2A">
        <w:rPr>
          <w:rStyle w:val="Bold"/>
          <w:b w:val="0"/>
        </w:rPr>
        <w:t xml:space="preserve"> and parts of </w:t>
      </w:r>
      <w:r w:rsidR="00457616" w:rsidRPr="00746B2A">
        <w:rPr>
          <w:rStyle w:val="Bold"/>
          <w:b w:val="0"/>
        </w:rPr>
        <w:t>western Beetaloo GBA region on the</w:t>
      </w:r>
      <w:r w:rsidR="00DE4537" w:rsidRPr="00746B2A">
        <w:rPr>
          <w:rStyle w:val="Bold"/>
          <w:b w:val="0"/>
        </w:rPr>
        <w:t xml:space="preserve"> </w:t>
      </w:r>
      <w:r w:rsidR="00005B50" w:rsidRPr="00746B2A">
        <w:rPr>
          <w:rStyle w:val="Bold"/>
          <w:b w:val="0"/>
        </w:rPr>
        <w:t xml:space="preserve">Sturt Plateau </w:t>
      </w:r>
      <w:r w:rsidRPr="00746B2A">
        <w:rPr>
          <w:rStyle w:val="Bold"/>
          <w:b w:val="0"/>
        </w:rPr>
        <w:fldChar w:fldCharType="begin"/>
      </w:r>
      <w:r w:rsidR="00F76E0D">
        <w:rPr>
          <w:rStyle w:val="Bold"/>
          <w:b w:val="0"/>
        </w:rPr>
        <w:instrText xml:space="preserve"> ADDIN EN.CITE &lt;EndNote&gt;&lt;Cite&gt;&lt;Author&gt;Yin Foo&lt;/Author&gt;&lt;Year&gt;2001&lt;/Year&gt;&lt;RecNum&gt;748&lt;/RecNum&gt;&lt;DisplayText&gt;(Yin Foo and Matthews, 2001)&lt;/DisplayText&gt;&lt;record&gt;&lt;rec-number&gt;748&lt;/rec-number&gt;&lt;foreign-keys&gt;&lt;key app="EN" db-id="wdf9tzzdhw2saee559kv0vezt0wfsta0zedv" timestamp="1550544858"&gt;748&lt;/key&gt;&lt;key app="ENWeb" db-id=""&gt;0&lt;/key&gt;&lt;/foreign-keys&gt;&lt;ref-type name="Report"&gt;27&lt;/ref-type&gt;&lt;contributors&gt;&lt;authors&gt;&lt;author&gt;Yin Foo, Des&lt;/author&gt;&lt;author&gt;Matthews, Ian&lt;/author&gt;&lt;/authors&gt;&lt;tertiary-authors&gt;&lt;author&gt;Department of Infrastructure, Planning and Environment (NT)&lt;/author&gt;&lt;/tertiary-authors&gt;&lt;/contributors&gt;&lt;titles&gt;&lt;title&gt;Hydrogeology of the Sturt plateau 1:250 000 scale map explanatory notes.&lt;/title&gt;&lt;/titles&gt;&lt;number&gt;19/2000&lt;/number&gt;&lt;dates&gt;&lt;year&gt;2001&lt;/year&gt;&lt;pub-dates&gt;&lt;date&gt;01 March 2001&lt;/date&gt;&lt;/pub-dates&gt;&lt;/dates&gt;&lt;pub-location&gt;Darwin&lt;/pub-location&gt;&lt;publisher&gt;Department of Infrastructure, Planning and Environment (NT)&lt;/publisher&gt;&lt;isbn&gt;19/2000&lt;/isbn&gt;&lt;urls&gt;&lt;related-urls&gt;&lt;url&gt;&lt;style face="underline" font="default" size="100%"&gt;http://www.territorystories.nt.gov.au/jspui/handle/10070/228887&lt;/style&gt;&lt;/url&gt;&lt;/related-urls&gt;&lt;/urls&gt;&lt;access-date&gt;28 November 2019&lt;/access-date&gt;&lt;/record&gt;&lt;/Cite&gt;&lt;/EndNote&gt;</w:instrText>
      </w:r>
      <w:r w:rsidRPr="00746B2A">
        <w:rPr>
          <w:rStyle w:val="Bold"/>
          <w:b w:val="0"/>
        </w:rPr>
        <w:fldChar w:fldCharType="separate"/>
      </w:r>
      <w:r w:rsidRPr="00746B2A">
        <w:rPr>
          <w:rStyle w:val="Bold"/>
          <w:b w:val="0"/>
          <w:noProof/>
        </w:rPr>
        <w:t>(Yin Foo and Matthews, 2001)</w:t>
      </w:r>
      <w:r w:rsidRPr="00746B2A">
        <w:rPr>
          <w:rStyle w:val="Bold"/>
          <w:b w:val="0"/>
        </w:rPr>
        <w:fldChar w:fldCharType="end"/>
      </w:r>
      <w:r w:rsidR="00593584" w:rsidRPr="00746B2A">
        <w:rPr>
          <w:rStyle w:val="Bold"/>
          <w:b w:val="0"/>
        </w:rPr>
        <w:t xml:space="preserve">. </w:t>
      </w:r>
      <w:r w:rsidR="00922FF7" w:rsidRPr="00746B2A">
        <w:rPr>
          <w:rStyle w:val="Bold"/>
          <w:b w:val="0"/>
        </w:rPr>
        <w:t xml:space="preserve">Direct recharge could provide relatively quick pathways for any potential contamination at surface to reach the CLA. </w:t>
      </w:r>
      <w:r w:rsidR="00784197" w:rsidRPr="00746B2A">
        <w:rPr>
          <w:rStyle w:val="Bold"/>
          <w:b w:val="0"/>
        </w:rPr>
        <w:t xml:space="preserve">However, this is </w:t>
      </w:r>
      <w:r w:rsidR="00922FF7" w:rsidRPr="00746B2A">
        <w:rPr>
          <w:rStyle w:val="Bold"/>
          <w:b w:val="0"/>
        </w:rPr>
        <w:t xml:space="preserve">not </w:t>
      </w:r>
      <w:r w:rsidR="00784197" w:rsidRPr="00746B2A">
        <w:rPr>
          <w:rStyle w:val="Bold"/>
          <w:b w:val="0"/>
        </w:rPr>
        <w:t xml:space="preserve">likely to be the case for much of the Beetaloo GBA region, especially where the CLA is covered by relatively thick </w:t>
      </w:r>
      <w:r w:rsidR="00922FF7" w:rsidRPr="00746B2A">
        <w:rPr>
          <w:rStyle w:val="Bold"/>
          <w:b w:val="0"/>
        </w:rPr>
        <w:t>cover of Carpentaria Basin.</w:t>
      </w:r>
    </w:p>
    <w:p w14:paraId="7BC0CB77" w14:textId="7528B2A3" w:rsidR="00CB4F2B" w:rsidRPr="00746B2A" w:rsidRDefault="00BB363E">
      <w:pPr>
        <w:pStyle w:val="BodyText"/>
        <w:rPr>
          <w:rStyle w:val="Bold"/>
          <w:b w:val="0"/>
        </w:rPr>
      </w:pPr>
      <w:r w:rsidRPr="00746B2A">
        <w:rPr>
          <w:rStyle w:val="Bold"/>
          <w:b w:val="0"/>
        </w:rPr>
        <w:t>T</w:t>
      </w:r>
      <w:r w:rsidR="006B6F2C" w:rsidRPr="00746B2A">
        <w:rPr>
          <w:rStyle w:val="Bold"/>
          <w:b w:val="0"/>
        </w:rPr>
        <w:t>he influence of k</w:t>
      </w:r>
      <w:r w:rsidRPr="00746B2A">
        <w:rPr>
          <w:rStyle w:val="Bold"/>
          <w:b w:val="0"/>
        </w:rPr>
        <w:t>arstification and fracturing on aquife</w:t>
      </w:r>
      <w:r w:rsidR="00B21F79" w:rsidRPr="00746B2A">
        <w:rPr>
          <w:rStyle w:val="Bold"/>
          <w:b w:val="0"/>
        </w:rPr>
        <w:t xml:space="preserve">r </w:t>
      </w:r>
      <w:r w:rsidR="000947D2" w:rsidRPr="00746B2A">
        <w:rPr>
          <w:rStyle w:val="Bold"/>
          <w:b w:val="0"/>
        </w:rPr>
        <w:t>characteristics</w:t>
      </w:r>
      <w:r w:rsidR="00B21F79" w:rsidRPr="00746B2A">
        <w:rPr>
          <w:rStyle w:val="Bold"/>
          <w:b w:val="0"/>
        </w:rPr>
        <w:t xml:space="preserve"> is </w:t>
      </w:r>
      <w:r w:rsidRPr="00746B2A">
        <w:rPr>
          <w:rStyle w:val="Bold"/>
          <w:b w:val="0"/>
        </w:rPr>
        <w:t xml:space="preserve">noted </w:t>
      </w:r>
      <w:r w:rsidR="00B21F79" w:rsidRPr="00746B2A">
        <w:rPr>
          <w:rStyle w:val="Bold"/>
          <w:b w:val="0"/>
        </w:rPr>
        <w:t xml:space="preserve">in </w:t>
      </w:r>
      <w:r w:rsidRPr="00746B2A">
        <w:rPr>
          <w:rStyle w:val="Bold"/>
          <w:b w:val="0"/>
        </w:rPr>
        <w:t>limestone aquifers</w:t>
      </w:r>
      <w:r w:rsidR="00B21F79" w:rsidRPr="00746B2A">
        <w:rPr>
          <w:rStyle w:val="Bold"/>
          <w:b w:val="0"/>
        </w:rPr>
        <w:t xml:space="preserve"> </w:t>
      </w:r>
      <w:r w:rsidR="00A43C9F" w:rsidRPr="00746B2A">
        <w:rPr>
          <w:rStyle w:val="Bold"/>
          <w:b w:val="0"/>
        </w:rPr>
        <w:t>outside the Daly Basin</w:t>
      </w:r>
      <w:r w:rsidRPr="00746B2A">
        <w:rPr>
          <w:rStyle w:val="Bold"/>
          <w:b w:val="0"/>
        </w:rPr>
        <w:t xml:space="preserve">. For instance, </w:t>
      </w:r>
      <w:r w:rsidR="006D61AB" w:rsidRPr="00746B2A">
        <w:rPr>
          <w:rStyle w:val="Bold"/>
          <w:b w:val="0"/>
        </w:rPr>
        <w:t xml:space="preserve">in the Georgina Basin </w:t>
      </w:r>
      <w:r w:rsidR="00A541ED" w:rsidRPr="00746B2A">
        <w:rPr>
          <w:rStyle w:val="Bold"/>
          <w:b w:val="0"/>
        </w:rPr>
        <w:fldChar w:fldCharType="begin"/>
      </w:r>
      <w:r w:rsidR="00F76E0D">
        <w:rPr>
          <w:rStyle w:val="Bold"/>
          <w:b w:val="0"/>
        </w:rPr>
        <w:instrText xml:space="preserve"> ADDIN EN.CITE &lt;EndNote&gt;&lt;Cite AuthorYear="1"&gt;&lt;Author&gt;Tickell&lt;/Author&gt;&lt;Year&gt;2003&lt;/Year&gt;&lt;RecNum&gt;744&lt;/RecNum&gt;&lt;DisplayText&gt;Tickell (2003)&lt;/DisplayText&gt;&lt;record&gt;&lt;rec-number&gt;744&lt;/rec-number&gt;&lt;foreign-keys&gt;&lt;key app="EN" db-id="wdf9tzzdhw2saee559kv0vezt0wfsta0zedv" timestamp="1550544845"&gt;744&lt;/key&gt;&lt;key app="ENWeb" db-id=""&gt;0&lt;/key&gt;&lt;/foreign-keys&gt;&lt;ref-type name="Report"&gt;27&lt;/ref-type&gt;&lt;contributors&gt;&lt;authors&gt;&lt;author&gt;Tickell, Stephen. J.&lt;/author&gt;&lt;/authors&gt;&lt;tertiary-authors&gt;&lt;author&gt;Department of Infrastructure, Planning and Environment (Northern Territory)&lt;/author&gt;&lt;/tertiary-authors&gt;&lt;/contributors&gt;&lt;titles&gt;&lt;title&gt;Water resource mapping of the Barkly Tablelands&lt;/title&gt;&lt;/titles&gt;&lt;dates&gt;&lt;year&gt;2003&lt;/year&gt;&lt;pub-dates&gt;&lt;date&gt;September 2003&lt;/date&gt;&lt;/pub-dates&gt;&lt;/dates&gt;&lt;pub-location&gt;Darwin&lt;/pub-location&gt;&lt;publisher&gt;Department of Infrastructure, Planning and Environment (Northern Territory)&lt;/publisher&gt;&lt;urls&gt;&lt;/urls&gt;&lt;/record&gt;&lt;/Cite&gt;&lt;/EndNote&gt;</w:instrText>
      </w:r>
      <w:r w:rsidR="00A541ED" w:rsidRPr="00746B2A">
        <w:rPr>
          <w:rStyle w:val="Bold"/>
          <w:b w:val="0"/>
        </w:rPr>
        <w:fldChar w:fldCharType="separate"/>
      </w:r>
      <w:r w:rsidR="00A541ED" w:rsidRPr="00746B2A">
        <w:rPr>
          <w:rStyle w:val="Bold"/>
          <w:b w:val="0"/>
          <w:noProof/>
        </w:rPr>
        <w:t>Tickell (2003)</w:t>
      </w:r>
      <w:r w:rsidR="00A541ED" w:rsidRPr="00746B2A">
        <w:rPr>
          <w:rStyle w:val="Bold"/>
          <w:b w:val="0"/>
        </w:rPr>
        <w:fldChar w:fldCharType="end"/>
      </w:r>
      <w:r w:rsidR="00523BF1" w:rsidRPr="00746B2A">
        <w:rPr>
          <w:rStyle w:val="Bold"/>
          <w:b w:val="0"/>
        </w:rPr>
        <w:t xml:space="preserve"> </w:t>
      </w:r>
      <w:r w:rsidR="006D61AB" w:rsidRPr="00746B2A">
        <w:rPr>
          <w:rStyle w:val="Bold"/>
          <w:b w:val="0"/>
        </w:rPr>
        <w:t xml:space="preserve">documents numerous instances of bores intersecting cavities or losing circulation in limestone </w:t>
      </w:r>
      <w:r w:rsidR="00136CCF" w:rsidRPr="00746B2A">
        <w:rPr>
          <w:rStyle w:val="Bold"/>
          <w:b w:val="0"/>
        </w:rPr>
        <w:t>a</w:t>
      </w:r>
      <w:r w:rsidR="006D61AB" w:rsidRPr="00746B2A">
        <w:rPr>
          <w:rStyle w:val="Bold"/>
          <w:b w:val="0"/>
        </w:rPr>
        <w:t>quifers. Furthermore</w:t>
      </w:r>
      <w:r w:rsidR="00136CCF" w:rsidRPr="00746B2A">
        <w:rPr>
          <w:rStyle w:val="Bold"/>
          <w:b w:val="0"/>
        </w:rPr>
        <w:t>,</w:t>
      </w:r>
      <w:r w:rsidR="006D61AB" w:rsidRPr="00746B2A">
        <w:rPr>
          <w:rStyle w:val="Bold"/>
          <w:b w:val="0"/>
        </w:rPr>
        <w:t xml:space="preserve"> the Gum Ridge Formation </w:t>
      </w:r>
      <w:r w:rsidR="002A77AD" w:rsidRPr="00746B2A">
        <w:rPr>
          <w:rStyle w:val="Bold"/>
          <w:b w:val="0"/>
        </w:rPr>
        <w:t>e</w:t>
      </w:r>
      <w:r w:rsidR="006B6F2C" w:rsidRPr="00746B2A">
        <w:rPr>
          <w:rStyle w:val="Bold"/>
          <w:b w:val="0"/>
        </w:rPr>
        <w:t xml:space="preserve">xhibits a </w:t>
      </w:r>
      <w:r w:rsidRPr="00746B2A">
        <w:rPr>
          <w:rStyle w:val="Bold"/>
          <w:b w:val="0"/>
        </w:rPr>
        <w:t>large range of transmissivities (5</w:t>
      </w:r>
      <w:r w:rsidR="00F03C51" w:rsidRPr="00746B2A">
        <w:rPr>
          <w:rStyle w:val="Bold"/>
          <w:b w:val="0"/>
        </w:rPr>
        <w:t>–</w:t>
      </w:r>
      <w:r w:rsidRPr="00746B2A">
        <w:rPr>
          <w:rStyle w:val="Bold"/>
          <w:b w:val="0"/>
        </w:rPr>
        <w:t>3030 m</w:t>
      </w:r>
      <w:r w:rsidRPr="004E5137">
        <w:rPr>
          <w:rStyle w:val="Bold"/>
          <w:b w:val="0"/>
          <w:vertAlign w:val="superscript"/>
        </w:rPr>
        <w:t>2</w:t>
      </w:r>
      <w:r w:rsidRPr="00746B2A">
        <w:rPr>
          <w:rStyle w:val="Bold"/>
          <w:b w:val="0"/>
        </w:rPr>
        <w:t>/day)</w:t>
      </w:r>
      <w:r w:rsidR="002A77AD" w:rsidRPr="00746B2A">
        <w:rPr>
          <w:rStyle w:val="Bold"/>
          <w:b w:val="0"/>
        </w:rPr>
        <w:t>, which is</w:t>
      </w:r>
      <w:r w:rsidRPr="00746B2A">
        <w:rPr>
          <w:rStyle w:val="Bold"/>
          <w:b w:val="0"/>
        </w:rPr>
        <w:t xml:space="preserve"> indicative of </w:t>
      </w:r>
      <w:r w:rsidR="000947D2" w:rsidRPr="00746B2A">
        <w:rPr>
          <w:rStyle w:val="Bold"/>
          <w:b w:val="0"/>
        </w:rPr>
        <w:t xml:space="preserve">a </w:t>
      </w:r>
      <w:r w:rsidRPr="00746B2A">
        <w:rPr>
          <w:rStyle w:val="Bold"/>
          <w:b w:val="0"/>
        </w:rPr>
        <w:t>karstic aquifer</w:t>
      </w:r>
      <w:r w:rsidR="006B6F2C" w:rsidRPr="00746B2A">
        <w:rPr>
          <w:rStyle w:val="Bold"/>
          <w:b w:val="0"/>
        </w:rPr>
        <w:t xml:space="preserve"> </w:t>
      </w:r>
      <w:r w:rsidR="00A541ED" w:rsidRPr="00746B2A">
        <w:rPr>
          <w:rStyle w:val="Bold"/>
          <w:b w:val="0"/>
        </w:rPr>
        <w:fldChar w:fldCharType="begin"/>
      </w:r>
      <w:r w:rsidR="00F76E0D">
        <w:rPr>
          <w:rStyle w:val="Bold"/>
          <w:b w:val="0"/>
        </w:rPr>
        <w:instrText xml:space="preserve"> ADDIN EN.CITE &lt;EndNote&gt;&lt;Cite&gt;&lt;Author&gt;Tickell&lt;/Author&gt;&lt;Year&gt;2017&lt;/Year&gt;&lt;RecNum&gt;695&lt;/RecNum&gt;&lt;DisplayText&gt;(Tickell and Bruwer, 2017)&lt;/DisplayText&gt;&lt;record&gt;&lt;rec-number&gt;695&lt;/rec-number&gt;&lt;foreign-keys&gt;&lt;key app="EN" db-id="wdf9tzzdhw2saee559kv0vezt0wfsta0zedv" timestamp="1545264525"&gt;695&lt;/key&gt;&lt;key app="ENWeb" db-id=""&gt;0&lt;/key&gt;&lt;/foreign-keys&gt;&lt;ref-type name="Report"&gt;27&lt;/ref-type&gt;&lt;contributors&gt;&lt;authors&gt;&lt;author&gt;Tickell, Stephen. J.&lt;/author&gt;&lt;author&gt;Bruwer, Quentin&lt;/author&gt;&lt;/authors&gt;&lt;tertiary-authors&gt;&lt;author&gt;Northern Territory Department of Environment and Natural Resources&lt;/author&gt;&lt;/tertiary-authors&gt;&lt;subsidiary-authors&gt;&lt;author&gt;Water Resources Division&lt;/author&gt;&lt;/subsidiary-authors&gt;&lt;/contributors&gt;&lt;titles&gt;&lt;title&gt;Georgina Basin Groundwater Assessment: Daly Waters to Tennant Creek&lt;/title&gt;&lt;/titles&gt;&lt;pages&gt;108&lt;/pages&gt;&lt;number&gt;Technical Report 17/2017&lt;/number&gt;&lt;dates&gt;&lt;year&gt;2017&lt;/year&gt;&lt;/dates&gt;&lt;publisher&gt;Northern Territory Department of Environment and Natural Resources&lt;/publisher&gt;&lt;isbn&gt;Technical Report 17/2017&lt;/isbn&gt;&lt;urls&gt;&lt;related-urls&gt;&lt;url&gt;&lt;style face="underline" font="default" size="100%"&gt;http://www.territorystories.nt.gov.au/jspui/handle/10070/304921&lt;/style&gt;&lt;/url&gt;&lt;/related-urls&gt;&lt;/urls&gt;&lt;access-date&gt;20 April 2020&lt;/access-date&gt;&lt;/record&gt;&lt;/Cite&gt;&lt;/EndNote&gt;</w:instrText>
      </w:r>
      <w:r w:rsidR="00A541ED" w:rsidRPr="00746B2A">
        <w:rPr>
          <w:rStyle w:val="Bold"/>
          <w:b w:val="0"/>
        </w:rPr>
        <w:fldChar w:fldCharType="separate"/>
      </w:r>
      <w:r w:rsidR="007E7B35" w:rsidRPr="00746B2A">
        <w:rPr>
          <w:rStyle w:val="Bold"/>
          <w:b w:val="0"/>
          <w:noProof/>
        </w:rPr>
        <w:t>(Tickell and Bruwer, 2017)</w:t>
      </w:r>
      <w:r w:rsidR="00A541ED" w:rsidRPr="00746B2A">
        <w:rPr>
          <w:rStyle w:val="Bold"/>
          <w:b w:val="0"/>
        </w:rPr>
        <w:fldChar w:fldCharType="end"/>
      </w:r>
      <w:r w:rsidR="006D61AB" w:rsidRPr="00746B2A">
        <w:rPr>
          <w:rStyle w:val="Bold"/>
          <w:b w:val="0"/>
        </w:rPr>
        <w:t xml:space="preserve"> and </w:t>
      </w:r>
      <w:r w:rsidR="001F2990" w:rsidRPr="001F2990">
        <w:rPr>
          <w:rStyle w:val="Bold"/>
          <w:b w:val="0"/>
        </w:rPr>
        <w:t>a</w:t>
      </w:r>
      <w:r w:rsidR="001F2990" w:rsidRPr="00746B2A">
        <w:rPr>
          <w:rStyle w:val="Bold"/>
          <w:b w:val="0"/>
        </w:rPr>
        <w:t xml:space="preserve"> </w:t>
      </w:r>
      <w:r w:rsidRPr="00746B2A">
        <w:rPr>
          <w:rStyle w:val="Bold"/>
          <w:b w:val="0"/>
        </w:rPr>
        <w:t>variable degree karst and fracturing was found</w:t>
      </w:r>
      <w:r w:rsidR="001F2990" w:rsidRPr="001F2990">
        <w:rPr>
          <w:rStyle w:val="Bold"/>
          <w:b w:val="0"/>
        </w:rPr>
        <w:t>,</w:t>
      </w:r>
      <w:r w:rsidRPr="00746B2A">
        <w:rPr>
          <w:rStyle w:val="Bold"/>
          <w:b w:val="0"/>
        </w:rPr>
        <w:t xml:space="preserve"> </w:t>
      </w:r>
      <w:r w:rsidR="002A77AD" w:rsidRPr="00746B2A">
        <w:rPr>
          <w:rStyle w:val="Bold"/>
          <w:b w:val="0"/>
        </w:rPr>
        <w:t>at some sites</w:t>
      </w:r>
      <w:r w:rsidR="001F2990" w:rsidRPr="001F2990">
        <w:rPr>
          <w:rStyle w:val="Bold"/>
          <w:b w:val="0"/>
        </w:rPr>
        <w:t>,</w:t>
      </w:r>
      <w:r w:rsidR="002A77AD" w:rsidRPr="00746B2A">
        <w:rPr>
          <w:rStyle w:val="Bold"/>
          <w:b w:val="0"/>
        </w:rPr>
        <w:t xml:space="preserve"> </w:t>
      </w:r>
      <w:r w:rsidR="00440D86" w:rsidRPr="00746B2A">
        <w:rPr>
          <w:rStyle w:val="Bold"/>
          <w:b w:val="0"/>
        </w:rPr>
        <w:t>to</w:t>
      </w:r>
      <w:r w:rsidRPr="00746B2A">
        <w:rPr>
          <w:rStyle w:val="Bold"/>
          <w:b w:val="0"/>
        </w:rPr>
        <w:t xml:space="preserve"> influence degree of connectivity between Gum Ridge Formation and overlying </w:t>
      </w:r>
      <w:r w:rsidR="00A43C9F" w:rsidRPr="00746B2A">
        <w:rPr>
          <w:rStyle w:val="Bold"/>
          <w:b w:val="0"/>
        </w:rPr>
        <w:t>Anthony Lagoon</w:t>
      </w:r>
      <w:r w:rsidRPr="00746B2A">
        <w:rPr>
          <w:rStyle w:val="Bold"/>
          <w:b w:val="0"/>
        </w:rPr>
        <w:t xml:space="preserve"> Formation</w:t>
      </w:r>
      <w:r w:rsidR="002A77AD" w:rsidRPr="00746B2A">
        <w:rPr>
          <w:rStyle w:val="Bold"/>
          <w:b w:val="0"/>
        </w:rPr>
        <w:t xml:space="preserve">. In some places the </w:t>
      </w:r>
      <w:r w:rsidR="00A43C9F" w:rsidRPr="00746B2A">
        <w:rPr>
          <w:rStyle w:val="Bold"/>
          <w:b w:val="0"/>
        </w:rPr>
        <w:t>Anthony Lagoon Formation has</w:t>
      </w:r>
      <w:r w:rsidR="002A77AD" w:rsidRPr="00746B2A">
        <w:rPr>
          <w:rStyle w:val="Bold"/>
          <w:b w:val="0"/>
        </w:rPr>
        <w:t xml:space="preserve"> potential to leak into the underl</w:t>
      </w:r>
      <w:r w:rsidR="005D2CA8">
        <w:rPr>
          <w:rStyle w:val="Bold"/>
          <w:b w:val="0"/>
        </w:rPr>
        <w:t>ying</w:t>
      </w:r>
      <w:r w:rsidR="006B6F2C" w:rsidRPr="00746B2A">
        <w:rPr>
          <w:rStyle w:val="Bold"/>
          <w:b w:val="0"/>
        </w:rPr>
        <w:t xml:space="preserve"> Gum Ridge Formation, whereas in others i</w:t>
      </w:r>
      <w:r w:rsidR="000947D2" w:rsidRPr="00746B2A">
        <w:rPr>
          <w:rStyle w:val="Bold"/>
          <w:b w:val="0"/>
        </w:rPr>
        <w:t>t acted as a competent aquitard</w:t>
      </w:r>
      <w:r w:rsidR="002A77AD" w:rsidRPr="00746B2A">
        <w:rPr>
          <w:rStyle w:val="Bold"/>
          <w:b w:val="0"/>
        </w:rPr>
        <w:t>.</w:t>
      </w:r>
      <w:r w:rsidR="005172A9" w:rsidRPr="00746B2A">
        <w:rPr>
          <w:rStyle w:val="Bold"/>
          <w:b w:val="0"/>
        </w:rPr>
        <w:t xml:space="preserve"> </w:t>
      </w:r>
    </w:p>
    <w:p w14:paraId="0DB0F10B" w14:textId="0E0DE69C" w:rsidR="00BB74C5" w:rsidRPr="00746B2A" w:rsidRDefault="006D3233">
      <w:pPr>
        <w:pStyle w:val="BodyText"/>
        <w:rPr>
          <w:rStyle w:val="Bold"/>
          <w:b w:val="0"/>
        </w:rPr>
      </w:pPr>
      <w:r w:rsidRPr="00746B2A">
        <w:rPr>
          <w:rStyle w:val="Bold"/>
          <w:b w:val="0"/>
        </w:rPr>
        <w:t xml:space="preserve">From carbon isotopes, </w:t>
      </w:r>
      <w:r w:rsidR="00A541ED" w:rsidRPr="00746B2A">
        <w:rPr>
          <w:rStyle w:val="Bold"/>
          <w:b w:val="0"/>
        </w:rPr>
        <w:fldChar w:fldCharType="begin"/>
      </w:r>
      <w:r w:rsidR="00F76E0D">
        <w:rPr>
          <w:rStyle w:val="Bold"/>
          <w:b w:val="0"/>
        </w:rPr>
        <w:instrText xml:space="preserve"> ADDIN EN.CITE &lt;EndNote&gt;&lt;Cite AuthorYear="1"&gt;&lt;Author&gt;Suckow&lt;/Author&gt;&lt;Year&gt;2018&lt;/Year&gt;&lt;RecNum&gt;893&lt;/RecNum&gt;&lt;DisplayText&gt;Suckow et al. (2018)&lt;/DisplayText&gt;&lt;record&gt;&lt;rec-number&gt;893&lt;/rec-number&gt;&lt;foreign-keys&gt;&lt;key app="EN" db-id="wdf9tzzdhw2saee559kv0vezt0wfsta0zedv" timestamp="1554077722"&gt;893&lt;/key&gt;&lt;/foreign-keys&gt;&lt;ref-type name="Report"&gt;27&lt;/ref-type&gt;&lt;contributors&gt;&lt;authors&gt;&lt;author&gt;Suckow, Axel&lt;/author&gt;&lt;author&gt;Deslandes, Alec&lt;/author&gt;&lt;author&gt;Gerber, Christoph&lt;/author&gt;&lt;author&gt;Lamontagne, Sebastien&lt;/author&gt;&lt;/authors&gt;&lt;/contributors&gt;&lt;titles&gt;&lt;title&gt;Environmental tracers in the Beetaloo Sub-basin&lt;/title&gt;&lt;/titles&gt;&lt;pages&gt;50&lt;/pages&gt;&lt;number&gt;EP186868&lt;/number&gt;&lt;dates&gt;&lt;year&gt;2018&lt;/year&gt;&lt;/dates&gt;&lt;pub-location&gt;Australia&lt;/pub-location&gt;&lt;publisher&gt;CSIRO Land and Water&lt;/publisher&gt;&lt;urls&gt;&lt;/urls&gt;&lt;/record&gt;&lt;/Cite&gt;&lt;/EndNote&gt;</w:instrText>
      </w:r>
      <w:r w:rsidR="00A541ED" w:rsidRPr="00746B2A">
        <w:rPr>
          <w:rStyle w:val="Bold"/>
          <w:b w:val="0"/>
        </w:rPr>
        <w:fldChar w:fldCharType="separate"/>
      </w:r>
      <w:r w:rsidR="00A541ED" w:rsidRPr="00746B2A">
        <w:rPr>
          <w:rStyle w:val="Bold"/>
          <w:b w:val="0"/>
          <w:noProof/>
        </w:rPr>
        <w:t>Suckow et al. (2018)</w:t>
      </w:r>
      <w:r w:rsidR="00A541ED" w:rsidRPr="00746B2A">
        <w:rPr>
          <w:rStyle w:val="Bold"/>
          <w:b w:val="0"/>
        </w:rPr>
        <w:fldChar w:fldCharType="end"/>
      </w:r>
      <w:r w:rsidR="00CB4F2B" w:rsidRPr="00746B2A" w:rsidDel="00523BF1">
        <w:rPr>
          <w:rStyle w:val="Bold"/>
          <w:b w:val="0"/>
        </w:rPr>
        <w:t xml:space="preserve"> </w:t>
      </w:r>
      <w:r w:rsidR="00BB74C5" w:rsidRPr="00746B2A">
        <w:rPr>
          <w:rStyle w:val="Bold"/>
          <w:b w:val="0"/>
        </w:rPr>
        <w:t xml:space="preserve">noted </w:t>
      </w:r>
      <w:r w:rsidRPr="00746B2A">
        <w:rPr>
          <w:rStyle w:val="Bold"/>
          <w:b w:val="0"/>
        </w:rPr>
        <w:t xml:space="preserve">that </w:t>
      </w:r>
      <w:r w:rsidR="008169FE" w:rsidRPr="00746B2A">
        <w:rPr>
          <w:rStyle w:val="Bold"/>
          <w:b w:val="0"/>
        </w:rPr>
        <w:t xml:space="preserve">apparent </w:t>
      </w:r>
      <w:r w:rsidRPr="00746B2A">
        <w:rPr>
          <w:rStyle w:val="Bold"/>
          <w:b w:val="0"/>
        </w:rPr>
        <w:t xml:space="preserve">groundwater ages </w:t>
      </w:r>
      <w:r w:rsidR="00230C9E" w:rsidRPr="00746B2A">
        <w:rPr>
          <w:rStyle w:val="Bold"/>
          <w:b w:val="0"/>
        </w:rPr>
        <w:t xml:space="preserve">became younger </w:t>
      </w:r>
      <w:bookmarkStart w:id="683" w:name="_Ref4578774"/>
      <w:r w:rsidR="00BB74C5" w:rsidRPr="00746B2A">
        <w:rPr>
          <w:rStyle w:val="Bold"/>
          <w:b w:val="0"/>
        </w:rPr>
        <w:t>northward along a</w:t>
      </w:r>
      <w:r w:rsidR="00884320" w:rsidRPr="00746B2A">
        <w:rPr>
          <w:rStyle w:val="Bold"/>
          <w:b w:val="0"/>
        </w:rPr>
        <w:t>n inferred</w:t>
      </w:r>
      <w:r w:rsidR="00BB74C5" w:rsidRPr="00746B2A">
        <w:rPr>
          <w:rStyle w:val="Bold"/>
          <w:b w:val="0"/>
        </w:rPr>
        <w:t xml:space="preserve"> regional flow path trend</w:t>
      </w:r>
      <w:r w:rsidRPr="00746B2A">
        <w:rPr>
          <w:rStyle w:val="Bold"/>
          <w:b w:val="0"/>
        </w:rPr>
        <w:t>,</w:t>
      </w:r>
      <w:r w:rsidR="00BB74C5" w:rsidRPr="00746B2A">
        <w:rPr>
          <w:rStyle w:val="Bold"/>
          <w:b w:val="0"/>
        </w:rPr>
        <w:t xml:space="preserve"> from the Georgina Basin to Daly Basin</w:t>
      </w:r>
      <w:r w:rsidRPr="00746B2A">
        <w:rPr>
          <w:rStyle w:val="Bold"/>
          <w:b w:val="0"/>
        </w:rPr>
        <w:t xml:space="preserve">. This is </w:t>
      </w:r>
      <w:r w:rsidR="001F2990" w:rsidRPr="001F2990">
        <w:rPr>
          <w:rStyle w:val="Bold"/>
          <w:b w:val="0"/>
        </w:rPr>
        <w:t xml:space="preserve">the </w:t>
      </w:r>
      <w:r w:rsidRPr="00746B2A">
        <w:rPr>
          <w:rStyle w:val="Bold"/>
          <w:b w:val="0"/>
        </w:rPr>
        <w:t>opposite of what is usually expected, which is that groundwater becomes older along a confined flow</w:t>
      </w:r>
      <w:r w:rsidR="008867D1" w:rsidRPr="00746B2A">
        <w:rPr>
          <w:rStyle w:val="Bold"/>
          <w:b w:val="0"/>
        </w:rPr>
        <w:t xml:space="preserve"> path</w:t>
      </w:r>
      <w:r w:rsidRPr="00746B2A">
        <w:rPr>
          <w:rStyle w:val="Bold"/>
          <w:b w:val="0"/>
        </w:rPr>
        <w:t xml:space="preserve">. One explanation </w:t>
      </w:r>
      <w:r w:rsidR="0069173D" w:rsidRPr="00746B2A">
        <w:rPr>
          <w:rStyle w:val="Bold"/>
          <w:b w:val="0"/>
        </w:rPr>
        <w:t>for</w:t>
      </w:r>
      <w:r w:rsidRPr="00746B2A">
        <w:rPr>
          <w:rStyle w:val="Bold"/>
          <w:b w:val="0"/>
        </w:rPr>
        <w:t xml:space="preserve"> the </w:t>
      </w:r>
      <w:r w:rsidR="0069173D" w:rsidRPr="00746B2A">
        <w:rPr>
          <w:rStyle w:val="Bold"/>
          <w:b w:val="0"/>
        </w:rPr>
        <w:t xml:space="preserve">apparent carbon age trend is that </w:t>
      </w:r>
      <w:r w:rsidR="00D23619" w:rsidRPr="00746B2A">
        <w:rPr>
          <w:rStyle w:val="Bold"/>
          <w:b w:val="0"/>
        </w:rPr>
        <w:t xml:space="preserve">recent recharge </w:t>
      </w:r>
      <w:r w:rsidR="0069173D" w:rsidRPr="00746B2A">
        <w:rPr>
          <w:rStyle w:val="Bold"/>
          <w:b w:val="0"/>
        </w:rPr>
        <w:t>is occurring in the northern part of the trend</w:t>
      </w:r>
      <w:r w:rsidR="001F2990" w:rsidRPr="001F2990">
        <w:rPr>
          <w:rStyle w:val="Bold"/>
          <w:b w:val="0"/>
        </w:rPr>
        <w:t>,</w:t>
      </w:r>
      <w:r w:rsidRPr="00746B2A">
        <w:rPr>
          <w:rStyle w:val="Bold"/>
          <w:b w:val="0"/>
        </w:rPr>
        <w:t xml:space="preserve"> with </w:t>
      </w:r>
      <w:r w:rsidR="00D23619" w:rsidRPr="00746B2A">
        <w:rPr>
          <w:rStyle w:val="Bold"/>
          <w:b w:val="0"/>
        </w:rPr>
        <w:t xml:space="preserve">older groundwater at </w:t>
      </w:r>
      <w:r w:rsidR="0069173D" w:rsidRPr="00746B2A">
        <w:rPr>
          <w:rStyle w:val="Bold"/>
          <w:b w:val="0"/>
        </w:rPr>
        <w:t xml:space="preserve">the </w:t>
      </w:r>
      <w:r w:rsidR="00D06091" w:rsidRPr="00746B2A">
        <w:rPr>
          <w:rStyle w:val="Bold"/>
          <w:b w:val="0"/>
        </w:rPr>
        <w:t>southern end of the</w:t>
      </w:r>
      <w:r w:rsidR="00D23619" w:rsidRPr="00746B2A">
        <w:rPr>
          <w:rStyle w:val="Bold"/>
          <w:b w:val="0"/>
        </w:rPr>
        <w:t xml:space="preserve"> flow</w:t>
      </w:r>
      <w:r w:rsidR="008867D1" w:rsidRPr="00746B2A">
        <w:rPr>
          <w:rStyle w:val="Bold"/>
          <w:b w:val="0"/>
        </w:rPr>
        <w:t xml:space="preserve"> path</w:t>
      </w:r>
      <w:r w:rsidRPr="00746B2A">
        <w:rPr>
          <w:rStyle w:val="Bold"/>
          <w:b w:val="0"/>
        </w:rPr>
        <w:t xml:space="preserve"> in the Georgina Basin</w:t>
      </w:r>
      <w:r w:rsidR="00D23619" w:rsidRPr="00746B2A">
        <w:rPr>
          <w:rStyle w:val="Bold"/>
          <w:b w:val="0"/>
        </w:rPr>
        <w:t xml:space="preserve">. </w:t>
      </w:r>
      <w:r w:rsidR="0069173D" w:rsidRPr="00746B2A">
        <w:rPr>
          <w:rStyle w:val="Bold"/>
          <w:b w:val="0"/>
        </w:rPr>
        <w:t>Other interpretations and c</w:t>
      </w:r>
      <w:r w:rsidR="006B28F3" w:rsidRPr="00746B2A">
        <w:rPr>
          <w:rStyle w:val="Bold"/>
          <w:b w:val="0"/>
        </w:rPr>
        <w:t>omplicating factors</w:t>
      </w:r>
      <w:r w:rsidR="001F2990" w:rsidRPr="001F2990">
        <w:rPr>
          <w:rStyle w:val="Bold"/>
          <w:b w:val="0"/>
        </w:rPr>
        <w:t>,</w:t>
      </w:r>
      <w:r w:rsidR="006B28F3" w:rsidRPr="00746B2A">
        <w:rPr>
          <w:rStyle w:val="Bold"/>
          <w:b w:val="0"/>
        </w:rPr>
        <w:t xml:space="preserve"> put forward</w:t>
      </w:r>
      <w:r w:rsidR="0069173D" w:rsidRPr="00746B2A">
        <w:rPr>
          <w:rStyle w:val="Bold"/>
          <w:b w:val="0"/>
        </w:rPr>
        <w:t xml:space="preserve"> by </w:t>
      </w:r>
      <w:r w:rsidR="00A541ED" w:rsidRPr="00746B2A">
        <w:rPr>
          <w:rStyle w:val="Bold"/>
          <w:b w:val="0"/>
        </w:rPr>
        <w:fldChar w:fldCharType="begin"/>
      </w:r>
      <w:r w:rsidR="00F76E0D">
        <w:rPr>
          <w:rStyle w:val="Bold"/>
          <w:b w:val="0"/>
        </w:rPr>
        <w:instrText xml:space="preserve"> ADDIN EN.CITE &lt;EndNote&gt;&lt;Cite AuthorYear="1"&gt;&lt;Author&gt;Suckow&lt;/Author&gt;&lt;Year&gt;2018&lt;/Year&gt;&lt;RecNum&gt;893&lt;/RecNum&gt;&lt;DisplayText&gt;Suckow et al. (2018)&lt;/DisplayText&gt;&lt;record&gt;&lt;rec-number&gt;893&lt;/rec-number&gt;&lt;foreign-keys&gt;&lt;key app="EN" db-id="wdf9tzzdhw2saee559kv0vezt0wfsta0zedv" timestamp="1554077722"&gt;893&lt;/key&gt;&lt;/foreign-keys&gt;&lt;ref-type name="Report"&gt;27&lt;/ref-type&gt;&lt;contributors&gt;&lt;authors&gt;&lt;author&gt;Suckow, Axel&lt;/author&gt;&lt;author&gt;Deslandes, Alec&lt;/author&gt;&lt;author&gt;Gerber, Christoph&lt;/author&gt;&lt;author&gt;Lamontagne, Sebastien&lt;/author&gt;&lt;/authors&gt;&lt;/contributors&gt;&lt;titles&gt;&lt;title&gt;Environmental tracers in the Beetaloo Sub-basin&lt;/title&gt;&lt;/titles&gt;&lt;pages&gt;50&lt;/pages&gt;&lt;number&gt;EP186868&lt;/number&gt;&lt;dates&gt;&lt;year&gt;2018&lt;/year&gt;&lt;/dates&gt;&lt;pub-location&gt;Australia&lt;/pub-location&gt;&lt;publisher&gt;CSIRO Land and Water&lt;/publisher&gt;&lt;urls&gt;&lt;/urls&gt;&lt;/record&gt;&lt;/Cite&gt;&lt;/EndNote&gt;</w:instrText>
      </w:r>
      <w:r w:rsidR="00A541ED" w:rsidRPr="00746B2A">
        <w:rPr>
          <w:rStyle w:val="Bold"/>
          <w:b w:val="0"/>
        </w:rPr>
        <w:fldChar w:fldCharType="separate"/>
      </w:r>
      <w:r w:rsidR="00A541ED" w:rsidRPr="00746B2A">
        <w:rPr>
          <w:rStyle w:val="Bold"/>
          <w:b w:val="0"/>
          <w:noProof/>
        </w:rPr>
        <w:t>Suckow et al. (2018)</w:t>
      </w:r>
      <w:r w:rsidR="00A541ED" w:rsidRPr="00746B2A">
        <w:rPr>
          <w:rStyle w:val="Bold"/>
          <w:b w:val="0"/>
        </w:rPr>
        <w:fldChar w:fldCharType="end"/>
      </w:r>
      <w:r w:rsidR="006B28F3" w:rsidRPr="00746B2A" w:rsidDel="00523BF1">
        <w:rPr>
          <w:rStyle w:val="Bold"/>
          <w:b w:val="0"/>
        </w:rPr>
        <w:t xml:space="preserve"> </w:t>
      </w:r>
      <w:r w:rsidR="001061A6">
        <w:rPr>
          <w:rStyle w:val="Bold"/>
          <w:b w:val="0"/>
        </w:rPr>
        <w:t>are</w:t>
      </w:r>
      <w:r w:rsidR="00D1034B" w:rsidRPr="00746B2A">
        <w:rPr>
          <w:rStyle w:val="Bold"/>
          <w:b w:val="0"/>
        </w:rPr>
        <w:t xml:space="preserve">: there </w:t>
      </w:r>
      <w:r w:rsidR="0069173D" w:rsidRPr="00746B2A">
        <w:rPr>
          <w:rStyle w:val="Bold"/>
          <w:b w:val="0"/>
        </w:rPr>
        <w:t xml:space="preserve">is not a continuous </w:t>
      </w:r>
      <w:r w:rsidR="00D1034B" w:rsidRPr="00746B2A">
        <w:rPr>
          <w:rStyle w:val="Bold"/>
          <w:b w:val="0"/>
        </w:rPr>
        <w:t xml:space="preserve">regional flow path </w:t>
      </w:r>
      <w:r w:rsidR="0069173D" w:rsidRPr="00746B2A">
        <w:rPr>
          <w:rStyle w:val="Bold"/>
          <w:b w:val="0"/>
        </w:rPr>
        <w:t xml:space="preserve">(flow paths are more localised), </w:t>
      </w:r>
      <w:r w:rsidR="00D1034B" w:rsidRPr="00746B2A">
        <w:rPr>
          <w:rStyle w:val="Bold"/>
          <w:b w:val="0"/>
        </w:rPr>
        <w:t>unknown</w:t>
      </w:r>
      <w:r w:rsidR="0069173D" w:rsidRPr="00746B2A">
        <w:rPr>
          <w:rStyle w:val="Bold"/>
          <w:b w:val="0"/>
        </w:rPr>
        <w:t xml:space="preserve"> process</w:t>
      </w:r>
      <w:r w:rsidR="006B28F3" w:rsidRPr="00746B2A">
        <w:rPr>
          <w:rStyle w:val="Bold"/>
          <w:b w:val="0"/>
        </w:rPr>
        <w:t>es are</w:t>
      </w:r>
      <w:r w:rsidR="0069173D" w:rsidRPr="00746B2A">
        <w:rPr>
          <w:rStyle w:val="Bold"/>
          <w:b w:val="0"/>
        </w:rPr>
        <w:t xml:space="preserve"> </w:t>
      </w:r>
      <w:r w:rsidR="006B28F3" w:rsidRPr="00746B2A">
        <w:rPr>
          <w:rStyle w:val="Bold"/>
          <w:b w:val="0"/>
        </w:rPr>
        <w:t>influencing the</w:t>
      </w:r>
      <w:r w:rsidR="00D1034B" w:rsidRPr="00746B2A">
        <w:rPr>
          <w:rStyle w:val="Bold"/>
          <w:b w:val="0"/>
        </w:rPr>
        <w:t xml:space="preserve"> </w:t>
      </w:r>
      <w:r w:rsidR="0069173D" w:rsidRPr="00746B2A">
        <w:rPr>
          <w:rStyle w:val="Bold"/>
          <w:b w:val="0"/>
        </w:rPr>
        <w:t>carbon isotope results</w:t>
      </w:r>
      <w:r w:rsidR="00D1034B" w:rsidRPr="00746B2A">
        <w:rPr>
          <w:rStyle w:val="Bold"/>
          <w:b w:val="0"/>
        </w:rPr>
        <w:t>,</w:t>
      </w:r>
      <w:r w:rsidR="0069173D" w:rsidRPr="00746B2A">
        <w:rPr>
          <w:rStyle w:val="Bold"/>
          <w:b w:val="0"/>
        </w:rPr>
        <w:t xml:space="preserve"> or that flow velocity is high enough </w:t>
      </w:r>
      <w:r w:rsidR="006B28F3" w:rsidRPr="00746B2A">
        <w:rPr>
          <w:rStyle w:val="Bold"/>
          <w:b w:val="0"/>
        </w:rPr>
        <w:t>along the flow</w:t>
      </w:r>
      <w:r w:rsidR="008867D1" w:rsidRPr="00746B2A">
        <w:rPr>
          <w:rStyle w:val="Bold"/>
          <w:b w:val="0"/>
        </w:rPr>
        <w:t xml:space="preserve"> path</w:t>
      </w:r>
      <w:r w:rsidR="006B28F3" w:rsidRPr="00746B2A">
        <w:rPr>
          <w:rStyle w:val="Bold"/>
          <w:b w:val="0"/>
        </w:rPr>
        <w:t xml:space="preserve"> that</w:t>
      </w:r>
      <w:r w:rsidR="00D1034B" w:rsidRPr="00746B2A">
        <w:rPr>
          <w:rStyle w:val="Bold"/>
          <w:b w:val="0"/>
        </w:rPr>
        <w:t xml:space="preserve"> </w:t>
      </w:r>
      <w:r w:rsidR="006B28F3" w:rsidRPr="00746B2A">
        <w:rPr>
          <w:rStyle w:val="Bold"/>
          <w:b w:val="0"/>
        </w:rPr>
        <w:t xml:space="preserve">not enough time is available for significant </w:t>
      </w:r>
      <w:r w:rsidR="00D1034B" w:rsidRPr="00746B2A">
        <w:rPr>
          <w:rStyle w:val="Bold"/>
          <w:b w:val="0"/>
        </w:rPr>
        <w:t xml:space="preserve">radioactive </w:t>
      </w:r>
      <w:r w:rsidR="0069173D" w:rsidRPr="00746B2A">
        <w:rPr>
          <w:rStyle w:val="Bold"/>
          <w:b w:val="0"/>
        </w:rPr>
        <w:t>decay</w:t>
      </w:r>
      <w:r w:rsidR="006B28F3" w:rsidRPr="00746B2A">
        <w:rPr>
          <w:rStyle w:val="Bold"/>
          <w:b w:val="0"/>
        </w:rPr>
        <w:t xml:space="preserve"> to </w:t>
      </w:r>
      <w:r w:rsidR="001F2990" w:rsidRPr="001F2990">
        <w:rPr>
          <w:rStyle w:val="Bold"/>
          <w:b w:val="0"/>
        </w:rPr>
        <w:t xml:space="preserve">occur </w:t>
      </w:r>
      <w:r w:rsidR="006B28F3" w:rsidRPr="00746B2A">
        <w:rPr>
          <w:rStyle w:val="Bold"/>
          <w:b w:val="0"/>
        </w:rPr>
        <w:t>in carbon isotopic system</w:t>
      </w:r>
      <w:r w:rsidR="00D1034B" w:rsidRPr="00746B2A">
        <w:rPr>
          <w:rStyle w:val="Bold"/>
          <w:b w:val="0"/>
        </w:rPr>
        <w:t>.</w:t>
      </w:r>
      <w:r w:rsidR="00136CCF" w:rsidRPr="00746B2A">
        <w:rPr>
          <w:rStyle w:val="Bold"/>
          <w:b w:val="0"/>
        </w:rPr>
        <w:t xml:space="preserve"> </w:t>
      </w:r>
      <w:r w:rsidR="000C661E" w:rsidRPr="00746B2A">
        <w:rPr>
          <w:rStyle w:val="Bold"/>
          <w:b w:val="0"/>
        </w:rPr>
        <w:t>As part</w:t>
      </w:r>
      <w:r w:rsidR="00A47209" w:rsidRPr="00746B2A">
        <w:rPr>
          <w:rStyle w:val="Bold"/>
          <w:b w:val="0"/>
        </w:rPr>
        <w:t xml:space="preserve"> </w:t>
      </w:r>
      <w:r w:rsidR="000C661E" w:rsidRPr="00746B2A">
        <w:rPr>
          <w:rStyle w:val="Bold"/>
          <w:b w:val="0"/>
        </w:rPr>
        <w:t xml:space="preserve">of Stage 3 of the Beetaloo GBA, further work will be undertaken to improve recharge pathways and processes (see Section </w:t>
      </w:r>
      <w:r w:rsidR="000C661E" w:rsidRPr="00746B2A">
        <w:rPr>
          <w:rStyle w:val="Bold"/>
          <w:b w:val="0"/>
        </w:rPr>
        <w:fldChar w:fldCharType="begin"/>
      </w:r>
      <w:r w:rsidR="000C661E" w:rsidRPr="00746B2A">
        <w:rPr>
          <w:rStyle w:val="Bold"/>
          <w:b w:val="0"/>
        </w:rPr>
        <w:instrText xml:space="preserve"> REF _Ref21961061 \r \h </w:instrText>
      </w:r>
      <w:r w:rsidR="00455FCB" w:rsidRPr="00746B2A">
        <w:rPr>
          <w:rStyle w:val="Bold"/>
          <w:b w:val="0"/>
        </w:rPr>
        <w:instrText xml:space="preserve"> \* MERGEFORMAT </w:instrText>
      </w:r>
      <w:r w:rsidR="000C661E" w:rsidRPr="00746B2A">
        <w:rPr>
          <w:rStyle w:val="Bold"/>
          <w:b w:val="0"/>
        </w:rPr>
      </w:r>
      <w:r w:rsidR="000C661E" w:rsidRPr="00746B2A">
        <w:rPr>
          <w:rStyle w:val="Bold"/>
          <w:b w:val="0"/>
        </w:rPr>
        <w:fldChar w:fldCharType="separate"/>
      </w:r>
      <w:r w:rsidR="00B177F5">
        <w:rPr>
          <w:rStyle w:val="Bold"/>
          <w:b w:val="0"/>
        </w:rPr>
        <w:t>5.4.1</w:t>
      </w:r>
      <w:r w:rsidR="000C661E" w:rsidRPr="00746B2A">
        <w:rPr>
          <w:rStyle w:val="Bold"/>
          <w:b w:val="0"/>
        </w:rPr>
        <w:fldChar w:fldCharType="end"/>
      </w:r>
      <w:r w:rsidR="000C661E" w:rsidRPr="00746B2A">
        <w:rPr>
          <w:rStyle w:val="Bold"/>
          <w:b w:val="0"/>
        </w:rPr>
        <w:t xml:space="preserve">), which will assist interpretation of hydrochemistry data. </w:t>
      </w:r>
    </w:p>
    <w:p w14:paraId="712F1B02" w14:textId="23A093A3" w:rsidR="00C81B2F" w:rsidRPr="005019F5" w:rsidRDefault="00C81B2F" w:rsidP="005019F5">
      <w:pPr>
        <w:pStyle w:val="Heading6"/>
      </w:pPr>
      <w:bookmarkStart w:id="684" w:name="_Ref5790753"/>
      <w:bookmarkEnd w:id="683"/>
      <w:r w:rsidRPr="005019F5">
        <w:t>Recharge</w:t>
      </w:r>
      <w:bookmarkEnd w:id="684"/>
      <w:r w:rsidR="00D00F33" w:rsidRPr="005019F5">
        <w:t xml:space="preserve"> </w:t>
      </w:r>
      <w:r w:rsidR="00DC753D" w:rsidRPr="005019F5">
        <w:t>and inflow</w:t>
      </w:r>
    </w:p>
    <w:p w14:paraId="372C0C32" w14:textId="1D4C13DF" w:rsidR="00C81B2F" w:rsidRPr="00C81B2F" w:rsidRDefault="00C0451E" w:rsidP="00C81B2F">
      <w:r>
        <w:t>Annual</w:t>
      </w:r>
      <w:r w:rsidR="00840314">
        <w:t xml:space="preserve"> rainfall </w:t>
      </w:r>
      <w:r>
        <w:t>falls in two climatic zones (</w:t>
      </w:r>
      <w:r w:rsidR="00FD2025">
        <w:t xml:space="preserve">wet-dry tropics and semi-arid) </w:t>
      </w:r>
      <w:r w:rsidR="00840314">
        <w:t>across the CLA</w:t>
      </w:r>
      <w:r w:rsidR="001F2990">
        <w:t xml:space="preserve"> and</w:t>
      </w:r>
      <w:r>
        <w:t xml:space="preserve"> is strongly seasonal and </w:t>
      </w:r>
      <w:r w:rsidR="00840314">
        <w:t>vari</w:t>
      </w:r>
      <w:r w:rsidR="001061A6">
        <w:t>es</w:t>
      </w:r>
      <w:r w:rsidR="00840314">
        <w:t xml:space="preserve"> markedl</w:t>
      </w:r>
      <w:r>
        <w:t>y</w:t>
      </w:r>
      <w:r w:rsidR="001F2990">
        <w:t xml:space="preserve"> geographically</w:t>
      </w:r>
      <w:r w:rsidR="00840314">
        <w:t>, reducing from north to south</w:t>
      </w:r>
      <w:r>
        <w:t xml:space="preserve"> </w:t>
      </w:r>
      <w:r w:rsidR="00EE1F22">
        <w:fldChar w:fldCharType="begin"/>
      </w:r>
      <w:r w:rsidR="00F76E0D">
        <w:instrText xml:space="preserve"> ADDIN EN.CITE &lt;EndNote&gt;&lt;Cite&gt;&lt;Author&gt;Knapton&lt;/Author&gt;&lt;Year&gt;2006&lt;/Year&gt;&lt;RecNum&gt;685&lt;/RecNum&gt;&lt;DisplayText&gt;(Knapton, 2006)&lt;/DisplayText&gt;&lt;record&gt;&lt;rec-number&gt;685&lt;/rec-number&gt;&lt;foreign-keys&gt;&lt;key app="EN" db-id="wdf9tzzdhw2saee559kv0vezt0wfsta0zedv" timestamp="1545264472"&gt;685&lt;/key&gt;&lt;key app="ENWeb" db-id=""&gt;0&lt;/key&gt;&lt;/foreign-keys&gt;&lt;ref-type name="Report"&gt;27&lt;/ref-type&gt;&lt;contributors&gt;&lt;authors&gt;&lt;author&gt;Knapton, Anthony&lt;/author&gt;&lt;/authors&gt;&lt;/contributors&gt;&lt;titles&gt;&lt;title&gt;Regional Groundwater Modelling of the Cambrian Limestone Aquifer System of the Wiso Basin, Georgina Basin and Daly Basin&lt;/title&gt;&lt;/titles&gt;&lt;pages&gt;60&lt;/pages&gt;&lt;number&gt;Technical Report No. 29/2006A&lt;/number&gt;&lt;keywords&gt;&lt;keyword&gt;Cambrian Limestone Aquifer&lt;/keyword&gt;&lt;keyword&gt;Wiso Basin&lt;/keyword&gt;&lt;keyword&gt;Georgina Basin&lt;/keyword&gt;&lt;keyword&gt;Daly Basin&lt;/keyword&gt;&lt;keyword&gt;Beetaloo Sub-basin&lt;/keyword&gt;&lt;keyword&gt;regional flow&lt;/keyword&gt;&lt;keyword&gt;regional groundwater systems&lt;/keyword&gt;&lt;keyword&gt;inter-basin groundwater flow&lt;/keyword&gt;&lt;keyword&gt;groundwater model&lt;/keyword&gt;&lt;/keywords&gt;&lt;dates&gt;&lt;year&gt;2006&lt;/year&gt;&lt;/dates&gt;&lt;pub-location&gt;Alice Springs&lt;/pub-location&gt;&lt;publisher&gt;Department of Natural Resources, Environment and the Arts (Northern Territory)&lt;/publisher&gt;&lt;isbn&gt;29/2006A&lt;/isbn&gt;&lt;urls&gt;&lt;related-urls&gt;&lt;url&gt;&lt;style face="underline" font="default" size="100%"&gt;http://www.territorystories.nt.gov.au/jspui/bitstream/10070/228069/1/WRA06029.pdf&lt;/style&gt;&lt;/url&gt;&lt;/related-urls&gt;&lt;/urls&gt;&lt;access-date&gt;28 November 2019&lt;/access-date&gt;&lt;/record&gt;&lt;/Cite&gt;&lt;/EndNote&gt;</w:instrText>
      </w:r>
      <w:r w:rsidR="00EE1F22">
        <w:fldChar w:fldCharType="separate"/>
      </w:r>
      <w:r w:rsidR="00EE1F22">
        <w:rPr>
          <w:noProof/>
        </w:rPr>
        <w:t>(Knapton, 2006)</w:t>
      </w:r>
      <w:r w:rsidR="00EE1F22">
        <w:fldChar w:fldCharType="end"/>
      </w:r>
      <w:r w:rsidR="00840314">
        <w:t>. Aside from</w:t>
      </w:r>
      <w:r w:rsidR="00C81B2F" w:rsidRPr="00C81B2F">
        <w:t xml:space="preserve"> rainfall and other climat</w:t>
      </w:r>
      <w:r w:rsidR="008867D1">
        <w:t>e</w:t>
      </w:r>
      <w:r w:rsidR="00C81B2F" w:rsidRPr="00C81B2F">
        <w:t xml:space="preserve"> variables, recharge </w:t>
      </w:r>
      <w:r w:rsidR="00C8422B">
        <w:t>is influenced by</w:t>
      </w:r>
      <w:r w:rsidR="00C8422B" w:rsidRPr="00C81B2F">
        <w:t xml:space="preserve"> </w:t>
      </w:r>
      <w:r w:rsidR="00C81B2F" w:rsidRPr="00C81B2F">
        <w:t>soil type, geology</w:t>
      </w:r>
      <w:r w:rsidR="00AB5240">
        <w:t xml:space="preserve"> (e.g. thickness of overlying Carpentaria Basin)</w:t>
      </w:r>
      <w:r w:rsidR="00C81B2F" w:rsidRPr="00C81B2F">
        <w:t xml:space="preserve">, vegetation, topography and degree of </w:t>
      </w:r>
      <w:r w:rsidR="00022746">
        <w:t>near</w:t>
      </w:r>
      <w:r w:rsidR="00C30378">
        <w:t>-</w:t>
      </w:r>
      <w:r w:rsidR="00022746">
        <w:t xml:space="preserve">surface </w:t>
      </w:r>
      <w:r w:rsidR="00C81B2F" w:rsidRPr="00C81B2F">
        <w:t>karst development. Accordingly, there is no</w:t>
      </w:r>
      <w:r w:rsidR="001F2990">
        <w:t xml:space="preserve"> </w:t>
      </w:r>
      <w:r w:rsidR="00C81B2F" w:rsidRPr="00C81B2F">
        <w:t xml:space="preserve">direct relationship between groundwater recharge and amount of rainfall </w:t>
      </w:r>
      <w:r w:rsidR="00190334">
        <w:fldChar w:fldCharType="begin"/>
      </w:r>
      <w:r w:rsidR="00F76E0D">
        <w:instrText xml:space="preserve"> ADDIN EN.CITE &lt;EndNote&gt;&lt;Cite&gt;&lt;Author&gt;EcOz Environmental Consultants&lt;/Author&gt;&lt;Year&gt;2015&lt;/Year&gt;&lt;RecNum&gt;702&lt;/RecNum&gt;&lt;DisplayText&gt;(EcOz Environmental Consultants, 2015)&lt;/DisplayText&gt;&lt;record&gt;&lt;rec-number&gt;702&lt;/rec-number&gt;&lt;foreign-keys&gt;&lt;key app="EN" db-id="wdf9tzzdhw2saee559kv0vezt0wfsta0zedv" timestamp="1545264527"&gt;702&lt;/key&gt;&lt;/foreign-keys&gt;&lt;ref-type name="Report"&gt;27&lt;/ref-type&gt;&lt;contributors&gt;&lt;authors&gt;&lt;author&gt;EcOz Environmental Consultants,&lt;/author&gt;&lt;/authors&gt;&lt;secondary-authors&gt;&lt;author&gt;EcOz Environmental Consultants&lt;/author&gt;&lt;/secondary-authors&gt;&lt;/contributors&gt;&lt;titles&gt;&lt;title&gt;Surface and groundwater characterisation report – Sturt Plateau Region NT. Report prepared for Pangaea Resources for submission to the NT fracking inquiry&lt;/title&gt;&lt;/titles&gt;&lt;pages&gt;53&lt;/pages&gt;&lt;dates&gt;&lt;year&gt;2015&lt;/year&gt;&lt;pub-dates&gt;&lt;date&gt;2/10/2015&lt;/date&gt;&lt;/pub-dates&gt;&lt;/dates&gt;&lt;pub-location&gt;Darwin&lt;/pub-location&gt;&lt;urls&gt;&lt;related-urls&gt;&lt;url&gt;https://frackinginquiry.nt.gov.au/?a=424269&lt;/url&gt;&lt;/related-urls&gt;&lt;/urls&gt;&lt;access-date&gt;28 November 2019&lt;/access-date&gt;&lt;/record&gt;&lt;/Cite&gt;&lt;/EndNote&gt;</w:instrText>
      </w:r>
      <w:r w:rsidR="00190334">
        <w:fldChar w:fldCharType="separate"/>
      </w:r>
      <w:r w:rsidR="00190334">
        <w:rPr>
          <w:noProof/>
        </w:rPr>
        <w:t>(EcOz Environmental Consultants, 2015)</w:t>
      </w:r>
      <w:r w:rsidR="00190334">
        <w:fldChar w:fldCharType="end"/>
      </w:r>
      <w:r w:rsidR="00C81B2F" w:rsidRPr="00C81B2F">
        <w:t>. Recharge to aquifers occurs in the wet season at times when rainfall intensity and duration are enough to exceed evapotranspiration rates. Recharge leads to a rise in groundwater levels and an increase in discharge to rivers and springs.</w:t>
      </w:r>
      <w:r w:rsidR="00022746">
        <w:t xml:space="preserve"> Within the Beetaloo GBA region, recharge </w:t>
      </w:r>
      <w:r w:rsidR="001F2990">
        <w:t>needs</w:t>
      </w:r>
      <w:r w:rsidR="00022746">
        <w:t xml:space="preserve"> to pass through the overlying Carpentaria Basin </w:t>
      </w:r>
      <w:r w:rsidR="001F2990">
        <w:t>to reach the underlying</w:t>
      </w:r>
      <w:r w:rsidR="00022746">
        <w:t xml:space="preserve"> CLA. Another input (</w:t>
      </w:r>
      <w:r w:rsidR="001061A6">
        <w:t>‘</w:t>
      </w:r>
      <w:r w:rsidR="00022746">
        <w:t>recharge</w:t>
      </w:r>
      <w:r w:rsidR="001061A6">
        <w:t>’</w:t>
      </w:r>
      <w:r w:rsidR="00022746">
        <w:t xml:space="preserve">) component to the CLA in the Beetaloo GBA region </w:t>
      </w:r>
      <w:r w:rsidR="0061338C">
        <w:t>is</w:t>
      </w:r>
      <w:r w:rsidR="00022746">
        <w:t xml:space="preserve"> throughflow from the south</w:t>
      </w:r>
      <w:r w:rsidR="0061338C">
        <w:t>,</w:t>
      </w:r>
      <w:r w:rsidR="00022746">
        <w:t xml:space="preserve"> out of the Wiso and Georgina basins (see </w:t>
      </w:r>
      <w:r w:rsidR="00A65E6B">
        <w:fldChar w:fldCharType="begin"/>
      </w:r>
      <w:r w:rsidR="00A65E6B">
        <w:instrText xml:space="preserve"> REF _Ref1137606 \h </w:instrText>
      </w:r>
      <w:r w:rsidR="00A65E6B">
        <w:fldChar w:fldCharType="separate"/>
      </w:r>
      <w:r w:rsidR="00B177F5">
        <w:t xml:space="preserve">Figure </w:t>
      </w:r>
      <w:r w:rsidR="00B177F5">
        <w:rPr>
          <w:noProof/>
        </w:rPr>
        <w:t>16</w:t>
      </w:r>
      <w:r w:rsidR="00A65E6B">
        <w:fldChar w:fldCharType="end"/>
      </w:r>
      <w:r w:rsidR="00A65E6B">
        <w:t xml:space="preserve"> and </w:t>
      </w:r>
      <w:r w:rsidR="00022746">
        <w:t xml:space="preserve">Section </w:t>
      </w:r>
      <w:r w:rsidR="00225452">
        <w:fldChar w:fldCharType="begin"/>
      </w:r>
      <w:r w:rsidR="00225452">
        <w:instrText xml:space="preserve"> REF _Ref25927725 \r \h </w:instrText>
      </w:r>
      <w:r w:rsidR="00225452">
        <w:fldChar w:fldCharType="separate"/>
      </w:r>
      <w:r w:rsidR="00B177F5">
        <w:t>3.3.3.2.9</w:t>
      </w:r>
      <w:r w:rsidR="00225452">
        <w:fldChar w:fldCharType="end"/>
      </w:r>
      <w:r w:rsidR="00022746">
        <w:t>).</w:t>
      </w:r>
    </w:p>
    <w:p w14:paraId="2FDCA65E" w14:textId="0D1B23E1" w:rsidR="00C81B2F" w:rsidRPr="00C81B2F" w:rsidRDefault="00C81B2F" w:rsidP="00C81B2F">
      <w:r w:rsidRPr="00C81B2F">
        <w:t xml:space="preserve">Four mechanisms of recharge were identified </w:t>
      </w:r>
      <w:r w:rsidR="00EE1F22">
        <w:fldChar w:fldCharType="begin"/>
      </w:r>
      <w:r w:rsidR="008F30E0">
        <w:instrText xml:space="preserve"> ADDIN EN.CITE &lt;EndNote&gt;&lt;Cite&gt;&lt;Author&gt;Fulton&lt;/Author&gt;&lt;Year&gt;2015&lt;/Year&gt;&lt;RecNum&gt;671&lt;/RecNum&gt;&lt;DisplayText&gt;(Fulton and Knapton, 2015b)&lt;/DisplayText&gt;&lt;record&gt;&lt;rec-number&gt;671&lt;/rec-number&gt;&lt;foreign-keys&gt;&lt;key app="EN" db-id="wdf9tzzdhw2saee559kv0vezt0wfsta0zedv" timestamp="1545264407"&gt;671&lt;/key&gt;&lt;key app="ENWeb" db-id=""&gt;0&lt;/key&gt;&lt;/foreign-keys&gt;&lt;ref-type name="Report"&gt;27&lt;/ref-type&gt;&lt;contributors&gt;&lt;authors&gt;&lt;author&gt;Fulton, S.&lt;/author&gt;&lt;author&gt;Knapton, A.&lt;/author&gt;&lt;/authors&gt;&lt;/contributors&gt;&lt;titles&gt;&lt;title&gt;Beetaloo Basin hydrogeological assessment. Cloud GMS&lt;/title&gt;&lt;/titles&gt;&lt;pages&gt;70&lt;/pages&gt;&lt;dates&gt;&lt;year&gt;2015&lt;/year&gt;&lt;pub-dates&gt;&lt;date&gt;February 2015&lt;/date&gt;&lt;/pub-dates&gt;&lt;/dates&gt;&lt;publisher&gt;Origin Energy Report 1 for Fracking Enquiry NT&lt;/publisher&gt;&lt;urls&gt;&lt;related-urls&gt;&lt;url&gt;https://frackinginquiry.nt.gov.au/?a=410609&lt;/url&gt;&lt;/related-urls&gt;&lt;/urls&gt;&lt;access-date&gt;28 November 2019&lt;/access-date&gt;&lt;/record&gt;&lt;/Cite&gt;&lt;/EndNote&gt;</w:instrText>
      </w:r>
      <w:r w:rsidR="00EE1F22">
        <w:fldChar w:fldCharType="separate"/>
      </w:r>
      <w:r w:rsidR="008F30E0">
        <w:rPr>
          <w:noProof/>
        </w:rPr>
        <w:t>(Fulton and Knapton, 2015b)</w:t>
      </w:r>
      <w:r w:rsidR="00EE1F22">
        <w:fldChar w:fldCharType="end"/>
      </w:r>
      <w:r w:rsidR="000F0736">
        <w:t xml:space="preserve"> </w:t>
      </w:r>
      <w:r w:rsidR="0061338C">
        <w:t>for</w:t>
      </w:r>
      <w:r w:rsidR="00022746">
        <w:t xml:space="preserve"> areas of near</w:t>
      </w:r>
      <w:r w:rsidR="00C30378">
        <w:t>-</w:t>
      </w:r>
      <w:r w:rsidR="00022746">
        <w:t>surface karst</w:t>
      </w:r>
      <w:r w:rsidRPr="00C81B2F">
        <w:t>:</w:t>
      </w:r>
    </w:p>
    <w:p w14:paraId="3EE73393" w14:textId="08E4CE0B" w:rsidR="00C81B2F" w:rsidRPr="00C81B2F" w:rsidRDefault="001061A6" w:rsidP="001F0A6B">
      <w:pPr>
        <w:pStyle w:val="ListBullet"/>
      </w:pPr>
      <w:r>
        <w:t>d</w:t>
      </w:r>
      <w:r w:rsidR="00C81B2F" w:rsidRPr="00C81B2F">
        <w:t>irect recharge when surface water exceeds soil moisture deficits and evapotranspiration, occurring by vertical percolation through the unsaturated zone</w:t>
      </w:r>
    </w:p>
    <w:p w14:paraId="46B2568F" w14:textId="50D60BA5" w:rsidR="00C81B2F" w:rsidRPr="00C81B2F" w:rsidRDefault="001061A6" w:rsidP="001F0A6B">
      <w:pPr>
        <w:pStyle w:val="ListBullet"/>
      </w:pPr>
      <w:r>
        <w:t>m</w:t>
      </w:r>
      <w:r w:rsidR="00C81B2F" w:rsidRPr="00C81B2F">
        <w:t xml:space="preserve">acropores </w:t>
      </w:r>
      <w:r w:rsidR="00AA1C04">
        <w:t>–</w:t>
      </w:r>
      <w:r w:rsidR="00C81B2F" w:rsidRPr="00C81B2F">
        <w:t xml:space="preserve"> channelled precipitation through root casts and regolith solution</w:t>
      </w:r>
      <w:r w:rsidR="002E6955">
        <w:t xml:space="preserve"> tubes, with the rapidly infilt</w:t>
      </w:r>
      <w:r w:rsidR="00C81B2F" w:rsidRPr="00C81B2F">
        <w:t>r</w:t>
      </w:r>
      <w:r w:rsidR="002E6955">
        <w:t>at</w:t>
      </w:r>
      <w:r w:rsidR="00C81B2F" w:rsidRPr="00C81B2F">
        <w:t>ed water having limited interaction with sediment and rocks in the unsaturated zone</w:t>
      </w:r>
    </w:p>
    <w:p w14:paraId="42AF82B7" w14:textId="4B1E39A1" w:rsidR="00C81B2F" w:rsidRPr="00C81B2F" w:rsidRDefault="001061A6" w:rsidP="001F0A6B">
      <w:pPr>
        <w:pStyle w:val="ListBullet"/>
      </w:pPr>
      <w:r>
        <w:t>l</w:t>
      </w:r>
      <w:r w:rsidR="00C81B2F" w:rsidRPr="00C81B2F">
        <w:t xml:space="preserve">ocal indirect recharge where surface water is channelled into karstic features such as dolines (sinkholes) in areas where the Mesozoic cover is relatively thin. </w:t>
      </w:r>
      <w:r w:rsidR="00A541ED">
        <w:fldChar w:fldCharType="begin"/>
      </w:r>
      <w:r w:rsidR="00F76E0D">
        <w:instrText xml:space="preserve"> ADDIN EN.CITE &lt;EndNote&gt;&lt;Cite AuthorYear="1"&gt;&lt;Author&gt;Tickell&lt;/Author&gt;&lt;Year&gt;2005&lt;/Year&gt;&lt;RecNum&gt;733&lt;/RecNum&gt;&lt;DisplayText&gt;Tickell (2005)&lt;/DisplayText&gt;&lt;record&gt;&lt;rec-number&gt;733&lt;/rec-number&gt;&lt;foreign-keys&gt;&lt;key app="EN" db-id="wdf9tzzdhw2saee559kv0vezt0wfsta0zedv" timestamp="1550544784"&gt;733&lt;/key&gt;&lt;/foreign-keys&gt;&lt;ref-type name="Report"&gt;27&lt;/ref-type&gt;&lt;contributors&gt;&lt;authors&gt;&lt;author&gt;Tickell, Stephen. J.&lt;/author&gt;&lt;/authors&gt;&lt;secondary-authors&gt;&lt;author&gt;DEPARTMENT OF NATURAL RESOURCES THE ENVIRONMENT AND THE ARTS&lt;/author&gt;&lt;author&gt;NATURAL RESOURCES DIVISION&lt;/author&gt;&lt;/secondary-authors&gt;&lt;/contributors&gt;&lt;titles&gt;&lt;title&gt;Groundwater resources of the Tindall Limestone. Report 34/2005&lt;/title&gt;&lt;secondary-title&gt;REPORT 34/2005&lt;/secondary-title&gt;&lt;/titles&gt;&lt;dates&gt;&lt;year&gt;2005&lt;/year&gt;&lt;/dates&gt;&lt;publisher&gt;Department of Natural Resources, The Environment and The Arts Natural Resources Division&lt;/publisher&gt;&lt;urls&gt;&lt;/urls&gt;&lt;/record&gt;&lt;/Cite&gt;&lt;/EndNote&gt;</w:instrText>
      </w:r>
      <w:r w:rsidR="00A541ED">
        <w:fldChar w:fldCharType="separate"/>
      </w:r>
      <w:r w:rsidR="007E7B35">
        <w:rPr>
          <w:noProof/>
        </w:rPr>
        <w:t>Tickell (2005)</w:t>
      </w:r>
      <w:r w:rsidR="00A541ED">
        <w:fldChar w:fldCharType="end"/>
      </w:r>
      <w:r w:rsidR="00AF5CBA">
        <w:t xml:space="preserve">, </w:t>
      </w:r>
      <w:r w:rsidR="00A541ED">
        <w:fldChar w:fldCharType="begin"/>
      </w:r>
      <w:r w:rsidR="00F76E0D">
        <w:instrText xml:space="preserve"> ADDIN EN.CITE &lt;EndNote&gt;&lt;Cite AuthorYear="1"&gt;&lt;Author&gt;Knapton&lt;/Author&gt;&lt;Year&gt;2006&lt;/Year&gt;&lt;RecNum&gt;685&lt;/RecNum&gt;&lt;DisplayText&gt;Knapton (2006)&lt;/DisplayText&gt;&lt;record&gt;&lt;rec-number&gt;685&lt;/rec-number&gt;&lt;foreign-keys&gt;&lt;key app="EN" db-id="wdf9tzzdhw2saee559kv0vezt0wfsta0zedv" timestamp="1545264472"&gt;685&lt;/key&gt;&lt;key app="ENWeb" db-id=""&gt;0&lt;/key&gt;&lt;/foreign-keys&gt;&lt;ref-type name="Report"&gt;27&lt;/ref-type&gt;&lt;contributors&gt;&lt;authors&gt;&lt;author&gt;Knapton, Anthony&lt;/author&gt;&lt;/authors&gt;&lt;/contributors&gt;&lt;titles&gt;&lt;title&gt;Regional Groundwater Modelling of the Cambrian Limestone Aquifer System of the Wiso Basin, Georgina Basin and Daly Basin&lt;/title&gt;&lt;/titles&gt;&lt;pages&gt;60&lt;/pages&gt;&lt;number&gt;Technical Report No. 29/2006A&lt;/number&gt;&lt;keywords&gt;&lt;keyword&gt;Cambrian Limestone Aquifer&lt;/keyword&gt;&lt;keyword&gt;Wiso Basin&lt;/keyword&gt;&lt;keyword&gt;Georgina Basin&lt;/keyword&gt;&lt;keyword&gt;Daly Basin&lt;/keyword&gt;&lt;keyword&gt;Beetaloo Sub-basin&lt;/keyword&gt;&lt;keyword&gt;regional flow&lt;/keyword&gt;&lt;keyword&gt;regional groundwater systems&lt;/keyword&gt;&lt;keyword&gt;inter-basin groundwater flow&lt;/keyword&gt;&lt;keyword&gt;groundwater model&lt;/keyword&gt;&lt;/keywords&gt;&lt;dates&gt;&lt;year&gt;2006&lt;/year&gt;&lt;/dates&gt;&lt;pub-location&gt;Alice Springs&lt;/pub-location&gt;&lt;publisher&gt;Department of Natural Resources, Environment and the Arts (Northern Territory)&lt;/publisher&gt;&lt;isbn&gt;29/2006A&lt;/isbn&gt;&lt;urls&gt;&lt;related-urls&gt;&lt;url&gt;&lt;style face="underline" font="default" size="100%"&gt;http://www.territorystories.nt.gov.au/jspui/bitstream/10070/228069/1/WRA06029.pdf&lt;/style&gt;&lt;/url&gt;&lt;/related-urls&gt;&lt;/urls&gt;&lt;access-date&gt;28 November 2019&lt;/access-date&gt;&lt;/record&gt;&lt;/Cite&gt;&lt;/EndNote&gt;</w:instrText>
      </w:r>
      <w:r w:rsidR="00A541ED">
        <w:fldChar w:fldCharType="separate"/>
      </w:r>
      <w:r w:rsidR="00A541ED">
        <w:rPr>
          <w:noProof/>
        </w:rPr>
        <w:t>Knapton (2006)</w:t>
      </w:r>
      <w:r w:rsidR="00A541ED">
        <w:fldChar w:fldCharType="end"/>
      </w:r>
      <w:r w:rsidR="00C81B2F" w:rsidRPr="00C81B2F" w:rsidDel="00B71786">
        <w:t xml:space="preserve"> </w:t>
      </w:r>
      <w:r w:rsidR="00C81B2F" w:rsidRPr="00C81B2F">
        <w:t xml:space="preserve">and </w:t>
      </w:r>
      <w:r w:rsidR="00A541ED">
        <w:fldChar w:fldCharType="begin"/>
      </w:r>
      <w:r w:rsidR="008F30E0">
        <w:instrText xml:space="preserve"> ADDIN EN.CITE &lt;EndNote&gt;&lt;Cite AuthorYear="1"&gt;&lt;Author&gt;Fulton&lt;/Author&gt;&lt;Year&gt;2015&lt;/Year&gt;&lt;RecNum&gt;671&lt;/RecNum&gt;&lt;DisplayText&gt;Fulton and Knapton (2015b)&lt;/DisplayText&gt;&lt;record&gt;&lt;rec-number&gt;671&lt;/rec-number&gt;&lt;foreign-keys&gt;&lt;key app="EN" db-id="wdf9tzzdhw2saee559kv0vezt0wfsta0zedv" timestamp="1545264407"&gt;671&lt;/key&gt;&lt;key app="ENWeb" db-id=""&gt;0&lt;/key&gt;&lt;/foreign-keys&gt;&lt;ref-type name="Report"&gt;27&lt;/ref-type&gt;&lt;contributors&gt;&lt;authors&gt;&lt;author&gt;Fulton, S.&lt;/author&gt;&lt;author&gt;Knapton, A.&lt;/author&gt;&lt;/authors&gt;&lt;/contributors&gt;&lt;titles&gt;&lt;title&gt;Beetaloo Basin hydrogeological assessment. Cloud GMS&lt;/title&gt;&lt;/titles&gt;&lt;pages&gt;70&lt;/pages&gt;&lt;dates&gt;&lt;year&gt;2015&lt;/year&gt;&lt;pub-dates&gt;&lt;date&gt;February 2015&lt;/date&gt;&lt;/pub-dates&gt;&lt;/dates&gt;&lt;publisher&gt;Origin Energy Report 1 for Fracking Enquiry NT&lt;/publisher&gt;&lt;urls&gt;&lt;related-urls&gt;&lt;url&gt;https://frackinginquiry.nt.gov.au/?a=410609&lt;/url&gt;&lt;/related-urls&gt;&lt;/urls&gt;&lt;access-date&gt;28 November 2019&lt;/access-date&gt;&lt;/record&gt;&lt;/Cite&gt;&lt;/EndNote&gt;</w:instrText>
      </w:r>
      <w:r w:rsidR="00A541ED">
        <w:fldChar w:fldCharType="separate"/>
      </w:r>
      <w:r w:rsidR="008F30E0">
        <w:rPr>
          <w:noProof/>
        </w:rPr>
        <w:t>Fulton and Knapton (2015b)</w:t>
      </w:r>
      <w:r w:rsidR="00A541ED">
        <w:fldChar w:fldCharType="end"/>
      </w:r>
      <w:r w:rsidR="00C81B2F" w:rsidRPr="00C81B2F">
        <w:t xml:space="preserve"> consider this to be a poorly understood component of recharge</w:t>
      </w:r>
    </w:p>
    <w:p w14:paraId="62368D5B" w14:textId="12A56792" w:rsidR="00C81B2F" w:rsidRPr="00C81B2F" w:rsidRDefault="001061A6" w:rsidP="001F0A6B">
      <w:pPr>
        <w:pStyle w:val="ListBullet"/>
      </w:pPr>
      <w:r>
        <w:t>l</w:t>
      </w:r>
      <w:r w:rsidR="00C81B2F" w:rsidRPr="00C81B2F">
        <w:t>ocalised indirect recharge occurs along ephemeral drainage lines such as Dry River and the tributaries that feed Elsey Creek.</w:t>
      </w:r>
    </w:p>
    <w:p w14:paraId="61D9C4F5" w14:textId="79C96035" w:rsidR="00C81B2F" w:rsidRPr="00C81B2F" w:rsidRDefault="00C81B2F" w:rsidP="00C81B2F">
      <w:r w:rsidRPr="00C81B2F">
        <w:t>The eastern and western portions of the Beetaloo GBA region appear to have a distinctly different proportionality of the above recharge processes, largely because of the differing permeability of limestone</w:t>
      </w:r>
      <w:r w:rsidR="00D00F33">
        <w:t xml:space="preserve"> aquifers</w:t>
      </w:r>
      <w:r w:rsidRPr="00C81B2F">
        <w:t xml:space="preserve"> and thickness of Cretaceous cover. Generally, recharge is minimal where significant thicknesses of Cretaceous mudstone (</w:t>
      </w:r>
      <w:r w:rsidR="001061A6">
        <w:t>‘</w:t>
      </w:r>
      <w:r w:rsidRPr="00C81B2F">
        <w:t>Unit</w:t>
      </w:r>
      <w:r w:rsidR="001918C9">
        <w:t>s</w:t>
      </w:r>
      <w:r w:rsidRPr="00C81B2F">
        <w:t xml:space="preserve"> </w:t>
      </w:r>
      <w:r w:rsidR="001918C9">
        <w:t xml:space="preserve">B and </w:t>
      </w:r>
      <w:r w:rsidRPr="00C81B2F">
        <w:t>C</w:t>
      </w:r>
      <w:r w:rsidR="001061A6">
        <w:t>’</w:t>
      </w:r>
      <w:r w:rsidR="00D50933">
        <w:t xml:space="preserve"> – see Section </w:t>
      </w:r>
      <w:r w:rsidR="00D50933">
        <w:fldChar w:fldCharType="begin"/>
      </w:r>
      <w:r w:rsidR="00D50933">
        <w:instrText xml:space="preserve"> REF _Ref5188053 \r \h </w:instrText>
      </w:r>
      <w:r w:rsidR="00D50933">
        <w:fldChar w:fldCharType="separate"/>
      </w:r>
      <w:r w:rsidR="00B177F5">
        <w:t>3.2.4</w:t>
      </w:r>
      <w:r w:rsidR="00D50933">
        <w:fldChar w:fldCharType="end"/>
      </w:r>
      <w:r w:rsidRPr="00C81B2F">
        <w:t>) are present. Recharge is more likely to occur where the Carpentaria Basin cover is relatively thin or absent (</w:t>
      </w:r>
      <w:r w:rsidR="00CA5214">
        <w:fldChar w:fldCharType="begin"/>
      </w:r>
      <w:r w:rsidR="00CA5214">
        <w:instrText xml:space="preserve"> REF _Ref4066147 \h </w:instrText>
      </w:r>
      <w:r w:rsidR="00CA5214">
        <w:fldChar w:fldCharType="separate"/>
      </w:r>
      <w:r w:rsidR="00B177F5">
        <w:t xml:space="preserve">Figure </w:t>
      </w:r>
      <w:r w:rsidR="00B177F5">
        <w:rPr>
          <w:noProof/>
        </w:rPr>
        <w:t>10</w:t>
      </w:r>
      <w:r w:rsidR="00CA5214">
        <w:fldChar w:fldCharType="end"/>
      </w:r>
      <w:r w:rsidRPr="00C81B2F">
        <w:t>) and karstic features such as sinkholes are present</w:t>
      </w:r>
      <w:r w:rsidR="00CA5214">
        <w:t xml:space="preserve"> (</w:t>
      </w:r>
      <w:r w:rsidR="00CA5214">
        <w:fldChar w:fldCharType="begin"/>
      </w:r>
      <w:r w:rsidR="00CA5214">
        <w:instrText xml:space="preserve"> REF _Ref5201649 \h </w:instrText>
      </w:r>
      <w:r w:rsidR="00CA5214">
        <w:fldChar w:fldCharType="separate"/>
      </w:r>
      <w:r w:rsidR="00B177F5">
        <w:t xml:space="preserve">Figure </w:t>
      </w:r>
      <w:r w:rsidR="00B177F5">
        <w:rPr>
          <w:noProof/>
        </w:rPr>
        <w:t>9</w:t>
      </w:r>
      <w:r w:rsidR="00CA5214">
        <w:fldChar w:fldCharType="end"/>
      </w:r>
      <w:r w:rsidR="00CA5214">
        <w:t>)</w:t>
      </w:r>
      <w:r w:rsidR="008C2967">
        <w:t>.</w:t>
      </w:r>
      <w:r w:rsidRPr="00C81B2F">
        <w:t xml:space="preserve"> </w:t>
      </w:r>
      <w:r w:rsidR="00CA5214">
        <w:t>Th</w:t>
      </w:r>
      <w:r w:rsidR="00E84C4B">
        <w:t xml:space="preserve">ese </w:t>
      </w:r>
      <w:r w:rsidR="00CA5214">
        <w:t>aspects will be investigated further as part of Stage 3. Within the CLA itself, s</w:t>
      </w:r>
      <w:r w:rsidRPr="00C81B2F">
        <w:t xml:space="preserve">ignificant thicknesses </w:t>
      </w:r>
      <w:r w:rsidR="00EB601C">
        <w:t xml:space="preserve">of </w:t>
      </w:r>
      <w:r w:rsidR="00CA5214">
        <w:t xml:space="preserve">Anthony Lagoon </w:t>
      </w:r>
      <w:r w:rsidR="00D835D9">
        <w:t>F</w:t>
      </w:r>
      <w:r w:rsidR="00CA5214">
        <w:t>ormation and equivalents</w:t>
      </w:r>
      <w:r w:rsidRPr="00C81B2F">
        <w:t xml:space="preserve"> </w:t>
      </w:r>
      <w:r w:rsidR="00CA5214">
        <w:t xml:space="preserve">(the upper CLA, see </w:t>
      </w:r>
      <w:r w:rsidR="00E84C4B">
        <w:t xml:space="preserve">Section </w:t>
      </w:r>
      <w:r w:rsidR="00E84C4B">
        <w:fldChar w:fldCharType="begin"/>
      </w:r>
      <w:r w:rsidR="00E84C4B">
        <w:instrText xml:space="preserve"> REF _Ref5187386 \r \h </w:instrText>
      </w:r>
      <w:r w:rsidR="00E84C4B">
        <w:fldChar w:fldCharType="separate"/>
      </w:r>
      <w:r w:rsidR="00B177F5">
        <w:t>3.2.3.2</w:t>
      </w:r>
      <w:r w:rsidR="00E84C4B">
        <w:fldChar w:fldCharType="end"/>
      </w:r>
      <w:r w:rsidR="00D50933">
        <w:t>)</w:t>
      </w:r>
      <w:r w:rsidR="00E84C4B">
        <w:t xml:space="preserve"> </w:t>
      </w:r>
      <w:r w:rsidRPr="00C81B2F">
        <w:t xml:space="preserve">have the tendency to impede </w:t>
      </w:r>
      <w:r w:rsidR="00CA5214">
        <w:t xml:space="preserve">leakage or </w:t>
      </w:r>
      <w:r w:rsidRPr="00C81B2F">
        <w:t xml:space="preserve">recharge to limestone aquifers </w:t>
      </w:r>
      <w:r w:rsidR="00E84C4B">
        <w:t xml:space="preserve">that </w:t>
      </w:r>
      <w:r w:rsidR="00D50933">
        <w:t xml:space="preserve">occur in </w:t>
      </w:r>
      <w:r w:rsidR="00E84C4B">
        <w:t xml:space="preserve">the lower CLA sequences </w:t>
      </w:r>
      <w:r w:rsidRPr="00C81B2F">
        <w:t xml:space="preserve">(Gum Ridge </w:t>
      </w:r>
      <w:r w:rsidR="001061A6">
        <w:t xml:space="preserve">Formation </w:t>
      </w:r>
      <w:r w:rsidRPr="00C81B2F">
        <w:t xml:space="preserve">and </w:t>
      </w:r>
      <w:r w:rsidR="00E84C4B">
        <w:t>equivalents</w:t>
      </w:r>
      <w:r w:rsidRPr="00C81B2F">
        <w:t>).</w:t>
      </w:r>
    </w:p>
    <w:p w14:paraId="7A65D03B" w14:textId="4FE12199" w:rsidR="00C81B2F" w:rsidRPr="00C81B2F" w:rsidRDefault="00C81B2F" w:rsidP="00C81B2F">
      <w:r w:rsidRPr="00C81B2F">
        <w:t xml:space="preserve">For the Wiso and Georgina basins, recharge along </w:t>
      </w:r>
      <w:r w:rsidR="009854DD">
        <w:t>Daly Waters High</w:t>
      </w:r>
      <w:r w:rsidRPr="00C81B2F">
        <w:t xml:space="preserve"> and margins of limestone aquifer occur to the south of the Beetaloo GBA region. Episodic leakage from ephemeral Lake Woods can provide recharge to the underlying Montejinni Limestone in the Wiso Basin</w:t>
      </w:r>
      <w:r w:rsidR="001918C9">
        <w:t xml:space="preserve"> </w:t>
      </w:r>
      <w:r w:rsidR="009752A7">
        <w:fldChar w:fldCharType="begin"/>
      </w:r>
      <w:r w:rsidR="00F76E0D">
        <w:instrText xml:space="preserve"> ADDIN EN.CITE &lt;EndNote&gt;&lt;Cite&gt;&lt;Author&gt;de Caritat&lt;/Author&gt;&lt;Year&gt;2019&lt;/Year&gt;&lt;RecNum&gt;910&lt;/RecNum&gt;&lt;DisplayText&gt;(de Caritat et al., 2019)&lt;/DisplayText&gt;&lt;record&gt;&lt;rec-number&gt;910&lt;/rec-number&gt;&lt;foreign-keys&gt;&lt;key app="EN" db-id="wdf9tzzdhw2saee559kv0vezt0wfsta0zedv" timestamp="1555975788"&gt;910&lt;/key&gt;&lt;/foreign-keys&gt;&lt;ref-type name="Journal Article"&gt;17&lt;/ref-type&gt;&lt;contributors&gt;&lt;authors&gt;&lt;author&gt;de Caritat, P&lt;/author&gt;&lt;author&gt;Bastrakov, EN&lt;/author&gt;&lt;author&gt;Jaireth, S&lt;/author&gt;&lt;author&gt;English, PM&lt;/author&gt;&lt;author&gt;Clarke, JDA&lt;/author&gt;&lt;author&gt;Mernagh, TP&lt;/author&gt;&lt;author&gt;Wygralak, AS&lt;/author&gt;&lt;author&gt;Dulfer, HE&lt;/author&gt;&lt;author&gt;Trafford, J &lt;/author&gt;&lt;/authors&gt;&lt;/contributors&gt;&lt;titles&gt;&lt;title&gt;Groundwater geochemistry, hydrogeology and potash mineral potential of the Lake Woods region, Northern Territory, Australia&lt;/title&gt;&lt;secondary-title&gt;Australian Journal of Earth Sciences&lt;/secondary-title&gt;&lt;/titles&gt;&lt;periodical&gt;&lt;full-title&gt;Australian Journal of Earth Sciences&lt;/full-title&gt;&lt;/periodical&gt;&lt;pages&gt;1-20&lt;/pages&gt;&lt;dates&gt;&lt;year&gt;2019&lt;/year&gt;&lt;/dates&gt;&lt;urls&gt;&lt;/urls&gt;&lt;electronic-resource-num&gt;10.1080/08120099.2018.1543208&lt;/electronic-resource-num&gt;&lt;/record&gt;&lt;/Cite&gt;&lt;/EndNote&gt;</w:instrText>
      </w:r>
      <w:r w:rsidR="009752A7">
        <w:fldChar w:fldCharType="separate"/>
      </w:r>
      <w:r w:rsidR="009752A7">
        <w:rPr>
          <w:noProof/>
        </w:rPr>
        <w:t>(de Caritat et al., 2019)</w:t>
      </w:r>
      <w:r w:rsidR="009752A7">
        <w:fldChar w:fldCharType="end"/>
      </w:r>
      <w:r w:rsidRPr="009752A7">
        <w:t>.</w:t>
      </w:r>
      <w:r w:rsidRPr="00C81B2F">
        <w:t xml:space="preserve"> For development of a regional groundwater model </w:t>
      </w:r>
      <w:r w:rsidR="00A541ED">
        <w:fldChar w:fldCharType="begin"/>
      </w:r>
      <w:r w:rsidR="00F76E0D">
        <w:instrText xml:space="preserve"> ADDIN EN.CITE &lt;EndNote&gt;&lt;Cite AuthorYear="1"&gt;&lt;Author&gt;Knapton&lt;/Author&gt;&lt;Year&gt;2006&lt;/Year&gt;&lt;RecNum&gt;685&lt;/RecNum&gt;&lt;DisplayText&gt;Knapton (2006)&lt;/DisplayText&gt;&lt;record&gt;&lt;rec-number&gt;685&lt;/rec-number&gt;&lt;foreign-keys&gt;&lt;key app="EN" db-id="wdf9tzzdhw2saee559kv0vezt0wfsta0zedv" timestamp="1545264472"&gt;685&lt;/key&gt;&lt;key app="ENWeb" db-id=""&gt;0&lt;/key&gt;&lt;/foreign-keys&gt;&lt;ref-type name="Report"&gt;27&lt;/ref-type&gt;&lt;contributors&gt;&lt;authors&gt;&lt;author&gt;Knapton, Anthony&lt;/author&gt;&lt;/authors&gt;&lt;/contributors&gt;&lt;titles&gt;&lt;title&gt;Regional Groundwater Modelling of the Cambrian Limestone Aquifer System of the Wiso Basin, Georgina Basin and Daly Basin&lt;/title&gt;&lt;/titles&gt;&lt;pages&gt;60&lt;/pages&gt;&lt;number&gt;Technical Report No. 29/2006A&lt;/number&gt;&lt;keywords&gt;&lt;keyword&gt;Cambrian Limestone Aquifer&lt;/keyword&gt;&lt;keyword&gt;Wiso Basin&lt;/keyword&gt;&lt;keyword&gt;Georgina Basin&lt;/keyword&gt;&lt;keyword&gt;Daly Basin&lt;/keyword&gt;&lt;keyword&gt;Beetaloo Sub-basin&lt;/keyword&gt;&lt;keyword&gt;regional flow&lt;/keyword&gt;&lt;keyword&gt;regional groundwater systems&lt;/keyword&gt;&lt;keyword&gt;inter-basin groundwater flow&lt;/keyword&gt;&lt;keyword&gt;groundwater model&lt;/keyword&gt;&lt;/keywords&gt;&lt;dates&gt;&lt;year&gt;2006&lt;/year&gt;&lt;/dates&gt;&lt;pub-location&gt;Alice Springs&lt;/pub-location&gt;&lt;publisher&gt;Department of Natural Resources, Environment and the Arts (Northern Territory)&lt;/publisher&gt;&lt;isbn&gt;29/2006A&lt;/isbn&gt;&lt;urls&gt;&lt;related-urls&gt;&lt;url&gt;&lt;style face="underline" font="default" size="100%"&gt;http://www.territorystories.nt.gov.au/jspui/bitstream/10070/228069/1/WRA06029.pdf&lt;/style&gt;&lt;/url&gt;&lt;/related-urls&gt;&lt;/urls&gt;&lt;access-date&gt;28 November 2019&lt;/access-date&gt;&lt;/record&gt;&lt;/Cite&gt;&lt;/EndNote&gt;</w:instrText>
      </w:r>
      <w:r w:rsidR="00A541ED">
        <w:fldChar w:fldCharType="separate"/>
      </w:r>
      <w:r w:rsidR="00A541ED">
        <w:rPr>
          <w:noProof/>
        </w:rPr>
        <w:t>Knapton (2006)</w:t>
      </w:r>
      <w:r w:rsidR="00A541ED">
        <w:fldChar w:fldCharType="end"/>
      </w:r>
      <w:r w:rsidR="008B07DA">
        <w:t xml:space="preserve"> </w:t>
      </w:r>
      <w:r w:rsidRPr="00C81B2F">
        <w:t>inferred that recharge rates through the Cretaceous cover to the Montejinni Limestone were very low.</w:t>
      </w:r>
    </w:p>
    <w:p w14:paraId="2EF2507C" w14:textId="4904B0EC" w:rsidR="00C81B2F" w:rsidRPr="00C81B2F" w:rsidRDefault="00565344" w:rsidP="00C81B2F">
      <w:r>
        <w:t xml:space="preserve">For the Georgina Basin groundwater resourced estimate, recharge was presumed to occur </w:t>
      </w:r>
      <w:r w:rsidRPr="00C81B2F">
        <w:t xml:space="preserve">only where the Cretaceous cover was less than 25 m in thickness, and additionally, </w:t>
      </w:r>
      <w:r w:rsidR="001061A6">
        <w:t>f</w:t>
      </w:r>
      <w:r w:rsidRPr="00C81B2F">
        <w:t xml:space="preserve">or the Gum Ridge Formation, significant recharge </w:t>
      </w:r>
      <w:r>
        <w:t>was only considered possible where the</w:t>
      </w:r>
      <w:r w:rsidRPr="00C81B2F">
        <w:t xml:space="preserve"> overlying Anthony Lagoon Formation</w:t>
      </w:r>
      <w:r>
        <w:t xml:space="preserve"> was absent </w:t>
      </w:r>
      <w:r w:rsidR="00A541ED">
        <w:fldChar w:fldCharType="begin"/>
      </w:r>
      <w:r w:rsidR="00F76E0D">
        <w:instrText xml:space="preserve"> ADDIN EN.CITE &lt;EndNote&gt;&lt;Cite&gt;&lt;Author&gt;Tickell&lt;/Author&gt;&lt;Year&gt;2017&lt;/Year&gt;&lt;RecNum&gt;695&lt;/RecNum&gt;&lt;DisplayText&gt;(Tickell and Bruwer, 2017)&lt;/DisplayText&gt;&lt;record&gt;&lt;rec-number&gt;695&lt;/rec-number&gt;&lt;foreign-keys&gt;&lt;key app="EN" db-id="wdf9tzzdhw2saee559kv0vezt0wfsta0zedv" timestamp="1545264525"&gt;695&lt;/key&gt;&lt;key app="ENWeb" db-id=""&gt;0&lt;/key&gt;&lt;/foreign-keys&gt;&lt;ref-type name="Report"&gt;27&lt;/ref-type&gt;&lt;contributors&gt;&lt;authors&gt;&lt;author&gt;Tickell, Stephen. J.&lt;/author&gt;&lt;author&gt;Bruwer, Quentin&lt;/author&gt;&lt;/authors&gt;&lt;tertiary-authors&gt;&lt;author&gt;Northern Territory Department of Environment and Natural Resources&lt;/author&gt;&lt;/tertiary-authors&gt;&lt;subsidiary-authors&gt;&lt;author&gt;Water Resources Division&lt;/author&gt;&lt;/subsidiary-authors&gt;&lt;/contributors&gt;&lt;titles&gt;&lt;title&gt;Georgina Basin Groundwater Assessment: Daly Waters to Tennant Creek&lt;/title&gt;&lt;/titles&gt;&lt;pages&gt;108&lt;/pages&gt;&lt;number&gt;Technical Report 17/2017&lt;/number&gt;&lt;dates&gt;&lt;year&gt;2017&lt;/year&gt;&lt;/dates&gt;&lt;publisher&gt;Northern Territory Department of Environment and Natural Resources&lt;/publisher&gt;&lt;isbn&gt;Technical Report 17/2017&lt;/isbn&gt;&lt;urls&gt;&lt;related-urls&gt;&lt;url&gt;&lt;style face="underline" font="default" size="100%"&gt;http://www.territorystories.nt.gov.au/jspui/handle/10070/304921&lt;/style&gt;&lt;/url&gt;&lt;/related-urls&gt;&lt;/urls&gt;&lt;access-date&gt;20 April 2020&lt;/access-date&gt;&lt;/record&gt;&lt;/Cite&gt;&lt;/EndNote&gt;</w:instrText>
      </w:r>
      <w:r w:rsidR="00A541ED">
        <w:fldChar w:fldCharType="separate"/>
      </w:r>
      <w:r w:rsidR="007E7B35">
        <w:rPr>
          <w:noProof/>
        </w:rPr>
        <w:t>(Tickell and Bruwer, 2017)</w:t>
      </w:r>
      <w:r w:rsidR="00A541ED">
        <w:fldChar w:fldCharType="end"/>
      </w:r>
      <w:r w:rsidR="00C81B2F" w:rsidRPr="00C81B2F">
        <w:t xml:space="preserve">. </w:t>
      </w:r>
      <w:r>
        <w:t>R</w:t>
      </w:r>
      <w:r w:rsidRPr="00C81B2F">
        <w:t>echarge to the Gum Ridge Formation is likely to only occur through infrequent significant recharge events, separated by decades during which little or no recharge occurs</w:t>
      </w:r>
      <w:r w:rsidR="008C2967">
        <w:t xml:space="preserve"> </w:t>
      </w:r>
      <w:r w:rsidR="00A541ED">
        <w:fldChar w:fldCharType="begin"/>
      </w:r>
      <w:r w:rsidR="00F76E0D">
        <w:instrText xml:space="preserve"> ADDIN EN.CITE &lt;EndNote&gt;&lt;Cite&gt;&lt;Author&gt;Tickell&lt;/Author&gt;&lt;Year&gt;2017&lt;/Year&gt;&lt;RecNum&gt;695&lt;/RecNum&gt;&lt;DisplayText&gt;(Tickell and Bruwer, 2017)&lt;/DisplayText&gt;&lt;record&gt;&lt;rec-number&gt;695&lt;/rec-number&gt;&lt;foreign-keys&gt;&lt;key app="EN" db-id="wdf9tzzdhw2saee559kv0vezt0wfsta0zedv" timestamp="1545264525"&gt;695&lt;/key&gt;&lt;key app="ENWeb" db-id=""&gt;0&lt;/key&gt;&lt;/foreign-keys&gt;&lt;ref-type name="Report"&gt;27&lt;/ref-type&gt;&lt;contributors&gt;&lt;authors&gt;&lt;author&gt;Tickell, Stephen. J.&lt;/author&gt;&lt;author&gt;Bruwer, Quentin&lt;/author&gt;&lt;/authors&gt;&lt;tertiary-authors&gt;&lt;author&gt;Northern Territory Department of Environment and Natural Resources&lt;/author&gt;&lt;/tertiary-authors&gt;&lt;subsidiary-authors&gt;&lt;author&gt;Water Resources Division&lt;/author&gt;&lt;/subsidiary-authors&gt;&lt;/contributors&gt;&lt;titles&gt;&lt;title&gt;Georgina Basin Groundwater Assessment: Daly Waters to Tennant Creek&lt;/title&gt;&lt;/titles&gt;&lt;pages&gt;108&lt;/pages&gt;&lt;number&gt;Technical Report 17/2017&lt;/number&gt;&lt;dates&gt;&lt;year&gt;2017&lt;/year&gt;&lt;/dates&gt;&lt;publisher&gt;Northern Territory Department of Environment and Natural Resources&lt;/publisher&gt;&lt;isbn&gt;Technical Report 17/2017&lt;/isbn&gt;&lt;urls&gt;&lt;related-urls&gt;&lt;url&gt;&lt;style face="underline" font="default" size="100%"&gt;http://www.territorystories.nt.gov.au/jspui/handle/10070/304921&lt;/style&gt;&lt;/url&gt;&lt;/related-urls&gt;&lt;/urls&gt;&lt;access-date&gt;20 April 2020&lt;/access-date&gt;&lt;/record&gt;&lt;/Cite&gt;&lt;/EndNote&gt;</w:instrText>
      </w:r>
      <w:r w:rsidR="00A541ED">
        <w:fldChar w:fldCharType="separate"/>
      </w:r>
      <w:r w:rsidR="007E7B35">
        <w:rPr>
          <w:noProof/>
        </w:rPr>
        <w:t>(Tickell and Bruwer, 2017)</w:t>
      </w:r>
      <w:r w:rsidR="00A541ED">
        <w:fldChar w:fldCharType="end"/>
      </w:r>
      <w:r w:rsidR="00C81B2F" w:rsidRPr="00C81B2F">
        <w:t xml:space="preserve">. </w:t>
      </w:r>
      <w:r w:rsidR="00FE293A">
        <w:t>U</w:t>
      </w:r>
      <w:r w:rsidR="00C81B2F" w:rsidRPr="00C81B2F">
        <w:t xml:space="preserve">sing the chloride mass balance method of </w:t>
      </w:r>
      <w:r w:rsidR="00A541ED">
        <w:fldChar w:fldCharType="begin"/>
      </w:r>
      <w:r w:rsidR="00F76E0D">
        <w:instrText xml:space="preserve"> ADDIN EN.CITE &lt;EndNote&gt;&lt;Cite AuthorYear="1"&gt;&lt;Author&gt;Healy&lt;/Author&gt;&lt;Year&gt;2010&lt;/Year&gt;&lt;RecNum&gt;534&lt;/RecNum&gt;&lt;DisplayText&gt;Healy (2010)&lt;/DisplayText&gt;&lt;record&gt;&lt;rec-number&gt;534&lt;/rec-number&gt;&lt;foreign-keys&gt;&lt;key app="EN" db-id="wdf9tzzdhw2saee559kv0vezt0wfsta0zedv" timestamp="1544417645"&gt;534&lt;/key&gt;&lt;/foreign-keys&gt;&lt;ref-type name="Book"&gt;6&lt;/ref-type&gt;&lt;contributors&gt;&lt;authors&gt;&lt;author&gt;Healy, Richard W.&lt;/author&gt;&lt;/authors&gt;&lt;/contributors&gt;&lt;titles&gt;&lt;title&gt;Estimating Groundwater Recharge&lt;/title&gt;&lt;/titles&gt;&lt;dates&gt;&lt;year&gt;2010&lt;/year&gt;&lt;/dates&gt;&lt;pub-location&gt;Cambridge&lt;/pub-location&gt;&lt;publisher&gt;Cambridge University Press&lt;/publisher&gt;&lt;isbn&gt;9780521863964&lt;/isbn&gt;&lt;urls&gt;&lt;related-urls&gt;&lt;url&gt;https://www.cambridge.org/core/books/estimating-groundwater-recharge/F168E6618A5BAF50688FD09BB975979D&lt;/url&gt;&lt;/related-urls&gt;&lt;/urls&gt;&lt;electronic-resource-num&gt;DOI: 10.1017/CBO9780511780745&lt;/electronic-resource-num&gt;&lt;remote-database-name&gt;Cambridge Core&lt;/remote-database-name&gt;&lt;remote-database-provider&gt;Cambridge University Press&lt;/remote-database-provider&gt;&lt;/record&gt;&lt;/Cite&gt;&lt;/EndNote&gt;</w:instrText>
      </w:r>
      <w:r w:rsidR="00A541ED">
        <w:fldChar w:fldCharType="separate"/>
      </w:r>
      <w:r w:rsidR="00A541ED">
        <w:rPr>
          <w:noProof/>
        </w:rPr>
        <w:t>Healy (2010)</w:t>
      </w:r>
      <w:r w:rsidR="00A541ED">
        <w:fldChar w:fldCharType="end"/>
      </w:r>
      <w:r w:rsidR="00C81B2F" w:rsidRPr="00C81B2F">
        <w:t xml:space="preserve">, </w:t>
      </w:r>
      <w:r w:rsidR="00FE293A">
        <w:fldChar w:fldCharType="begin"/>
      </w:r>
      <w:r w:rsidR="00F76E0D">
        <w:instrText xml:space="preserve"> ADDIN EN.CITE &lt;EndNote&gt;&lt;Cite AuthorYear="1"&gt;&lt;Author&gt;Tickell&lt;/Author&gt;&lt;Year&gt;2017&lt;/Year&gt;&lt;RecNum&gt;695&lt;/RecNum&gt;&lt;DisplayText&gt;Tickell and Bruwer (2017)&lt;/DisplayText&gt;&lt;record&gt;&lt;rec-number&gt;695&lt;/rec-number&gt;&lt;foreign-keys&gt;&lt;key app="EN" db-id="wdf9tzzdhw2saee559kv0vezt0wfsta0zedv" timestamp="1545264525"&gt;695&lt;/key&gt;&lt;key app="ENWeb" db-id=""&gt;0&lt;/key&gt;&lt;/foreign-keys&gt;&lt;ref-type name="Report"&gt;27&lt;/ref-type&gt;&lt;contributors&gt;&lt;authors&gt;&lt;author&gt;Tickell, Stephen. J.&lt;/author&gt;&lt;author&gt;Bruwer, Quentin&lt;/author&gt;&lt;/authors&gt;&lt;tertiary-authors&gt;&lt;author&gt;Northern Territory Department of Environment and Natural Resources&lt;/author&gt;&lt;/tertiary-authors&gt;&lt;subsidiary-authors&gt;&lt;author&gt;Water Resources Division&lt;/author&gt;&lt;/subsidiary-authors&gt;&lt;/contributors&gt;&lt;titles&gt;&lt;title&gt;Georgina Basin Groundwater Assessment: Daly Waters to Tennant Creek&lt;/title&gt;&lt;/titles&gt;&lt;pages&gt;108&lt;/pages&gt;&lt;number&gt;Technical Report 17/2017&lt;/number&gt;&lt;dates&gt;&lt;year&gt;2017&lt;/year&gt;&lt;/dates&gt;&lt;publisher&gt;Northern Territory Department of Environment and Natural Resources&lt;/publisher&gt;&lt;isbn&gt;Technical Report 17/2017&lt;/isbn&gt;&lt;urls&gt;&lt;related-urls&gt;&lt;url&gt;&lt;style face="underline" font="default" size="100%"&gt;http://www.territorystories.nt.gov.au/jspui/handle/10070/304921&lt;/style&gt;&lt;/url&gt;&lt;/related-urls&gt;&lt;/urls&gt;&lt;access-date&gt;20 April 2020&lt;/access-date&gt;&lt;/record&gt;&lt;/Cite&gt;&lt;/EndNote&gt;</w:instrText>
      </w:r>
      <w:r w:rsidR="00FE293A">
        <w:fldChar w:fldCharType="separate"/>
      </w:r>
      <w:r w:rsidR="00FE293A">
        <w:rPr>
          <w:noProof/>
        </w:rPr>
        <w:t>Tickell and Bruwer (2017)</w:t>
      </w:r>
      <w:r w:rsidR="00FE293A">
        <w:fldChar w:fldCharType="end"/>
      </w:r>
      <w:r w:rsidR="00FE293A">
        <w:t xml:space="preserve"> estimated </w:t>
      </w:r>
      <w:r w:rsidR="00C81B2F" w:rsidRPr="00C81B2F">
        <w:t>average recharge rates for the Gum Ridge Formation</w:t>
      </w:r>
      <w:r w:rsidR="00FE293A">
        <w:t xml:space="preserve"> of</w:t>
      </w:r>
      <w:r w:rsidR="00C81B2F" w:rsidRPr="00C81B2F">
        <w:t xml:space="preserve"> 1.9 mm/y</w:t>
      </w:r>
      <w:r w:rsidR="001061A6">
        <w:t>ea</w:t>
      </w:r>
      <w:r w:rsidR="00C81B2F" w:rsidRPr="00C81B2F">
        <w:t xml:space="preserve">r </w:t>
      </w:r>
      <w:r w:rsidR="00FE293A">
        <w:t xml:space="preserve">at </w:t>
      </w:r>
      <w:r w:rsidR="00C81B2F" w:rsidRPr="00C81B2F">
        <w:t>Dunmarra</w:t>
      </w:r>
      <w:r w:rsidR="00FE293A">
        <w:t>,</w:t>
      </w:r>
      <w:r w:rsidR="00C81B2F" w:rsidRPr="00C81B2F">
        <w:t xml:space="preserve"> and 1.9</w:t>
      </w:r>
      <w:r w:rsidR="001061A6">
        <w:t xml:space="preserve"> to </w:t>
      </w:r>
      <w:r w:rsidR="00C81B2F" w:rsidRPr="00C81B2F">
        <w:t>8 mm/y</w:t>
      </w:r>
      <w:r w:rsidR="001061A6">
        <w:t>ea</w:t>
      </w:r>
      <w:r w:rsidR="00C81B2F" w:rsidRPr="00C81B2F">
        <w:t xml:space="preserve">r </w:t>
      </w:r>
      <w:r w:rsidR="00FE293A">
        <w:t xml:space="preserve">at </w:t>
      </w:r>
      <w:r w:rsidR="00C81B2F" w:rsidRPr="00C81B2F">
        <w:t xml:space="preserve">Elliott. By the same methodology, recharge to the </w:t>
      </w:r>
      <w:r w:rsidR="00FE293A">
        <w:t xml:space="preserve">overlying </w:t>
      </w:r>
      <w:r w:rsidR="00C81B2F" w:rsidRPr="00C81B2F">
        <w:t>Anthony Lagoon Formation at Dunmarra was 2 mm/y</w:t>
      </w:r>
      <w:r w:rsidR="00225452">
        <w:t>ea</w:t>
      </w:r>
      <w:r w:rsidR="00C81B2F" w:rsidRPr="00C81B2F">
        <w:t xml:space="preserve">r </w:t>
      </w:r>
      <w:r w:rsidR="00A541ED">
        <w:fldChar w:fldCharType="begin"/>
      </w:r>
      <w:r w:rsidR="00F76E0D">
        <w:instrText xml:space="preserve"> ADDIN EN.CITE &lt;EndNote&gt;&lt;Cite&gt;&lt;Author&gt;Tickell&lt;/Author&gt;&lt;Year&gt;2017&lt;/Year&gt;&lt;RecNum&gt;695&lt;/RecNum&gt;&lt;DisplayText&gt;(Tickell and Bruwer, 2017)&lt;/DisplayText&gt;&lt;record&gt;&lt;rec-number&gt;695&lt;/rec-number&gt;&lt;foreign-keys&gt;&lt;key app="EN" db-id="wdf9tzzdhw2saee559kv0vezt0wfsta0zedv" timestamp="1545264525"&gt;695&lt;/key&gt;&lt;key app="ENWeb" db-id=""&gt;0&lt;/key&gt;&lt;/foreign-keys&gt;&lt;ref-type name="Report"&gt;27&lt;/ref-type&gt;&lt;contributors&gt;&lt;authors&gt;&lt;author&gt;Tickell, Stephen. J.&lt;/author&gt;&lt;author&gt;Bruwer, Quentin&lt;/author&gt;&lt;/authors&gt;&lt;tertiary-authors&gt;&lt;author&gt;Northern Territory Department of Environment and Natural Resources&lt;/author&gt;&lt;/tertiary-authors&gt;&lt;subsidiary-authors&gt;&lt;author&gt;Water Resources Division&lt;/author&gt;&lt;/subsidiary-authors&gt;&lt;/contributors&gt;&lt;titles&gt;&lt;title&gt;Georgina Basin Groundwater Assessment: Daly Waters to Tennant Creek&lt;/title&gt;&lt;/titles&gt;&lt;pages&gt;108&lt;/pages&gt;&lt;number&gt;Technical Report 17/2017&lt;/number&gt;&lt;dates&gt;&lt;year&gt;2017&lt;/year&gt;&lt;/dates&gt;&lt;publisher&gt;Northern Territory Department of Environment and Natural Resources&lt;/publisher&gt;&lt;isbn&gt;Technical Report 17/2017&lt;/isbn&gt;&lt;urls&gt;&lt;related-urls&gt;&lt;url&gt;&lt;style face="underline" font="default" size="100%"&gt;http://www.territorystories.nt.gov.au/jspui/handle/10070/304921&lt;/style&gt;&lt;/url&gt;&lt;/related-urls&gt;&lt;/urls&gt;&lt;access-date&gt;20 April 2020&lt;/access-date&gt;&lt;/record&gt;&lt;/Cite&gt;&lt;/EndNote&gt;</w:instrText>
      </w:r>
      <w:r w:rsidR="00A541ED">
        <w:fldChar w:fldCharType="separate"/>
      </w:r>
      <w:r w:rsidR="007E7B35">
        <w:rPr>
          <w:noProof/>
        </w:rPr>
        <w:t>(Tickell and Bruwer, 2017)</w:t>
      </w:r>
      <w:r w:rsidR="00A541ED">
        <w:fldChar w:fldCharType="end"/>
      </w:r>
      <w:r w:rsidR="00272A27">
        <w:t>.</w:t>
      </w:r>
    </w:p>
    <w:p w14:paraId="21067200" w14:textId="766F49DF" w:rsidR="00C81B2F" w:rsidRPr="00C81B2F" w:rsidRDefault="00C81B2F" w:rsidP="00C81B2F">
      <w:r w:rsidRPr="00C81B2F">
        <w:t xml:space="preserve">Recharge to the Tindall Limestone and other aquifers in the Daly Basin varies considerably and is dependent on a number of factors including occurrence and thickness of overlying Jinduckin Formation, Cretaceous </w:t>
      </w:r>
      <w:r w:rsidR="00D00F33">
        <w:t>sedimentary rocks</w:t>
      </w:r>
      <w:r w:rsidR="00D00F33" w:rsidRPr="00C81B2F">
        <w:t xml:space="preserve"> </w:t>
      </w:r>
      <w:r w:rsidRPr="00C81B2F">
        <w:t>and climate. The Jinduckin Formation occurs to the north of Beetaloo GBA region (</w:t>
      </w:r>
      <w:r w:rsidRPr="00C81B2F">
        <w:fldChar w:fldCharType="begin"/>
      </w:r>
      <w:r w:rsidRPr="00C81B2F">
        <w:instrText xml:space="preserve"> REF _Ref1116992 \h </w:instrText>
      </w:r>
      <w:r w:rsidRPr="00C81B2F">
        <w:fldChar w:fldCharType="separate"/>
      </w:r>
      <w:r w:rsidR="00B177F5">
        <w:t xml:space="preserve">Figure </w:t>
      </w:r>
      <w:r w:rsidR="00B177F5">
        <w:rPr>
          <w:noProof/>
        </w:rPr>
        <w:t>8</w:t>
      </w:r>
      <w:r w:rsidRPr="00C81B2F">
        <w:fldChar w:fldCharType="end"/>
      </w:r>
      <w:r w:rsidRPr="00C81B2F">
        <w:t xml:space="preserve">). Where the Tindall Limestone aquifer </w:t>
      </w:r>
      <w:r w:rsidR="0069116E">
        <w:t>is</w:t>
      </w:r>
      <w:r w:rsidR="0069116E" w:rsidRPr="00C81B2F">
        <w:t xml:space="preserve"> </w:t>
      </w:r>
      <w:r w:rsidRPr="00C81B2F">
        <w:t xml:space="preserve">not confined by Jinduckin Formation, </w:t>
      </w:r>
      <w:r w:rsidR="00A541ED">
        <w:fldChar w:fldCharType="begin"/>
      </w:r>
      <w:r w:rsidR="00F76E0D">
        <w:instrText xml:space="preserve"> ADDIN EN.CITE &lt;EndNote&gt;&lt;Cite AuthorYear="1"&gt;&lt;Author&gt;Knapton&lt;/Author&gt;&lt;Year&gt;2006&lt;/Year&gt;&lt;RecNum&gt;685&lt;/RecNum&gt;&lt;DisplayText&gt;Knapton (2006)&lt;/DisplayText&gt;&lt;record&gt;&lt;rec-number&gt;685&lt;/rec-number&gt;&lt;foreign-keys&gt;&lt;key app="EN" db-id="wdf9tzzdhw2saee559kv0vezt0wfsta0zedv" timestamp="1545264472"&gt;685&lt;/key&gt;&lt;key app="ENWeb" db-id=""&gt;0&lt;/key&gt;&lt;/foreign-keys&gt;&lt;ref-type name="Report"&gt;27&lt;/ref-type&gt;&lt;contributors&gt;&lt;authors&gt;&lt;author&gt;Knapton, Anthony&lt;/author&gt;&lt;/authors&gt;&lt;/contributors&gt;&lt;titles&gt;&lt;title&gt;Regional Groundwater Modelling of the Cambrian Limestone Aquifer System of the Wiso Basin, Georgina Basin and Daly Basin&lt;/title&gt;&lt;/titles&gt;&lt;pages&gt;60&lt;/pages&gt;&lt;number&gt;Technical Report No. 29/2006A&lt;/number&gt;&lt;keywords&gt;&lt;keyword&gt;Cambrian Limestone Aquifer&lt;/keyword&gt;&lt;keyword&gt;Wiso Basin&lt;/keyword&gt;&lt;keyword&gt;Georgina Basin&lt;/keyword&gt;&lt;keyword&gt;Daly Basin&lt;/keyword&gt;&lt;keyword&gt;Beetaloo Sub-basin&lt;/keyword&gt;&lt;keyword&gt;regional flow&lt;/keyword&gt;&lt;keyword&gt;regional groundwater systems&lt;/keyword&gt;&lt;keyword&gt;inter-basin groundwater flow&lt;/keyword&gt;&lt;keyword&gt;groundwater model&lt;/keyword&gt;&lt;/keywords&gt;&lt;dates&gt;&lt;year&gt;2006&lt;/year&gt;&lt;/dates&gt;&lt;pub-location&gt;Alice Springs&lt;/pub-location&gt;&lt;publisher&gt;Department of Natural Resources, Environment and the Arts (Northern Territory)&lt;/publisher&gt;&lt;isbn&gt;29/2006A&lt;/isbn&gt;&lt;urls&gt;&lt;related-urls&gt;&lt;url&gt;&lt;style face="underline" font="default" size="100%"&gt;http://www.territorystories.nt.gov.au/jspui/bitstream/10070/228069/1/WRA06029.pdf&lt;/style&gt;&lt;/url&gt;&lt;/related-urls&gt;&lt;/urls&gt;&lt;access-date&gt;28 November 2019&lt;/access-date&gt;&lt;/record&gt;&lt;/Cite&gt;&lt;/EndNote&gt;</w:instrText>
      </w:r>
      <w:r w:rsidR="00A541ED">
        <w:fldChar w:fldCharType="separate"/>
      </w:r>
      <w:r w:rsidR="00A541ED">
        <w:rPr>
          <w:noProof/>
        </w:rPr>
        <w:t>Knapton (2006)</w:t>
      </w:r>
      <w:r w:rsidR="00A541ED">
        <w:fldChar w:fldCharType="end"/>
      </w:r>
      <w:r w:rsidRPr="00C81B2F">
        <w:t xml:space="preserve"> estimated recharge </w:t>
      </w:r>
      <w:r w:rsidR="001061A6">
        <w:t>ranges</w:t>
      </w:r>
      <w:r w:rsidRPr="00C81B2F">
        <w:t xml:space="preserve"> from 0.002-</w:t>
      </w:r>
      <w:r w:rsidR="001061A6">
        <w:t xml:space="preserve"> to </w:t>
      </w:r>
      <w:r w:rsidRPr="00C81B2F">
        <w:t>0.2 mm/day. An initial rate of diffuse recharge of 150 mm/y</w:t>
      </w:r>
      <w:r w:rsidR="00225452">
        <w:t>ea</w:t>
      </w:r>
      <w:r w:rsidRPr="00C81B2F">
        <w:t>r was used for exposed CLA and 40 mm/y</w:t>
      </w:r>
      <w:r w:rsidR="00225452">
        <w:t>ea</w:t>
      </w:r>
      <w:r w:rsidRPr="00C81B2F">
        <w:t xml:space="preserve">r for the Cretaceous cover </w:t>
      </w:r>
      <w:r w:rsidR="00FE293A">
        <w:t xml:space="preserve">by </w:t>
      </w:r>
      <w:r w:rsidR="00A541ED">
        <w:fldChar w:fldCharType="begin"/>
      </w:r>
      <w:r w:rsidR="00F76E0D">
        <w:instrText xml:space="preserve"> ADDIN EN.CITE &lt;EndNote&gt;&lt;Cite AuthorYear="1"&gt;&lt;Author&gt;Knapton&lt;/Author&gt;&lt;Year&gt;2006&lt;/Year&gt;&lt;RecNum&gt;685&lt;/RecNum&gt;&lt;DisplayText&gt;Knapton (2006)&lt;/DisplayText&gt;&lt;record&gt;&lt;rec-number&gt;685&lt;/rec-number&gt;&lt;foreign-keys&gt;&lt;key app="EN" db-id="wdf9tzzdhw2saee559kv0vezt0wfsta0zedv" timestamp="1545264472"&gt;685&lt;/key&gt;&lt;key app="ENWeb" db-id=""&gt;0&lt;/key&gt;&lt;/foreign-keys&gt;&lt;ref-type name="Report"&gt;27&lt;/ref-type&gt;&lt;contributors&gt;&lt;authors&gt;&lt;author&gt;Knapton, Anthony&lt;/author&gt;&lt;/authors&gt;&lt;/contributors&gt;&lt;titles&gt;&lt;title&gt;Regional Groundwater Modelling of the Cambrian Limestone Aquifer System of the Wiso Basin, Georgina Basin and Daly Basin&lt;/title&gt;&lt;/titles&gt;&lt;pages&gt;60&lt;/pages&gt;&lt;number&gt;Technical Report No. 29/2006A&lt;/number&gt;&lt;keywords&gt;&lt;keyword&gt;Cambrian Limestone Aquifer&lt;/keyword&gt;&lt;keyword&gt;Wiso Basin&lt;/keyword&gt;&lt;keyword&gt;Georgina Basin&lt;/keyword&gt;&lt;keyword&gt;Daly Basin&lt;/keyword&gt;&lt;keyword&gt;Beetaloo Sub-basin&lt;/keyword&gt;&lt;keyword&gt;regional flow&lt;/keyword&gt;&lt;keyword&gt;regional groundwater systems&lt;/keyword&gt;&lt;keyword&gt;inter-basin groundwater flow&lt;/keyword&gt;&lt;keyword&gt;groundwater model&lt;/keyword&gt;&lt;/keywords&gt;&lt;dates&gt;&lt;year&gt;2006&lt;/year&gt;&lt;/dates&gt;&lt;pub-location&gt;Alice Springs&lt;/pub-location&gt;&lt;publisher&gt;Department of Natural Resources, Environment and the Arts (Northern Territory)&lt;/publisher&gt;&lt;isbn&gt;29/2006A&lt;/isbn&gt;&lt;urls&gt;&lt;related-urls&gt;&lt;url&gt;&lt;style face="underline" font="default" size="100%"&gt;http://www.territorystories.nt.gov.au/jspui/bitstream/10070/228069/1/WRA06029.pdf&lt;/style&gt;&lt;/url&gt;&lt;/related-urls&gt;&lt;/urls&gt;&lt;access-date&gt;28 November 2019&lt;/access-date&gt;&lt;/record&gt;&lt;/Cite&gt;&lt;/EndNote&gt;</w:instrText>
      </w:r>
      <w:r w:rsidR="00A541ED">
        <w:fldChar w:fldCharType="separate"/>
      </w:r>
      <w:r w:rsidR="00FE293A">
        <w:rPr>
          <w:noProof/>
        </w:rPr>
        <w:t>Knapton (2006)</w:t>
      </w:r>
      <w:r w:rsidR="00A541ED">
        <w:fldChar w:fldCharType="end"/>
      </w:r>
      <w:r w:rsidRPr="00C81B2F">
        <w:t>.</w:t>
      </w:r>
    </w:p>
    <w:p w14:paraId="0F503262" w14:textId="27762475" w:rsidR="00C81B2F" w:rsidRPr="00C81B2F" w:rsidRDefault="00C81B2F" w:rsidP="00DE4537">
      <w:pPr>
        <w:pStyle w:val="BodyText"/>
      </w:pPr>
      <w:r w:rsidRPr="00C81B2F">
        <w:t xml:space="preserve">Macropore and indirect recharge through sinkholes are dominant recharge processes </w:t>
      </w:r>
      <w:r w:rsidR="001061A6">
        <w:t xml:space="preserve">that </w:t>
      </w:r>
      <w:r w:rsidRPr="00C81B2F">
        <w:t xml:space="preserve">account for about 70% of total recharge </w:t>
      </w:r>
      <w:r w:rsidR="00A541ED">
        <w:fldChar w:fldCharType="begin"/>
      </w:r>
      <w:r w:rsidR="00F76E0D">
        <w:instrText xml:space="preserve"> ADDIN EN.CITE &lt;EndNote&gt;&lt;Cite&gt;&lt;Author&gt;Wilson&lt;/Author&gt;&lt;Year&gt;2006&lt;/Year&gt;&lt;RecNum&gt;745&lt;/RecNum&gt;&lt;DisplayText&gt;(Wilson et al., 2006)&lt;/DisplayText&gt;&lt;record&gt;&lt;rec-number&gt;745&lt;/rec-number&gt;&lt;foreign-keys&gt;&lt;key app="EN" db-id="wdf9tzzdhw2saee559kv0vezt0wfsta0zedv" timestamp="1550544850"&gt;745&lt;/key&gt;&lt;key app="ENWeb" db-id=""&gt;0&lt;/key&gt;&lt;/foreign-keys&gt;&lt;ref-type name="Report"&gt;27&lt;/ref-type&gt;&lt;contributors&gt;&lt;authors&gt;&lt;author&gt;Wilson, David&lt;/author&gt;&lt;author&gt;Cook, Peter&lt;/author&gt;&lt;author&gt;Hutley, Lindsay&lt;/author&gt;&lt;author&gt;Tickell, Steven&lt;/author&gt;&lt;author&gt;Jolly, Peter&lt;/author&gt;&lt;/authors&gt;&lt;tertiary-authors&gt;&lt;author&gt;Department of Natural Resources the Environment and the Arts (NT)&lt;/author&gt;&lt;/tertiary-authors&gt;&lt;/contributors&gt;&lt;titles&gt;&lt;title&gt;Effect of land use on evapotranspiration and charge in the Daly River catchment&lt;/title&gt;&lt;/titles&gt;&lt;number&gt;Report WRD17/2006D&lt;/number&gt;&lt;dates&gt;&lt;year&gt;2006&lt;/year&gt;&lt;pub-dates&gt;&lt;date&gt;May 2006&lt;/date&gt;&lt;/pub-dates&gt;&lt;/dates&gt;&lt;publisher&gt;Department of Natural Resources the Environment and the Arts (NT)&lt;/publisher&gt;&lt;isbn&gt;Technical Report No. 17/2006D&lt;/isbn&gt;&lt;urls&gt;&lt;related-urls&gt;&lt;url&gt;&lt;style face="underline" font="default" size="100%"&gt;http://www.territorystories.nt.gov.au/jspui/bitstream/10070/251081/1/Effect%20of%20Land%20Use%20on%20Evapotranspiration%20and%20Recharge%20in%20the%20Daly%20River%20Catchment%20-%20WRD06017.pdf&lt;/style&gt;&lt;/url&gt;&lt;/related-urls&gt;&lt;/urls&gt;&lt;access-date&gt;28 November 2019&lt;/access-date&gt;&lt;/record&gt;&lt;/Cite&gt;&lt;/EndNote&gt;</w:instrText>
      </w:r>
      <w:r w:rsidR="00A541ED">
        <w:fldChar w:fldCharType="separate"/>
      </w:r>
      <w:r w:rsidR="00A541ED">
        <w:rPr>
          <w:noProof/>
        </w:rPr>
        <w:t>(Wilson et al., 2006)</w:t>
      </w:r>
      <w:r w:rsidR="00A541ED">
        <w:fldChar w:fldCharType="end"/>
      </w:r>
      <w:r w:rsidRPr="00C81B2F">
        <w:t xml:space="preserve"> in the Daly Basin region of the CLA. Here, the Cretaceous cover is thinner, </w:t>
      </w:r>
      <w:r w:rsidR="00834B7C">
        <w:t xml:space="preserve">generally </w:t>
      </w:r>
      <w:r w:rsidRPr="00C81B2F">
        <w:t>less than 30 m (</w:t>
      </w:r>
      <w:r w:rsidR="008E0319">
        <w:rPr>
          <w:color w:val="FF0000"/>
        </w:rPr>
        <w:fldChar w:fldCharType="begin"/>
      </w:r>
      <w:r w:rsidR="008E0319">
        <w:instrText xml:space="preserve"> REF _Ref4066147 \h </w:instrText>
      </w:r>
      <w:r w:rsidR="008E0319">
        <w:rPr>
          <w:color w:val="FF0000"/>
        </w:rPr>
      </w:r>
      <w:r w:rsidR="008E0319">
        <w:rPr>
          <w:color w:val="FF0000"/>
        </w:rPr>
        <w:fldChar w:fldCharType="separate"/>
      </w:r>
      <w:r w:rsidR="00B177F5">
        <w:t xml:space="preserve">Figure </w:t>
      </w:r>
      <w:r w:rsidR="00B177F5">
        <w:rPr>
          <w:noProof/>
        </w:rPr>
        <w:t>10</w:t>
      </w:r>
      <w:r w:rsidR="008E0319">
        <w:rPr>
          <w:color w:val="FF0000"/>
        </w:rPr>
        <w:fldChar w:fldCharType="end"/>
      </w:r>
      <w:r w:rsidR="00834B7C">
        <w:t>)</w:t>
      </w:r>
      <w:r w:rsidRPr="00C81B2F">
        <w:t xml:space="preserve">. </w:t>
      </w:r>
    </w:p>
    <w:p w14:paraId="12A99EEA" w14:textId="34D29A34" w:rsidR="00C81B2F" w:rsidRPr="006D3233" w:rsidRDefault="00C81B2F" w:rsidP="00DE4537">
      <w:pPr>
        <w:pStyle w:val="BodyText"/>
      </w:pPr>
      <w:r w:rsidRPr="00C81B2F">
        <w:t xml:space="preserve">The Sturt Plateau </w:t>
      </w:r>
      <w:r w:rsidR="00834B7C">
        <w:t xml:space="preserve">(see Figure 4 in </w:t>
      </w:r>
      <w:r w:rsidR="00834B7C">
        <w:fldChar w:fldCharType="begin"/>
      </w:r>
      <w:r w:rsidR="00F76E0D">
        <w:instrText xml:space="preserve"> ADDIN EN.CITE &lt;EndNote&gt;&lt;Cite AuthorYear="1"&gt;&lt;Author&gt;Frery&lt;/Author&gt;&lt;Year&gt;2020&lt;/Year&gt;&lt;RecNum&gt;1351&lt;/RecNum&gt;&lt;DisplayText&gt;Huddlestone-Holmes et al. (2020)&lt;/DisplayText&gt;&lt;record&gt;&lt;rec-number&gt;1351&lt;/rec-number&gt;&lt;foreign-keys&gt;&lt;key app="EN" db-id="wdf9tzzdhw2saee559kv0vezt0wfsta0zedv" timestamp="1571623756"&gt;1351&lt;/key&gt;&lt;/foreign-keys&gt;&lt;ref-type name="Report"&gt;27&lt;/ref-type&gt;&lt;contributors&gt;&lt;authors&gt;&lt;author&gt;Huddlestone-Holmes, C.R.,&lt;/author&gt;&lt;author&gt;Frery, E.,&lt;/author&gt;&lt;author&gt;Wilkes, P.,&lt;/author&gt;&lt;author&gt;Bailey, A.H.E.,&lt;/author&gt;&lt;author&gt;Bernadel, G.,&lt;/author&gt;&lt;author&gt;Brandon, C.,&lt;/author&gt;&lt;author&gt;Buchanan, S.,&lt;/author&gt;&lt;author&gt;Cook, S.B.,&lt;/author&gt;&lt;author&gt;Crosbie, R.S.,&lt;/author&gt;&lt;author&gt;Evans, T.,&lt;/author&gt;&lt;author&gt;Golding, L.,&lt;/author&gt;&lt;author&gt;Gonzalez, D.,&lt;/author&gt;&lt;author&gt;Gunning, M.E.,&lt;/author&gt;&lt;author&gt;Hall, L.S.,&lt;/author&gt;&lt;author&gt;Henderson, B.,&lt;/author&gt;&lt;author&gt;Herr, A.,&lt;/author&gt;&lt;author&gt;Holland, K.L.,&lt;/author&gt;&lt;author&gt;Jarrett, A.,&lt;/author&gt;&lt;author&gt;Kear, J.,&lt;/author&gt;&lt;author&gt;Kirby, J.,&lt;/author&gt;&lt;author&gt;Lech, M.E.,&lt;/author&gt;&lt;author&gt;Lewis, S.,&lt;/author&gt;&lt;author&gt;Macfarlane, C.,&lt;/author&gt;&lt;author&gt;Martinez, J.,&lt;/author&gt;&lt;author&gt;Murray, J.,&lt;/author&gt;&lt;author&gt;Northover, S.,&lt;/author&gt;&lt;author&gt;O&amp;apos;Grady, A.,&lt;/author&gt;&lt;author&gt;Orr, M.L.,&lt;/author&gt;&lt;author&gt;Owens, R.,&lt;/author&gt;&lt;author&gt;Pavey, C.,&lt;/author&gt;&lt;author&gt;Post, D.,&lt;/author&gt;&lt;author&gt;Sundaram, B.,&lt;/author&gt;&lt;author&gt;Rachakonda, P.,&lt;/author&gt;&lt;author&gt;Raiber, M.,&lt;/author&gt;&lt;author&gt;Ransley, T.R.,&lt;/author&gt;&lt;author&gt;Tetreault-Campbell, S.,&lt;/author&gt;&lt;author&gt;Wang, L.,&lt;/author&gt;&lt;/authors&gt;&lt;/contributors&gt;&lt;titles&gt;&lt;title&gt;Geological and environmental baseline assessment for the Beetaloo GBA region. Geological and Bioregional Assessment Program: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834B7C">
        <w:fldChar w:fldCharType="separate"/>
      </w:r>
      <w:r w:rsidR="00F76E0D">
        <w:rPr>
          <w:noProof/>
        </w:rPr>
        <w:t>Huddlestone-Holmes et al. (2020)</w:t>
      </w:r>
      <w:r w:rsidR="00834B7C">
        <w:fldChar w:fldCharType="end"/>
      </w:r>
      <w:r w:rsidR="00834B7C">
        <w:t xml:space="preserve"> for location) </w:t>
      </w:r>
      <w:r w:rsidRPr="00C81B2F">
        <w:t xml:space="preserve">is a </w:t>
      </w:r>
      <w:r w:rsidR="00834B7C">
        <w:t xml:space="preserve">upland plateau </w:t>
      </w:r>
      <w:r w:rsidRPr="00C81B2F">
        <w:t xml:space="preserve">that </w:t>
      </w:r>
      <w:r w:rsidR="001D0CC4">
        <w:t xml:space="preserve">formed across </w:t>
      </w:r>
      <w:r w:rsidRPr="00C81B2F">
        <w:t>much of the Beetaloo GBA region</w:t>
      </w:r>
      <w:r w:rsidR="00001C61">
        <w:t>.</w:t>
      </w:r>
      <w:r w:rsidRPr="00001C61">
        <w:t xml:space="preserve"> </w:t>
      </w:r>
      <w:r w:rsidRPr="00C81B2F">
        <w:t xml:space="preserve">Mean annual recharge across the Sturt Plateau physiographic region </w:t>
      </w:r>
      <w:r w:rsidR="001D0CC4">
        <w:t xml:space="preserve">to the CLA </w:t>
      </w:r>
      <w:r w:rsidRPr="00C81B2F">
        <w:t>is estimated at between 6 to 18 mm/y</w:t>
      </w:r>
      <w:r w:rsidR="001061A6">
        <w:t>ea</w:t>
      </w:r>
      <w:r w:rsidRPr="00C81B2F">
        <w:t>r, based on a groundwater chloride mass balance, and represents around 1</w:t>
      </w:r>
      <w:r w:rsidR="001061A6">
        <w:t xml:space="preserve">% to </w:t>
      </w:r>
      <w:r w:rsidRPr="00C81B2F">
        <w:t xml:space="preserve">3% of annual rainfall. Point estimates of recharge using hydrograph analysis in the central Sturt Plateau yielded a recharge </w:t>
      </w:r>
      <w:r w:rsidRPr="006D3233">
        <w:t>rate of 9 mm/y</w:t>
      </w:r>
      <w:r w:rsidR="001061A6">
        <w:t>ea</w:t>
      </w:r>
      <w:r w:rsidRPr="006D3233">
        <w:t xml:space="preserve">r. Recharge rates in the southern region are largely unknown where recharge is limited by </w:t>
      </w:r>
      <w:r w:rsidR="001D0CC4">
        <w:t xml:space="preserve">overlying </w:t>
      </w:r>
      <w:r w:rsidRPr="006D3233">
        <w:t>Cretaceous clays</w:t>
      </w:r>
      <w:r w:rsidR="001D0CC4">
        <w:t xml:space="preserve"> of the </w:t>
      </w:r>
      <w:r w:rsidR="002E6955">
        <w:t>Carpentaria</w:t>
      </w:r>
      <w:r w:rsidR="001D0CC4">
        <w:t xml:space="preserve"> Basin</w:t>
      </w:r>
      <w:r w:rsidRPr="006D3233">
        <w:t xml:space="preserve"> </w:t>
      </w:r>
      <w:r w:rsidR="00A541ED">
        <w:fldChar w:fldCharType="begin"/>
      </w:r>
      <w:r w:rsidR="00F76E0D">
        <w:instrText xml:space="preserve"> ADDIN EN.CITE &lt;EndNote&gt;&lt;Cite&gt;&lt;Author&gt;Yin Foo&lt;/Author&gt;&lt;Year&gt;2000&lt;/Year&gt;&lt;RecNum&gt;983&lt;/RecNum&gt;&lt;DisplayText&gt;(Yin Foo and Matthews, 2000)&lt;/DisplayText&gt;&lt;record&gt;&lt;rec-number&gt;983&lt;/rec-number&gt;&lt;foreign-keys&gt;&lt;key app="EN" db-id="wdf9tzzdhw2saee559kv0vezt0wfsta0zedv" timestamp="1557991359"&gt;983&lt;/key&gt;&lt;/foreign-keys&gt;&lt;ref-type name="Report"&gt;27&lt;/ref-type&gt;&lt;contributors&gt;&lt;authors&gt;&lt;author&gt;Yin Foo, D.&lt;/author&gt;&lt;author&gt;Matthews, I.&lt;/author&gt;&lt;/authors&gt;&lt;/contributors&gt;&lt;titles&gt;&lt;title&gt;Water Resources Assessment of the Sturt Plateau Technical Data Report. Natural Resources Division, Department of Lands Planning and Environment, Darwin. Report No: 31/2000D&lt;/title&gt;&lt;/titles&gt;&lt;dates&gt;&lt;year&gt;2000&lt;/year&gt;&lt;/dates&gt;&lt;urls&gt;&lt;/urls&gt;&lt;/record&gt;&lt;/Cite&gt;&lt;/EndNote&gt;</w:instrText>
      </w:r>
      <w:r w:rsidR="00A541ED">
        <w:fldChar w:fldCharType="separate"/>
      </w:r>
      <w:r w:rsidR="00A541ED">
        <w:rPr>
          <w:noProof/>
        </w:rPr>
        <w:t>(Yin Foo and Matthews, 2000)</w:t>
      </w:r>
      <w:r w:rsidR="00A541ED">
        <w:fldChar w:fldCharType="end"/>
      </w:r>
      <w:r w:rsidRPr="006D3233">
        <w:t xml:space="preserve">. </w:t>
      </w:r>
      <w:r w:rsidR="00DE4537" w:rsidRPr="00C81B2F">
        <w:t xml:space="preserve">The region is variably covered by sinkhole fields on the </w:t>
      </w:r>
      <w:r w:rsidR="001D0CC4" w:rsidRPr="00C81B2F">
        <w:t>L</w:t>
      </w:r>
      <w:r w:rsidR="001D0CC4">
        <w:t xml:space="preserve">ARRIMAH </w:t>
      </w:r>
      <w:r w:rsidR="00DE4537" w:rsidRPr="00C81B2F">
        <w:t xml:space="preserve">1:250 000 </w:t>
      </w:r>
      <w:r w:rsidR="003A1DF0">
        <w:t>geological</w:t>
      </w:r>
      <w:r w:rsidR="008E0319">
        <w:t xml:space="preserve"> map s</w:t>
      </w:r>
      <w:r w:rsidR="00DE4537" w:rsidRPr="00C81B2F">
        <w:t>heet</w:t>
      </w:r>
      <w:r w:rsidR="00DE4537">
        <w:t xml:space="preserve"> (</w:t>
      </w:r>
      <w:r w:rsidR="008E0319">
        <w:fldChar w:fldCharType="begin"/>
      </w:r>
      <w:r w:rsidR="008E0319">
        <w:instrText xml:space="preserve"> REF _Ref5201649 \h </w:instrText>
      </w:r>
      <w:r w:rsidR="008E0319">
        <w:fldChar w:fldCharType="separate"/>
      </w:r>
      <w:r w:rsidR="00B177F5">
        <w:t xml:space="preserve">Figure </w:t>
      </w:r>
      <w:r w:rsidR="00B177F5">
        <w:rPr>
          <w:noProof/>
        </w:rPr>
        <w:t>9</w:t>
      </w:r>
      <w:r w:rsidR="008E0319">
        <w:fldChar w:fldCharType="end"/>
      </w:r>
      <w:r w:rsidR="00DE4537">
        <w:t>)</w:t>
      </w:r>
      <w:r w:rsidR="001061A6">
        <w:t>,</w:t>
      </w:r>
      <w:r w:rsidR="00DE4537">
        <w:t xml:space="preserve"> </w:t>
      </w:r>
      <w:r w:rsidR="00DE4537" w:rsidRPr="00C81B2F">
        <w:t xml:space="preserve">especially over the central Sturt Plateau and concentrated in a band running east-west from Middle Creek to the Dry River </w:t>
      </w:r>
      <w:r w:rsidR="00A541ED">
        <w:fldChar w:fldCharType="begin"/>
      </w:r>
      <w:r w:rsidR="00F76E0D">
        <w:instrText xml:space="preserve"> ADDIN EN.CITE &lt;EndNote&gt;&lt;Cite&gt;&lt;Author&gt;Yin Foo&lt;/Author&gt;&lt;Year&gt;2000&lt;/Year&gt;&lt;RecNum&gt;983&lt;/RecNum&gt;&lt;DisplayText&gt;(Yin Foo and Matthews, 2000)&lt;/DisplayText&gt;&lt;record&gt;&lt;rec-number&gt;983&lt;/rec-number&gt;&lt;foreign-keys&gt;&lt;key app="EN" db-id="wdf9tzzdhw2saee559kv0vezt0wfsta0zedv" timestamp="1557991359"&gt;983&lt;/key&gt;&lt;/foreign-keys&gt;&lt;ref-type name="Report"&gt;27&lt;/ref-type&gt;&lt;contributors&gt;&lt;authors&gt;&lt;author&gt;Yin Foo, D.&lt;/author&gt;&lt;author&gt;Matthews, I.&lt;/author&gt;&lt;/authors&gt;&lt;/contributors&gt;&lt;titles&gt;&lt;title&gt;Water Resources Assessment of the Sturt Plateau Technical Data Report. Natural Resources Division, Department of Lands Planning and Environment, Darwin. Report No: 31/2000D&lt;/title&gt;&lt;/titles&gt;&lt;dates&gt;&lt;year&gt;2000&lt;/year&gt;&lt;/dates&gt;&lt;urls&gt;&lt;/urls&gt;&lt;/record&gt;&lt;/Cite&gt;&lt;/EndNote&gt;</w:instrText>
      </w:r>
      <w:r w:rsidR="00A541ED">
        <w:fldChar w:fldCharType="separate"/>
      </w:r>
      <w:r w:rsidR="00A541ED">
        <w:rPr>
          <w:noProof/>
        </w:rPr>
        <w:t>(Yin Foo and Matthews, 2000)</w:t>
      </w:r>
      <w:r w:rsidR="00A541ED">
        <w:fldChar w:fldCharType="end"/>
      </w:r>
      <w:r w:rsidR="00DE4537" w:rsidRPr="00C81B2F">
        <w:t xml:space="preserve">. </w:t>
      </w:r>
      <w:r w:rsidR="00E75C2E">
        <w:t xml:space="preserve">One of </w:t>
      </w:r>
      <w:r w:rsidR="00DE4537">
        <w:t xml:space="preserve">the largest </w:t>
      </w:r>
      <w:r w:rsidR="00E75C2E">
        <w:t xml:space="preserve">known </w:t>
      </w:r>
      <w:r w:rsidR="00DE4537">
        <w:t>sinkhole</w:t>
      </w:r>
      <w:r w:rsidR="00E75C2E">
        <w:t>s</w:t>
      </w:r>
      <w:r w:rsidR="00DE4537">
        <w:t xml:space="preserve"> </w:t>
      </w:r>
      <w:r w:rsidR="008E0319">
        <w:t xml:space="preserve">on the Sturt Plateau </w:t>
      </w:r>
      <w:r w:rsidR="00CA5214">
        <w:t xml:space="preserve">(Chowung waterhole) </w:t>
      </w:r>
      <w:r w:rsidR="00DE4537">
        <w:t xml:space="preserve">is </w:t>
      </w:r>
      <w:r w:rsidR="00CA5214">
        <w:t xml:space="preserve">about </w:t>
      </w:r>
      <w:r w:rsidR="00DE4537">
        <w:t>800</w:t>
      </w:r>
      <w:r w:rsidR="001061A6">
        <w:t xml:space="preserve"> </w:t>
      </w:r>
      <w:r w:rsidR="00DE4537">
        <w:t xml:space="preserve">m </w:t>
      </w:r>
      <w:r w:rsidR="00CA5214">
        <w:t>in length</w:t>
      </w:r>
      <w:r w:rsidR="00DE4537">
        <w:t>.</w:t>
      </w:r>
    </w:p>
    <w:p w14:paraId="042562B0" w14:textId="5A3EB5F0" w:rsidR="7D79F492" w:rsidRDefault="00090B0B" w:rsidP="7D79F492">
      <w:r w:rsidRPr="006D3233">
        <w:t xml:space="preserve">From an initial investigation using environmental tracers, </w:t>
      </w:r>
      <w:r w:rsidR="00A541ED">
        <w:fldChar w:fldCharType="begin"/>
      </w:r>
      <w:r w:rsidR="00F76E0D">
        <w:instrText xml:space="preserve"> ADDIN EN.CITE &lt;EndNote&gt;&lt;Cite AuthorYear="1"&gt;&lt;Author&gt;Suckow&lt;/Author&gt;&lt;Year&gt;2018&lt;/Year&gt;&lt;RecNum&gt;893&lt;/RecNum&gt;&lt;DisplayText&gt;Suckow et al. (2018)&lt;/DisplayText&gt;&lt;record&gt;&lt;rec-number&gt;893&lt;/rec-number&gt;&lt;foreign-keys&gt;&lt;key app="EN" db-id="wdf9tzzdhw2saee559kv0vezt0wfsta0zedv" timestamp="1554077722"&gt;893&lt;/key&gt;&lt;/foreign-keys&gt;&lt;ref-type name="Report"&gt;27&lt;/ref-type&gt;&lt;contributors&gt;&lt;authors&gt;&lt;author&gt;Suckow, Axel&lt;/author&gt;&lt;author&gt;Deslandes, Alec&lt;/author&gt;&lt;author&gt;Gerber, Christoph&lt;/author&gt;&lt;author&gt;Lamontagne, Sebastien&lt;/author&gt;&lt;/authors&gt;&lt;/contributors&gt;&lt;titles&gt;&lt;title&gt;Environmental tracers in the Beetaloo Sub-basin&lt;/title&gt;&lt;/titles&gt;&lt;pages&gt;50&lt;/pages&gt;&lt;number&gt;EP186868&lt;/number&gt;&lt;dates&gt;&lt;year&gt;2018&lt;/year&gt;&lt;/dates&gt;&lt;pub-location&gt;Australia&lt;/pub-location&gt;&lt;publisher&gt;CSIRO Land and Water&lt;/publisher&gt;&lt;urls&gt;&lt;/urls&gt;&lt;/record&gt;&lt;/Cite&gt;&lt;/EndNote&gt;</w:instrText>
      </w:r>
      <w:r w:rsidR="00A541ED">
        <w:fldChar w:fldCharType="separate"/>
      </w:r>
      <w:r w:rsidR="00A541ED">
        <w:rPr>
          <w:noProof/>
        </w:rPr>
        <w:t>Suckow et al. (2018)</w:t>
      </w:r>
      <w:r w:rsidR="00A541ED">
        <w:fldChar w:fldCharType="end"/>
      </w:r>
      <w:r w:rsidR="00DF5130" w:rsidRPr="006D3233">
        <w:t xml:space="preserve"> </w:t>
      </w:r>
      <w:r w:rsidR="0034196E" w:rsidRPr="006D3233">
        <w:t>identified</w:t>
      </w:r>
      <w:r w:rsidR="00230C9E" w:rsidRPr="006D3233">
        <w:t xml:space="preserve"> </w:t>
      </w:r>
      <w:r w:rsidR="009E751F" w:rsidRPr="006D3233">
        <w:t>patterns</w:t>
      </w:r>
      <w:r w:rsidR="00AD4CD4" w:rsidRPr="006D3233">
        <w:t xml:space="preserve"> </w:t>
      </w:r>
      <w:r w:rsidR="0034196E" w:rsidRPr="006D3233">
        <w:t>in</w:t>
      </w:r>
      <w:r w:rsidR="001C21DB" w:rsidRPr="006D3233">
        <w:t xml:space="preserve"> noble gas tracers </w:t>
      </w:r>
      <w:r w:rsidR="00230C9E" w:rsidRPr="006D3233">
        <w:t xml:space="preserve">(e.g. </w:t>
      </w:r>
      <w:r w:rsidR="00CA5214">
        <w:t xml:space="preserve">He, </w:t>
      </w:r>
      <w:r w:rsidR="00230C9E" w:rsidRPr="006D3233">
        <w:t xml:space="preserve">Ne, Ar, Kr, Xe) </w:t>
      </w:r>
      <w:r w:rsidR="003469E9" w:rsidRPr="006D3233">
        <w:t xml:space="preserve">which </w:t>
      </w:r>
      <w:r w:rsidR="001C21DB" w:rsidRPr="006D3233">
        <w:t xml:space="preserve">suggest that </w:t>
      </w:r>
      <w:r w:rsidR="006D5A53" w:rsidRPr="006D3233">
        <w:t xml:space="preserve">infiltration and </w:t>
      </w:r>
      <w:r w:rsidR="001C21DB" w:rsidRPr="006D3233">
        <w:t xml:space="preserve">recharge </w:t>
      </w:r>
      <w:r w:rsidR="009E751F" w:rsidRPr="006D3233">
        <w:t xml:space="preserve">to </w:t>
      </w:r>
      <w:r w:rsidR="00112630" w:rsidRPr="006D3233">
        <w:t xml:space="preserve">the karstic </w:t>
      </w:r>
      <w:r w:rsidR="001D0CC4">
        <w:t>CLA</w:t>
      </w:r>
      <w:r w:rsidR="00AD4CD4" w:rsidRPr="006D3233">
        <w:t xml:space="preserve"> </w:t>
      </w:r>
      <w:r w:rsidR="007D64B7" w:rsidRPr="006D3233">
        <w:t>are</w:t>
      </w:r>
      <w:r w:rsidR="00AD3FA7" w:rsidRPr="006D3233">
        <w:t xml:space="preserve"> dynamic and rapid</w:t>
      </w:r>
      <w:r w:rsidR="000C456D" w:rsidRPr="006D3233">
        <w:t>.</w:t>
      </w:r>
      <w:r w:rsidR="001A4238" w:rsidRPr="006D3233">
        <w:t xml:space="preserve"> </w:t>
      </w:r>
      <w:r w:rsidR="006053C4" w:rsidRPr="006D3233">
        <w:t>Suckow also noted that karstic nature of recharge pathways may be complicating results</w:t>
      </w:r>
      <w:r w:rsidR="001D0CC4">
        <w:t xml:space="preserve"> from</w:t>
      </w:r>
      <w:r w:rsidR="006053C4" w:rsidRPr="006D3233">
        <w:t xml:space="preserve"> other tracers (</w:t>
      </w:r>
      <w:r w:rsidR="006053C4" w:rsidRPr="00AB5240">
        <w:rPr>
          <w:rStyle w:val="Superscript"/>
        </w:rPr>
        <w:t>3</w:t>
      </w:r>
      <w:r w:rsidR="006053C4" w:rsidRPr="006D3233">
        <w:t xml:space="preserve">H, SF6 and </w:t>
      </w:r>
      <w:r w:rsidR="00991779">
        <w:t xml:space="preserve">bromo-trifluoromethane </w:t>
      </w:r>
      <w:r w:rsidR="00980C19">
        <w:t>(</w:t>
      </w:r>
      <w:r w:rsidR="006053C4" w:rsidRPr="006D3233">
        <w:t>H1301</w:t>
      </w:r>
      <w:r w:rsidR="00980C19">
        <w:t>)</w:t>
      </w:r>
      <w:r w:rsidR="006053C4" w:rsidRPr="006D3233">
        <w:t xml:space="preserve">). </w:t>
      </w:r>
      <w:r w:rsidR="001A4238" w:rsidRPr="006D3233">
        <w:t>Th</w:t>
      </w:r>
      <w:r w:rsidR="006053C4" w:rsidRPr="006D3233">
        <w:t>ese results</w:t>
      </w:r>
      <w:r w:rsidR="001A4238" w:rsidRPr="006D3233">
        <w:t xml:space="preserve"> ha</w:t>
      </w:r>
      <w:r w:rsidR="006053C4" w:rsidRPr="006D3233">
        <w:t>ve</w:t>
      </w:r>
      <w:r w:rsidR="001A4238" w:rsidRPr="006D3233">
        <w:t xml:space="preserve"> implications </w:t>
      </w:r>
      <w:r w:rsidR="00230C9E" w:rsidRPr="006D3233">
        <w:t xml:space="preserve">for </w:t>
      </w:r>
      <w:r w:rsidR="001D0CC4">
        <w:t xml:space="preserve">the </w:t>
      </w:r>
      <w:r w:rsidR="006752F9" w:rsidRPr="006D3233">
        <w:t xml:space="preserve">degree </w:t>
      </w:r>
      <w:r w:rsidR="001061A6">
        <w:t>to</w:t>
      </w:r>
      <w:r w:rsidR="001D0CC4">
        <w:t xml:space="preserve"> which</w:t>
      </w:r>
      <w:r w:rsidR="006752F9" w:rsidRPr="006D3233">
        <w:t xml:space="preserve"> </w:t>
      </w:r>
      <w:r w:rsidR="00230C9E" w:rsidRPr="006D3233">
        <w:t>surface activities</w:t>
      </w:r>
      <w:r w:rsidR="00230C9E">
        <w:t xml:space="preserve"> such as spills or leaks</w:t>
      </w:r>
      <w:r w:rsidR="001D0CC4">
        <w:t>,</w:t>
      </w:r>
      <w:r w:rsidR="00230C9E">
        <w:t xml:space="preserve"> </w:t>
      </w:r>
      <w:r w:rsidR="006053C4">
        <w:t>could</w:t>
      </w:r>
      <w:r w:rsidR="006752F9">
        <w:t xml:space="preserve"> impact water quality in</w:t>
      </w:r>
      <w:r w:rsidR="00230C9E">
        <w:t xml:space="preserve"> underlying Cambrian limestone aquifers. Identifying the occurrence of near</w:t>
      </w:r>
      <w:r w:rsidR="00C30378">
        <w:t>-</w:t>
      </w:r>
      <w:r w:rsidR="00230C9E">
        <w:t xml:space="preserve">surface karstic features, would assist in understanding recharge pathways and </w:t>
      </w:r>
      <w:r w:rsidR="006053C4">
        <w:t xml:space="preserve">in </w:t>
      </w:r>
      <w:r w:rsidR="00230C9E">
        <w:t xml:space="preserve">determining </w:t>
      </w:r>
      <w:r w:rsidR="006053C4">
        <w:t>the degree of risk</w:t>
      </w:r>
      <w:r w:rsidR="00230C9E">
        <w:t xml:space="preserve"> from near</w:t>
      </w:r>
      <w:r w:rsidR="00C30378">
        <w:t>-</w:t>
      </w:r>
      <w:r w:rsidR="00230C9E">
        <w:t xml:space="preserve">surface </w:t>
      </w:r>
      <w:r w:rsidR="006752F9">
        <w:t>activities</w:t>
      </w:r>
      <w:r w:rsidR="006053C4">
        <w:t xml:space="preserve"> to limestone aquifers. </w:t>
      </w:r>
      <w:r w:rsidR="001D0CC4">
        <w:t xml:space="preserve">For example, </w:t>
      </w:r>
      <w:r w:rsidR="002E6955">
        <w:t>if</w:t>
      </w:r>
      <w:r w:rsidR="006053C4">
        <w:t xml:space="preserve"> karstic </w:t>
      </w:r>
      <w:r w:rsidR="00CA5214">
        <w:t>features</w:t>
      </w:r>
      <w:r w:rsidR="006053C4">
        <w:t xml:space="preserve"> are near surface</w:t>
      </w:r>
      <w:r w:rsidR="00CA5214">
        <w:t xml:space="preserve"> in areas of operation</w:t>
      </w:r>
      <w:r w:rsidR="006053C4">
        <w:t xml:space="preserve"> then </w:t>
      </w:r>
      <w:r w:rsidR="00154180">
        <w:t>r</w:t>
      </w:r>
      <w:r w:rsidR="00BB74C5">
        <w:t>isks could be higher. Conversely, risk potentially decrease</w:t>
      </w:r>
      <w:r w:rsidR="00CA5214">
        <w:t>s</w:t>
      </w:r>
      <w:r w:rsidR="00BB74C5">
        <w:t xml:space="preserve"> </w:t>
      </w:r>
      <w:r w:rsidR="00154180">
        <w:t>if thick sequences of fine</w:t>
      </w:r>
      <w:r w:rsidR="00C756C2">
        <w:t>-</w:t>
      </w:r>
      <w:r w:rsidR="00154180">
        <w:t xml:space="preserve">grained </w:t>
      </w:r>
      <w:r w:rsidR="00147749">
        <w:t>Carpentaria</w:t>
      </w:r>
      <w:r w:rsidR="00154180">
        <w:t xml:space="preserve"> Basin </w:t>
      </w:r>
      <w:r w:rsidR="00CA5214">
        <w:t xml:space="preserve">sedimentary rocks </w:t>
      </w:r>
      <w:r w:rsidR="00154180">
        <w:t>are present</w:t>
      </w:r>
      <w:r w:rsidR="00CA5214">
        <w:t>,</w:t>
      </w:r>
      <w:r w:rsidR="00BB74C5">
        <w:t xml:space="preserve"> due to their tendency to impede recharge.</w:t>
      </w:r>
      <w:r w:rsidR="00CA5214">
        <w:t xml:space="preserve"> Further work will be undertaken as part of Stage 3 to improve understanding of recharge path</w:t>
      </w:r>
      <w:r w:rsidR="00C93D33">
        <w:t xml:space="preserve">ways and other related aspects </w:t>
      </w:r>
      <w:r w:rsidR="001061A6">
        <w:t>(</w:t>
      </w:r>
      <w:r w:rsidR="00C93D33">
        <w:t>s</w:t>
      </w:r>
      <w:r w:rsidR="00CA5214">
        <w:t xml:space="preserve">ee Section </w:t>
      </w:r>
      <w:r w:rsidR="00CA5214">
        <w:fldChar w:fldCharType="begin"/>
      </w:r>
      <w:r w:rsidR="00CA5214">
        <w:instrText xml:space="preserve"> REF _Ref22027093 \r \h </w:instrText>
      </w:r>
      <w:r w:rsidR="00CA5214">
        <w:fldChar w:fldCharType="separate"/>
      </w:r>
      <w:r w:rsidR="00B177F5">
        <w:t>5.4</w:t>
      </w:r>
      <w:r w:rsidR="00CA5214">
        <w:fldChar w:fldCharType="end"/>
      </w:r>
      <w:r w:rsidR="001061A6">
        <w:t>)</w:t>
      </w:r>
      <w:r w:rsidR="00CA5214">
        <w:t>.</w:t>
      </w:r>
      <w:r w:rsidR="00A47209">
        <w:t xml:space="preserve"> </w:t>
      </w:r>
    </w:p>
    <w:p w14:paraId="557E878E" w14:textId="324A01E9" w:rsidR="00C81B2F" w:rsidRPr="00C81B2F" w:rsidRDefault="00C81B2F" w:rsidP="00C81B2F">
      <w:pPr>
        <w:pStyle w:val="Heading6"/>
      </w:pPr>
      <w:r w:rsidRPr="00C81B2F">
        <w:t>Discharge</w:t>
      </w:r>
      <w:r w:rsidR="00AD5627">
        <w:t xml:space="preserve"> and outflow</w:t>
      </w:r>
    </w:p>
    <w:p w14:paraId="4CE0A507" w14:textId="2E52BA40" w:rsidR="00D00F33" w:rsidRDefault="00B37D13" w:rsidP="00C00F6D">
      <w:r>
        <w:t>For the CLA, the d</w:t>
      </w:r>
      <w:r w:rsidR="00C81B2F" w:rsidRPr="00C81B2F">
        <w:t xml:space="preserve">epth to </w:t>
      </w:r>
      <w:r w:rsidR="001D0CC4">
        <w:t>regional watertable</w:t>
      </w:r>
      <w:r w:rsidR="00C81B2F" w:rsidRPr="00C81B2F">
        <w:t xml:space="preserve"> (</w:t>
      </w:r>
      <w:r w:rsidR="00AD5627">
        <w:fldChar w:fldCharType="begin"/>
      </w:r>
      <w:r w:rsidR="00AD5627">
        <w:instrText xml:space="preserve"> REF _Ref3985270 \h </w:instrText>
      </w:r>
      <w:r w:rsidR="00AD5627">
        <w:fldChar w:fldCharType="separate"/>
      </w:r>
      <w:r w:rsidR="00B177F5">
        <w:t xml:space="preserve">Figure </w:t>
      </w:r>
      <w:r w:rsidR="00B177F5">
        <w:rPr>
          <w:noProof/>
        </w:rPr>
        <w:t>18</w:t>
      </w:r>
      <w:r w:rsidR="00AD5627">
        <w:fldChar w:fldCharType="end"/>
      </w:r>
      <w:r w:rsidR="00AD5627" w:rsidRPr="00C81B2F">
        <w:t>)</w:t>
      </w:r>
      <w:r>
        <w:t xml:space="preserve"> precludes </w:t>
      </w:r>
      <w:r w:rsidR="00C81B2F" w:rsidRPr="00C81B2F">
        <w:t xml:space="preserve">discharge </w:t>
      </w:r>
      <w:r w:rsidR="00AD5627">
        <w:t xml:space="preserve">to surface </w:t>
      </w:r>
      <w:r>
        <w:t xml:space="preserve">via </w:t>
      </w:r>
      <w:r w:rsidR="00AD5627">
        <w:t xml:space="preserve">features </w:t>
      </w:r>
      <w:r>
        <w:t xml:space="preserve">in </w:t>
      </w:r>
      <w:r w:rsidR="00C81B2F" w:rsidRPr="00C81B2F">
        <w:t>the Beetaloo GBA region (</w:t>
      </w:r>
      <w:r w:rsidR="00C81B2F" w:rsidRPr="00C81B2F">
        <w:fldChar w:fldCharType="begin"/>
      </w:r>
      <w:r w:rsidR="00C81B2F" w:rsidRPr="00C81B2F">
        <w:instrText xml:space="preserve"> REF _Ref1137606 \h </w:instrText>
      </w:r>
      <w:r w:rsidR="00C81B2F" w:rsidRPr="00C81B2F">
        <w:fldChar w:fldCharType="separate"/>
      </w:r>
      <w:r w:rsidR="00B177F5">
        <w:t xml:space="preserve">Figure </w:t>
      </w:r>
      <w:r w:rsidR="00B177F5">
        <w:rPr>
          <w:noProof/>
        </w:rPr>
        <w:t>16</w:t>
      </w:r>
      <w:r w:rsidR="00C81B2F" w:rsidRPr="00C81B2F">
        <w:fldChar w:fldCharType="end"/>
      </w:r>
      <w:r w:rsidR="00C81B2F" w:rsidRPr="00C81B2F">
        <w:t xml:space="preserve">). </w:t>
      </w:r>
      <w:r w:rsidR="001D0CC4">
        <w:t>For the Beetaloo GBA region, d</w:t>
      </w:r>
      <w:r w:rsidR="00884320">
        <w:t xml:space="preserve">ischarge </w:t>
      </w:r>
      <w:r w:rsidR="001D0CC4">
        <w:t xml:space="preserve">from the CLA </w:t>
      </w:r>
      <w:r w:rsidR="00D00F33">
        <w:t>can</w:t>
      </w:r>
      <w:r w:rsidR="00884320">
        <w:t xml:space="preserve"> take the form of throughflow out </w:t>
      </w:r>
      <w:r w:rsidR="001D0CC4">
        <w:t xml:space="preserve">of </w:t>
      </w:r>
      <w:r w:rsidR="00884320">
        <w:t>the region</w:t>
      </w:r>
      <w:r w:rsidR="00D00F33">
        <w:t>,</w:t>
      </w:r>
      <w:r w:rsidR="00884320">
        <w:t xml:space="preserve"> pumping from bores</w:t>
      </w:r>
      <w:r w:rsidR="00D00F33">
        <w:t xml:space="preserve"> or leakage to underlying aquifers</w:t>
      </w:r>
      <w:r w:rsidR="00884320">
        <w:t>.</w:t>
      </w:r>
      <w:r w:rsidR="00D00F33">
        <w:t xml:space="preserve"> Leakage to other aquifers in the Beetaloo GBA region </w:t>
      </w:r>
      <w:r w:rsidR="001D0CC4">
        <w:t>could occur</w:t>
      </w:r>
      <w:r w:rsidR="00D00F33">
        <w:t xml:space="preserve">, particularly where the Antrim Plateau Volcanics is fractured or missing (see </w:t>
      </w:r>
      <w:r w:rsidR="00D00F33">
        <w:fldChar w:fldCharType="begin"/>
      </w:r>
      <w:r w:rsidR="00D00F33">
        <w:instrText xml:space="preserve"> REF _Ref795947 \h </w:instrText>
      </w:r>
      <w:r w:rsidR="00D00F33">
        <w:fldChar w:fldCharType="separate"/>
      </w:r>
      <w:r w:rsidR="00B177F5">
        <w:t xml:space="preserve">Figure </w:t>
      </w:r>
      <w:r w:rsidR="00B177F5">
        <w:rPr>
          <w:noProof/>
        </w:rPr>
        <w:t>6</w:t>
      </w:r>
      <w:r w:rsidR="00D00F33">
        <w:fldChar w:fldCharType="end"/>
      </w:r>
      <w:r w:rsidR="00D00F33">
        <w:t xml:space="preserve">) or where inliers of other older rocks (e.g. </w:t>
      </w:r>
      <w:r w:rsidR="00F25454">
        <w:t>Buk</w:t>
      </w:r>
      <w:r w:rsidR="00D00F33">
        <w:t>alara Sandstone) are abutted against saturated portions of the CLA (</w:t>
      </w:r>
      <w:r w:rsidR="00D00F33">
        <w:fldChar w:fldCharType="begin"/>
      </w:r>
      <w:r w:rsidR="00D00F33">
        <w:instrText xml:space="preserve"> REF _Ref1116992 \h </w:instrText>
      </w:r>
      <w:r w:rsidR="00D00F33">
        <w:fldChar w:fldCharType="separate"/>
      </w:r>
      <w:r w:rsidR="00B177F5">
        <w:t xml:space="preserve">Figure </w:t>
      </w:r>
      <w:r w:rsidR="00B177F5">
        <w:rPr>
          <w:noProof/>
        </w:rPr>
        <w:t>8</w:t>
      </w:r>
      <w:r w:rsidR="00D00F33">
        <w:fldChar w:fldCharType="end"/>
      </w:r>
      <w:r w:rsidR="00D00F33">
        <w:t xml:space="preserve">). </w:t>
      </w:r>
    </w:p>
    <w:p w14:paraId="7C94EBFE" w14:textId="16E38C29" w:rsidR="00D00F33" w:rsidRDefault="00B37D13" w:rsidP="003E1F1E">
      <w:r>
        <w:t>Major discharge zones for CLA occur to the north of the Beetaloo GBA region around Flora River and Mataranka Thermal Pools</w:t>
      </w:r>
      <w:r w:rsidR="00D00F33">
        <w:t xml:space="preserve"> (</w:t>
      </w:r>
      <w:r w:rsidR="00CA5214">
        <w:fldChar w:fldCharType="begin"/>
      </w:r>
      <w:r w:rsidR="00CA5214">
        <w:instrText xml:space="preserve"> REF _Ref1137606 \h </w:instrText>
      </w:r>
      <w:r w:rsidR="00CA5214">
        <w:fldChar w:fldCharType="separate"/>
      </w:r>
      <w:r w:rsidR="00B177F5">
        <w:t xml:space="preserve">Figure </w:t>
      </w:r>
      <w:r w:rsidR="00B177F5">
        <w:rPr>
          <w:noProof/>
        </w:rPr>
        <w:t>16</w:t>
      </w:r>
      <w:r w:rsidR="00CA5214">
        <w:fldChar w:fldCharType="end"/>
      </w:r>
      <w:r w:rsidR="00CA5214">
        <w:t>)</w:t>
      </w:r>
      <w:r>
        <w:t>.</w:t>
      </w:r>
      <w:r w:rsidR="00AD5627">
        <w:t xml:space="preserve"> </w:t>
      </w:r>
      <w:r w:rsidR="00C81B2F" w:rsidRPr="00C81B2F">
        <w:t xml:space="preserve">Further detail on the springs and </w:t>
      </w:r>
      <w:r w:rsidR="00C30378">
        <w:t>surface water – groundwater</w:t>
      </w:r>
      <w:r w:rsidR="00C81B2F" w:rsidRPr="00C81B2F">
        <w:t xml:space="preserve"> interactions are outlined in Section</w:t>
      </w:r>
      <w:r w:rsidR="001061A6">
        <w:t xml:space="preserve"> </w:t>
      </w:r>
      <w:r w:rsidR="001061A6">
        <w:fldChar w:fldCharType="begin"/>
      </w:r>
      <w:r w:rsidR="001061A6">
        <w:instrText xml:space="preserve"> REF _Ref5787288 \r \h </w:instrText>
      </w:r>
      <w:r w:rsidR="001061A6">
        <w:fldChar w:fldCharType="separate"/>
      </w:r>
      <w:r w:rsidR="00B177F5">
        <w:t>3.4.3</w:t>
      </w:r>
      <w:r w:rsidR="001061A6">
        <w:fldChar w:fldCharType="end"/>
      </w:r>
      <w:r w:rsidR="00C81B2F" w:rsidRPr="00C81B2F">
        <w:t xml:space="preserve">. </w:t>
      </w:r>
      <w:r w:rsidR="00AD5627">
        <w:t>Outside the GBA region d</w:t>
      </w:r>
      <w:r w:rsidR="00E91EB5">
        <w:t xml:space="preserve">ischarge </w:t>
      </w:r>
      <w:r w:rsidR="00D00F33">
        <w:t xml:space="preserve">could also </w:t>
      </w:r>
      <w:r w:rsidR="0080221E">
        <w:t xml:space="preserve">occur </w:t>
      </w:r>
      <w:r>
        <w:t xml:space="preserve">as </w:t>
      </w:r>
      <w:r w:rsidR="003A1DF0">
        <w:t>evapotranspiration</w:t>
      </w:r>
      <w:r w:rsidR="00AD5627">
        <w:t xml:space="preserve"> in areas of outcrop or thin cover</w:t>
      </w:r>
      <w:r w:rsidR="00E91EB5">
        <w:t>,</w:t>
      </w:r>
      <w:r w:rsidR="003A1DF0">
        <w:t xml:space="preserve"> where </w:t>
      </w:r>
      <w:r>
        <w:t xml:space="preserve">the depth </w:t>
      </w:r>
      <w:r w:rsidR="003A1DF0">
        <w:t>groundwater is shallow enough to be accessed by vegetation (generally less than 20 m</w:t>
      </w:r>
      <w:r w:rsidR="00E91EB5">
        <w:t xml:space="preserve"> </w:t>
      </w:r>
      <w:r w:rsidR="00A541ED">
        <w:fldChar w:fldCharType="begin"/>
      </w:r>
      <w:r w:rsidR="00F76E0D">
        <w:instrText xml:space="preserve"> ADDIN EN.CITE &lt;EndNote&gt;&lt;Cite&gt;&lt;Author&gt;Lewis&lt;/Author&gt;&lt;Year&gt;2018&lt;/Year&gt;&lt;RecNum&gt;411&lt;/RecNum&gt;&lt;DisplayText&gt;(Lewis et al., 2018)&lt;/DisplayText&gt;&lt;record&gt;&lt;rec-number&gt;411&lt;/rec-number&gt;&lt;foreign-keys&gt;&lt;key app="EN" db-id="wdf9tzzdhw2saee559kv0vezt0wfsta0zedv" timestamp="1544005930"&gt;411&lt;/key&gt;&lt;key app="ENWeb" db-id=""&gt;0&lt;/key&gt;&lt;/foreign-keys&gt;&lt;ref-type name="Report"&gt;27&lt;/ref-type&gt;&lt;contributors&gt;&lt;authors&gt;&lt;author&gt;Lewis, S&lt;/author&gt;&lt;author&gt;Evans, TJ&lt;/author&gt;&lt;author&gt;Pavey, C&lt;/author&gt;&lt;author&gt;Holland, KL&lt;/author&gt;&lt;author&gt;Henderson, B&lt;/author&gt;&lt;author&gt;Kilgour, P&lt;/author&gt;&lt;author&gt;Dehelean, A&lt;/author&gt;&lt;author&gt;Karim, F&lt;/author&gt;&lt;author&gt;Viney, NR&lt;/author&gt;&lt;author&gt;Post, DA&lt;/author&gt;&lt;author&gt;Schmidt, RK&lt;/author&gt;&lt;author&gt;Sudholz, C&lt;/author&gt;&lt;author&gt;Brandon, C&lt;/author&gt;&lt;author&gt;Zhang, YQ&lt;/author&gt;&lt;author&gt;Lymburner, L&lt;/author&gt;&lt;author&gt;Dunn, B&lt;/author&gt;&lt;author&gt;Mount, R&lt;/author&gt;&lt;author&gt;Gonzalez, D&lt;/author&gt;&lt;author&gt;Peeters, LJM&lt;/author&gt;&lt;author&gt;O’Grady, A&lt;/author&gt;&lt;author&gt;Dunne, R&lt;/author&gt;&lt;author&gt;Ickowicz, A&lt;/author&gt;&lt;author&gt;Hosack, G&lt;/author&gt;&lt;author&gt;Hayes, KR&lt;/author&gt;&lt;author&gt;Dambacher, J&lt;/author&gt;&lt;author&gt;Barry, S&lt;/author&gt;&lt;/authors&gt;&lt;tertiary-authors&gt;&lt;author&gt;Department of the Environment and Energy&lt;/author&gt;&lt;/tertiary-authors&gt;&lt;/contributors&gt;&lt;titles&gt;&lt;title&gt;Impact and risk analysis for the Galilee subregion. Product 3-4 for the Galilee subregion from the Lake Eyre Basin Bioregional Assessment.&lt;/title&gt;&lt;secondary-title&gt;Bioregional Assessments&lt;/secondary-title&gt;&lt;/titles&gt;&lt;pages&gt;348&lt;/pages&gt;&lt;number&gt;ba-leb-gal-30-40&lt;/number&gt;&lt;dates&gt;&lt;year&gt;2018&lt;/year&gt;&lt;pub-dates&gt;&lt;date&gt;6 December 2018&lt;/date&gt;&lt;/pub-dates&gt;&lt;/dates&gt;&lt;publisher&gt;Department of the Environment and Energy, Bureau of Meteorology, CSIRO and Geoscience Australia, Australia&lt;/publisher&gt;&lt;urls&gt;&lt;related-urls&gt;&lt;url&gt;&lt;style face="underline" font="default" size="100%"&gt;https://www.bioregionalassessments.gov.au/assessments/3-4-impact-and-risk-analysis-galilee-subregion&lt;/style&gt;&lt;/url&gt;&lt;/related-urls&gt;&lt;/urls&gt;&lt;access-date&gt;10 May 2019&lt;/access-date&gt;&lt;/record&gt;&lt;/Cite&gt;&lt;/EndNote&gt;</w:instrText>
      </w:r>
      <w:r w:rsidR="00A541ED">
        <w:fldChar w:fldCharType="separate"/>
      </w:r>
      <w:r w:rsidR="00A541ED">
        <w:rPr>
          <w:noProof/>
        </w:rPr>
        <w:t>(Lewis et al., 2018)</w:t>
      </w:r>
      <w:r w:rsidR="00A541ED">
        <w:fldChar w:fldCharType="end"/>
      </w:r>
      <w:r w:rsidR="00E91EB5">
        <w:t xml:space="preserve"> and </w:t>
      </w:r>
      <w:r w:rsidR="00E91EB5">
        <w:fldChar w:fldCharType="begin"/>
      </w:r>
      <w:r w:rsidR="00E91EB5">
        <w:instrText xml:space="preserve"> REF _Ref3985270 \h </w:instrText>
      </w:r>
      <w:r w:rsidR="00E91EB5">
        <w:fldChar w:fldCharType="separate"/>
      </w:r>
      <w:r w:rsidR="00B177F5">
        <w:t xml:space="preserve">Figure </w:t>
      </w:r>
      <w:r w:rsidR="00B177F5">
        <w:rPr>
          <w:noProof/>
        </w:rPr>
        <w:t>18</w:t>
      </w:r>
      <w:r w:rsidR="00E91EB5">
        <w:fldChar w:fldCharType="end"/>
      </w:r>
      <w:r w:rsidR="00E91EB5">
        <w:t>).</w:t>
      </w:r>
    </w:p>
    <w:p w14:paraId="697ABE0E" w14:textId="5FBEF5AC" w:rsidR="001777F9" w:rsidRDefault="00D222B6" w:rsidP="00E62DCD">
      <w:pPr>
        <w:pStyle w:val="Heading6"/>
      </w:pPr>
      <w:r>
        <w:t>Aquifer characteristics</w:t>
      </w:r>
    </w:p>
    <w:p w14:paraId="29823350" w14:textId="550A81C0" w:rsidR="00574E33" w:rsidRDefault="0034595E" w:rsidP="00E62DCD">
      <w:pPr>
        <w:pStyle w:val="Heading6notnumbered"/>
        <w:keepNext/>
        <w:keepLines/>
      </w:pPr>
      <w:r>
        <w:t xml:space="preserve">Tindall </w:t>
      </w:r>
      <w:r w:rsidR="00574E33">
        <w:t xml:space="preserve">Limestone, </w:t>
      </w:r>
      <w:r w:rsidR="00733C0B">
        <w:t>Montejinni</w:t>
      </w:r>
      <w:r w:rsidR="00574E33">
        <w:t xml:space="preserve"> Lim</w:t>
      </w:r>
      <w:r w:rsidR="00AA74E4">
        <w:t>e</w:t>
      </w:r>
      <w:r w:rsidR="00574E33">
        <w:t>stone and Gum Ridge Formation</w:t>
      </w:r>
    </w:p>
    <w:p w14:paraId="4BA63A4C" w14:textId="58F6A505" w:rsidR="000E62A3" w:rsidRDefault="00A541ED" w:rsidP="00E62DCD">
      <w:pPr>
        <w:keepNext/>
        <w:keepLines/>
      </w:pPr>
      <w:r>
        <w:fldChar w:fldCharType="begin"/>
      </w:r>
      <w:r w:rsidR="00F76E0D">
        <w:instrText xml:space="preserve"> ADDIN EN.CITE &lt;EndNote&gt;&lt;Cite AuthorYear="1"&gt;&lt;Author&gt;Tickell&lt;/Author&gt;&lt;Year&gt;2017&lt;/Year&gt;&lt;RecNum&gt;695&lt;/RecNum&gt;&lt;DisplayText&gt;Tickell and Bruwer (2017)&lt;/DisplayText&gt;&lt;record&gt;&lt;rec-number&gt;695&lt;/rec-number&gt;&lt;foreign-keys&gt;&lt;key app="EN" db-id="wdf9tzzdhw2saee559kv0vezt0wfsta0zedv" timestamp="1545264525"&gt;695&lt;/key&gt;&lt;key app="ENWeb" db-id=""&gt;0&lt;/key&gt;&lt;/foreign-keys&gt;&lt;ref-type name="Report"&gt;27&lt;/ref-type&gt;&lt;contributors&gt;&lt;authors&gt;&lt;author&gt;Tickell, Stephen. J.&lt;/author&gt;&lt;author&gt;Bruwer, Quentin&lt;/author&gt;&lt;/authors&gt;&lt;tertiary-authors&gt;&lt;author&gt;Northern Territory Department of Environment and Natural Resources&lt;/author&gt;&lt;/tertiary-authors&gt;&lt;subsidiary-authors&gt;&lt;author&gt;Water Resources Division&lt;/author&gt;&lt;/subsidiary-authors&gt;&lt;/contributors&gt;&lt;titles&gt;&lt;title&gt;Georgina Basin Groundwater Assessment: Daly Waters to Tennant Creek&lt;/title&gt;&lt;/titles&gt;&lt;pages&gt;108&lt;/pages&gt;&lt;number&gt;Technical Report 17/2017&lt;/number&gt;&lt;dates&gt;&lt;year&gt;2017&lt;/year&gt;&lt;/dates&gt;&lt;publisher&gt;Northern Territory Department of Environment and Natural Resources&lt;/publisher&gt;&lt;isbn&gt;Technical Report 17/2017&lt;/isbn&gt;&lt;urls&gt;&lt;related-urls&gt;&lt;url&gt;&lt;style face="underline" font="default" size="100%"&gt;http://www.territorystories.nt.gov.au/jspui/handle/10070/304921&lt;/style&gt;&lt;/url&gt;&lt;/related-urls&gt;&lt;/urls&gt;&lt;access-date&gt;20 April 2020&lt;/access-date&gt;&lt;/record&gt;&lt;/Cite&gt;&lt;/EndNote&gt;</w:instrText>
      </w:r>
      <w:r>
        <w:fldChar w:fldCharType="separate"/>
      </w:r>
      <w:r w:rsidR="007E7B35">
        <w:rPr>
          <w:noProof/>
        </w:rPr>
        <w:t>Tickell and Bruwer (2017)</w:t>
      </w:r>
      <w:r>
        <w:fldChar w:fldCharType="end"/>
      </w:r>
      <w:r w:rsidR="00BE7E25">
        <w:t xml:space="preserve"> </w:t>
      </w:r>
      <w:r w:rsidR="000E62A3">
        <w:t>regard the Gum Ridge Formation to be a regional</w:t>
      </w:r>
      <w:r w:rsidR="00C30378">
        <w:t>-</w:t>
      </w:r>
      <w:r w:rsidR="000E62A3">
        <w:t>scale, high transmissivity aquifer that has been shown to be capable of producing bore yields of over 20</w:t>
      </w:r>
      <w:r w:rsidR="004F1008">
        <w:t> </w:t>
      </w:r>
      <w:r w:rsidR="000E62A3" w:rsidDel="006B739D">
        <w:t>L/</w:t>
      </w:r>
      <w:r w:rsidR="006B739D">
        <w:t xml:space="preserve">second </w:t>
      </w:r>
      <w:r w:rsidR="000E62A3">
        <w:t xml:space="preserve">with only relatively small drawdown. Although untested at high pumping rates, suitably constructed bores should be able to produce up to 60 </w:t>
      </w:r>
      <w:r w:rsidR="000E62A3" w:rsidDel="006B739D">
        <w:t>L/</w:t>
      </w:r>
      <w:r w:rsidR="006B739D">
        <w:t xml:space="preserve">second </w:t>
      </w:r>
      <w:r w:rsidR="000E62A3">
        <w:t>in many areas. Such pumping scenarios indicate bores screened in karst zones of this aquifer</w:t>
      </w:r>
      <w:r w:rsidR="00D911A6">
        <w:t>.</w:t>
      </w:r>
      <w:r w:rsidR="00733622">
        <w:t xml:space="preserve"> Uncertainty remains as to how </w:t>
      </w:r>
      <w:r w:rsidR="00E62DCD">
        <w:t xml:space="preserve">such </w:t>
      </w:r>
      <w:r w:rsidR="00733622">
        <w:t>representative high yields from karst zones are for the Gum Ridge Formation</w:t>
      </w:r>
      <w:r w:rsidR="008B1102">
        <w:t xml:space="preserve"> overall</w:t>
      </w:r>
      <w:r w:rsidR="00733622">
        <w:t xml:space="preserve">. </w:t>
      </w:r>
    </w:p>
    <w:p w14:paraId="2A6F6175" w14:textId="30760F08" w:rsidR="00F61FF2" w:rsidRDefault="00F61FF2" w:rsidP="00C00F6D">
      <w:r w:rsidRPr="2777F559">
        <w:rPr>
          <w:color w:val="000000" w:themeColor="text1"/>
        </w:rPr>
        <w:t xml:space="preserve">Groundwater modelling by </w:t>
      </w:r>
      <w:r w:rsidR="00A541ED">
        <w:fldChar w:fldCharType="begin"/>
      </w:r>
      <w:r w:rsidR="00F76E0D">
        <w:instrText xml:space="preserve"> ADDIN EN.CITE &lt;EndNote&gt;&lt;Cite AuthorYear="1"&gt;&lt;Author&gt;Knapton&lt;/Author&gt;&lt;Year&gt;2006&lt;/Year&gt;&lt;RecNum&gt;685&lt;/RecNum&gt;&lt;DisplayText&gt;Knapton (2006)&lt;/DisplayText&gt;&lt;record&gt;&lt;rec-number&gt;685&lt;/rec-number&gt;&lt;foreign-keys&gt;&lt;key app="EN" db-id="wdf9tzzdhw2saee559kv0vezt0wfsta0zedv" timestamp="1545264472"&gt;685&lt;/key&gt;&lt;key app="ENWeb" db-id=""&gt;0&lt;/key&gt;&lt;/foreign-keys&gt;&lt;ref-type name="Report"&gt;27&lt;/ref-type&gt;&lt;contributors&gt;&lt;authors&gt;&lt;author&gt;Knapton, Anthony&lt;/author&gt;&lt;/authors&gt;&lt;/contributors&gt;&lt;titles&gt;&lt;title&gt;Regional Groundwater Modelling of the Cambrian Limestone Aquifer System of the Wiso Basin, Georgina Basin and Daly Basin&lt;/title&gt;&lt;/titles&gt;&lt;pages&gt;60&lt;/pages&gt;&lt;number&gt;Technical Report No. 29/2006A&lt;/number&gt;&lt;keywords&gt;&lt;keyword&gt;Cambrian Limestone Aquifer&lt;/keyword&gt;&lt;keyword&gt;Wiso Basin&lt;/keyword&gt;&lt;keyword&gt;Georgina Basin&lt;/keyword&gt;&lt;keyword&gt;Daly Basin&lt;/keyword&gt;&lt;keyword&gt;Beetaloo Sub-basin&lt;/keyword&gt;&lt;keyword&gt;regional flow&lt;/keyword&gt;&lt;keyword&gt;regional groundwater systems&lt;/keyword&gt;&lt;keyword&gt;inter-basin groundwater flow&lt;/keyword&gt;&lt;keyword&gt;groundwater model&lt;/keyword&gt;&lt;/keywords&gt;&lt;dates&gt;&lt;year&gt;2006&lt;/year&gt;&lt;/dates&gt;&lt;pub-location&gt;Alice Springs&lt;/pub-location&gt;&lt;publisher&gt;Department of Natural Resources, Environment and the Arts (Northern Territory)&lt;/publisher&gt;&lt;isbn&gt;29/2006A&lt;/isbn&gt;&lt;urls&gt;&lt;related-urls&gt;&lt;url&gt;&lt;style face="underline" font="default" size="100%"&gt;http://www.territorystories.nt.gov.au/jspui/bitstream/10070/228069/1/WRA06029.pdf&lt;/style&gt;&lt;/url&gt;&lt;/related-urls&gt;&lt;/urls&gt;&lt;access-date&gt;28 November 2019&lt;/access-date&gt;&lt;/record&gt;&lt;/Cite&gt;&lt;/EndNote&gt;</w:instrText>
      </w:r>
      <w:r w:rsidR="00A541ED">
        <w:fldChar w:fldCharType="separate"/>
      </w:r>
      <w:r w:rsidR="00A541ED">
        <w:rPr>
          <w:noProof/>
        </w:rPr>
        <w:t>Knapton (2006)</w:t>
      </w:r>
      <w:r w:rsidR="00A541ED">
        <w:fldChar w:fldCharType="end"/>
      </w:r>
      <w:r w:rsidRPr="2777F559">
        <w:rPr>
          <w:color w:val="000000" w:themeColor="text1"/>
        </w:rPr>
        <w:t xml:space="preserve"> assumed a regional aquifer transmissivity</w:t>
      </w:r>
      <w:r w:rsidR="00A43C9F" w:rsidRPr="2777F559">
        <w:rPr>
          <w:color w:val="000000" w:themeColor="text1"/>
        </w:rPr>
        <w:t xml:space="preserve"> for </w:t>
      </w:r>
      <w:r w:rsidR="00A47197" w:rsidRPr="2777F559">
        <w:rPr>
          <w:color w:val="000000" w:themeColor="text1"/>
        </w:rPr>
        <w:t xml:space="preserve">the </w:t>
      </w:r>
      <w:r w:rsidR="00A43C9F" w:rsidRPr="2777F559">
        <w:rPr>
          <w:color w:val="000000" w:themeColor="text1"/>
        </w:rPr>
        <w:t>Gum Ridge</w:t>
      </w:r>
      <w:r w:rsidR="00A47197" w:rsidRPr="2777F559">
        <w:rPr>
          <w:color w:val="000000" w:themeColor="text1"/>
        </w:rPr>
        <w:t xml:space="preserve"> Formation</w:t>
      </w:r>
      <w:r w:rsidRPr="2777F559">
        <w:rPr>
          <w:color w:val="000000" w:themeColor="text1"/>
        </w:rPr>
        <w:t xml:space="preserve"> of 5000</w:t>
      </w:r>
      <w:r w:rsidR="0080221E" w:rsidRPr="2777F559">
        <w:rPr>
          <w:color w:val="000000" w:themeColor="text1"/>
        </w:rPr>
        <w:t xml:space="preserve"> </w:t>
      </w:r>
      <w:r w:rsidRPr="2777F559">
        <w:rPr>
          <w:color w:val="000000" w:themeColor="text1"/>
        </w:rPr>
        <w:t>m</w:t>
      </w:r>
      <w:r w:rsidRPr="00746B2A">
        <w:rPr>
          <w:rStyle w:val="Superscript"/>
        </w:rPr>
        <w:t>2</w:t>
      </w:r>
      <w:r w:rsidRPr="2777F559">
        <w:rPr>
          <w:color w:val="000000" w:themeColor="text1"/>
        </w:rPr>
        <w:t xml:space="preserve">/day with a reduction in the Venn region </w:t>
      </w:r>
      <w:r w:rsidR="00A43C9F" w:rsidRPr="2777F559">
        <w:rPr>
          <w:color w:val="000000" w:themeColor="text1"/>
        </w:rPr>
        <w:t xml:space="preserve">near Katherine to </w:t>
      </w:r>
      <w:r w:rsidR="000E62A3" w:rsidRPr="2777F559">
        <w:rPr>
          <w:color w:val="000000" w:themeColor="text1"/>
        </w:rPr>
        <w:t xml:space="preserve">(Tindall Limestone) </w:t>
      </w:r>
      <w:r w:rsidRPr="2777F559">
        <w:rPr>
          <w:color w:val="000000" w:themeColor="text1"/>
        </w:rPr>
        <w:t>to 2000 m</w:t>
      </w:r>
      <w:r w:rsidRPr="00746B2A">
        <w:rPr>
          <w:rStyle w:val="Superscript"/>
        </w:rPr>
        <w:t>2</w:t>
      </w:r>
      <w:r w:rsidRPr="2777F559">
        <w:rPr>
          <w:color w:val="000000" w:themeColor="text1"/>
        </w:rPr>
        <w:t>/day. Confined regions of the aquifer were assigned a single value of 100</w:t>
      </w:r>
      <w:r w:rsidR="004F1008" w:rsidRPr="2777F559">
        <w:rPr>
          <w:color w:val="000000" w:themeColor="text1"/>
        </w:rPr>
        <w:t> </w:t>
      </w:r>
      <w:r w:rsidRPr="2777F559">
        <w:rPr>
          <w:color w:val="000000" w:themeColor="text1"/>
        </w:rPr>
        <w:t>m</w:t>
      </w:r>
      <w:r w:rsidRPr="00746B2A">
        <w:rPr>
          <w:rStyle w:val="Superscript"/>
        </w:rPr>
        <w:t>3</w:t>
      </w:r>
      <w:r w:rsidRPr="2777F559">
        <w:rPr>
          <w:color w:val="000000" w:themeColor="text1"/>
        </w:rPr>
        <w:t>/d/m. An unconfined aquifer storage coefficient was taken as 0.04, as an average of an indicated range of 0.01</w:t>
      </w:r>
      <w:r w:rsidR="00E62DCD">
        <w:rPr>
          <w:color w:val="000000" w:themeColor="text1"/>
        </w:rPr>
        <w:t xml:space="preserve"> to </w:t>
      </w:r>
      <w:r w:rsidRPr="2777F559">
        <w:rPr>
          <w:color w:val="000000" w:themeColor="text1"/>
        </w:rPr>
        <w:t>0.07. A confined aquifer storage coefficient was assigned 0.0001 based on typical aquifer storage coefficients.</w:t>
      </w:r>
      <w:r w:rsidR="00D73DC8" w:rsidRPr="2777F559">
        <w:rPr>
          <w:color w:val="000000" w:themeColor="text1"/>
        </w:rPr>
        <w:t xml:space="preserve"> </w:t>
      </w:r>
    </w:p>
    <w:p w14:paraId="76CE5E4D" w14:textId="2C4428D7" w:rsidR="000C2A2C" w:rsidRDefault="000C2A2C" w:rsidP="2777F559">
      <w:pPr>
        <w:rPr>
          <w:color w:val="000000" w:themeColor="text1"/>
        </w:rPr>
      </w:pPr>
      <w:r w:rsidRPr="2777F559">
        <w:rPr>
          <w:color w:val="000000" w:themeColor="text1"/>
        </w:rPr>
        <w:t>Transmissivity of the CLA in the northern Georgina Basin was assumed to be 1000</w:t>
      </w:r>
      <w:r w:rsidR="00E62DCD">
        <w:rPr>
          <w:color w:val="000000" w:themeColor="text1"/>
        </w:rPr>
        <w:t xml:space="preserve"> to </w:t>
      </w:r>
      <w:r w:rsidRPr="2777F559">
        <w:rPr>
          <w:color w:val="000000" w:themeColor="text1"/>
        </w:rPr>
        <w:t>2000 m</w:t>
      </w:r>
      <w:r w:rsidRPr="004E5137">
        <w:rPr>
          <w:color w:val="000000" w:themeColor="text1"/>
          <w:vertAlign w:val="superscript"/>
        </w:rPr>
        <w:t>2</w:t>
      </w:r>
      <w:r w:rsidRPr="2777F559">
        <w:rPr>
          <w:color w:val="000000" w:themeColor="text1"/>
        </w:rPr>
        <w:t xml:space="preserve">/day </w:t>
      </w:r>
      <w:r w:rsidR="006B710B">
        <w:fldChar w:fldCharType="begin"/>
      </w:r>
      <w:r w:rsidR="008F30E0">
        <w:instrText xml:space="preserve"> ADDIN EN.CITE &lt;EndNote&gt;&lt;Cite&gt;&lt;Author&gt;Fulton&lt;/Author&gt;&lt;Year&gt;2015&lt;/Year&gt;&lt;RecNum&gt;671&lt;/RecNum&gt;&lt;DisplayText&gt;(Fulton and Knapton, 2015b)&lt;/DisplayText&gt;&lt;record&gt;&lt;rec-number&gt;671&lt;/rec-number&gt;&lt;foreign-keys&gt;&lt;key app="EN" db-id="wdf9tzzdhw2saee559kv0vezt0wfsta0zedv" timestamp="1545264407"&gt;671&lt;/key&gt;&lt;key app="ENWeb" db-id=""&gt;0&lt;/key&gt;&lt;/foreign-keys&gt;&lt;ref-type name="Report"&gt;27&lt;/ref-type&gt;&lt;contributors&gt;&lt;authors&gt;&lt;author&gt;Fulton, S.&lt;/author&gt;&lt;author&gt;Knapton, A.&lt;/author&gt;&lt;/authors&gt;&lt;/contributors&gt;&lt;titles&gt;&lt;title&gt;Beetaloo Basin hydrogeological assessment. Cloud GMS&lt;/title&gt;&lt;/titles&gt;&lt;pages&gt;70&lt;/pages&gt;&lt;dates&gt;&lt;year&gt;2015&lt;/year&gt;&lt;pub-dates&gt;&lt;date&gt;February 2015&lt;/date&gt;&lt;/pub-dates&gt;&lt;/dates&gt;&lt;publisher&gt;Origin Energy Report 1 for Fracking Enquiry NT&lt;/publisher&gt;&lt;urls&gt;&lt;related-urls&gt;&lt;url&gt;https://frackinginquiry.nt.gov.au/?a=410609&lt;/url&gt;&lt;/related-urls&gt;&lt;/urls&gt;&lt;access-date&gt;28 November 2019&lt;/access-date&gt;&lt;/record&gt;&lt;/Cite&gt;&lt;/EndNote&gt;</w:instrText>
      </w:r>
      <w:r w:rsidR="006B710B">
        <w:fldChar w:fldCharType="separate"/>
      </w:r>
      <w:r w:rsidR="008F30E0">
        <w:rPr>
          <w:noProof/>
        </w:rPr>
        <w:t>(Fulton and Knapton, 2015b)</w:t>
      </w:r>
      <w:r w:rsidR="006B710B">
        <w:fldChar w:fldCharType="end"/>
      </w:r>
      <w:r w:rsidRPr="2777F559">
        <w:rPr>
          <w:color w:val="000000" w:themeColor="text1"/>
        </w:rPr>
        <w:t xml:space="preserve">. Groundwater gradient is approximately 0.0001 </w:t>
      </w:r>
      <w:r w:rsidR="00A541ED">
        <w:fldChar w:fldCharType="begin"/>
      </w:r>
      <w:r w:rsidR="00F76E0D">
        <w:instrText xml:space="preserve"> ADDIN EN.CITE &lt;EndNote&gt;&lt;Cite&gt;&lt;Author&gt;Tickell&lt;/Author&gt;&lt;Year&gt;2003&lt;/Year&gt;&lt;RecNum&gt;744&lt;/RecNum&gt;&lt;DisplayText&gt;(Tickell, 2003)&lt;/DisplayText&gt;&lt;record&gt;&lt;rec-number&gt;744&lt;/rec-number&gt;&lt;foreign-keys&gt;&lt;key app="EN" db-id="wdf9tzzdhw2saee559kv0vezt0wfsta0zedv" timestamp="1550544845"&gt;744&lt;/key&gt;&lt;key app="ENWeb" db-id=""&gt;0&lt;/key&gt;&lt;/foreign-keys&gt;&lt;ref-type name="Report"&gt;27&lt;/ref-type&gt;&lt;contributors&gt;&lt;authors&gt;&lt;author&gt;Tickell, Stephen. J.&lt;/author&gt;&lt;/authors&gt;&lt;tertiary-authors&gt;&lt;author&gt;Department of Infrastructure, Planning and Environment (Northern Territory)&lt;/author&gt;&lt;/tertiary-authors&gt;&lt;/contributors&gt;&lt;titles&gt;&lt;title&gt;Water resource mapping of the Barkly Tablelands&lt;/title&gt;&lt;/titles&gt;&lt;dates&gt;&lt;year&gt;2003&lt;/year&gt;&lt;pub-dates&gt;&lt;date&gt;September 2003&lt;/date&gt;&lt;/pub-dates&gt;&lt;/dates&gt;&lt;pub-location&gt;Darwin&lt;/pub-location&gt;&lt;publisher&gt;Department of Infrastructure, Planning and Environment (Northern Territory)&lt;/publisher&gt;&lt;urls&gt;&lt;/urls&gt;&lt;/record&gt;&lt;/Cite&gt;&lt;/EndNote&gt;</w:instrText>
      </w:r>
      <w:r w:rsidR="00A541ED">
        <w:fldChar w:fldCharType="separate"/>
      </w:r>
      <w:r w:rsidR="00A541ED">
        <w:rPr>
          <w:noProof/>
        </w:rPr>
        <w:t>(Tickell, 2003)</w:t>
      </w:r>
      <w:r w:rsidR="00A541ED">
        <w:fldChar w:fldCharType="end"/>
      </w:r>
      <w:r w:rsidRPr="2777F559">
        <w:rPr>
          <w:color w:val="000000" w:themeColor="text1"/>
        </w:rPr>
        <w:t xml:space="preserve"> across a section 200 km wide, so the estimated throughflow is 2</w:t>
      </w:r>
      <w:r w:rsidR="00E62DCD">
        <w:rPr>
          <w:color w:val="000000" w:themeColor="text1"/>
        </w:rPr>
        <w:t>0,</w:t>
      </w:r>
      <w:r w:rsidRPr="2777F559">
        <w:rPr>
          <w:color w:val="000000" w:themeColor="text1"/>
        </w:rPr>
        <w:t>000</w:t>
      </w:r>
      <w:r w:rsidR="00E62DCD">
        <w:rPr>
          <w:color w:val="000000" w:themeColor="text1"/>
        </w:rPr>
        <w:t xml:space="preserve"> to </w:t>
      </w:r>
      <w:r w:rsidRPr="2777F559">
        <w:rPr>
          <w:color w:val="000000" w:themeColor="text1"/>
        </w:rPr>
        <w:t>40</w:t>
      </w:r>
      <w:r w:rsidR="00E62DCD">
        <w:rPr>
          <w:color w:val="000000" w:themeColor="text1"/>
        </w:rPr>
        <w:t>,</w:t>
      </w:r>
      <w:r w:rsidRPr="2777F559">
        <w:rPr>
          <w:color w:val="000000" w:themeColor="text1"/>
        </w:rPr>
        <w:t>000 m</w:t>
      </w:r>
      <w:r w:rsidRPr="004E5137">
        <w:rPr>
          <w:color w:val="000000" w:themeColor="text1"/>
          <w:vertAlign w:val="superscript"/>
        </w:rPr>
        <w:t>3</w:t>
      </w:r>
      <w:r w:rsidRPr="2777F559">
        <w:rPr>
          <w:color w:val="000000" w:themeColor="text1"/>
        </w:rPr>
        <w:t>/day (230</w:t>
      </w:r>
      <w:r w:rsidR="00E62DCD">
        <w:rPr>
          <w:color w:val="000000" w:themeColor="text1"/>
        </w:rPr>
        <w:t xml:space="preserve"> to </w:t>
      </w:r>
      <w:r w:rsidRPr="2777F559">
        <w:rPr>
          <w:color w:val="000000" w:themeColor="text1"/>
        </w:rPr>
        <w:t>460</w:t>
      </w:r>
      <w:r w:rsidR="00E62DCD">
        <w:rPr>
          <w:color w:val="000000" w:themeColor="text1"/>
        </w:rPr>
        <w:t> </w:t>
      </w:r>
      <w:r w:rsidRPr="2777F559" w:rsidDel="006B739D">
        <w:rPr>
          <w:color w:val="000000" w:themeColor="text1"/>
        </w:rPr>
        <w:t>L/</w:t>
      </w:r>
      <w:r w:rsidR="006B739D" w:rsidRPr="2777F559">
        <w:rPr>
          <w:color w:val="000000" w:themeColor="text1"/>
        </w:rPr>
        <w:t xml:space="preserve">second </w:t>
      </w:r>
      <w:r w:rsidRPr="2777F559">
        <w:rPr>
          <w:color w:val="000000" w:themeColor="text1"/>
        </w:rPr>
        <w:t>or 7.2 to 14.5 GL/y</w:t>
      </w:r>
      <w:r w:rsidR="004E5137">
        <w:rPr>
          <w:color w:val="000000" w:themeColor="text1"/>
        </w:rPr>
        <w:t>ea</w:t>
      </w:r>
      <w:r w:rsidRPr="2777F559">
        <w:rPr>
          <w:color w:val="000000" w:themeColor="text1"/>
        </w:rPr>
        <w:t xml:space="preserve">r. </w:t>
      </w:r>
      <w:r w:rsidR="00D73DC8" w:rsidRPr="2777F559">
        <w:rPr>
          <w:color w:val="000000" w:themeColor="text1"/>
        </w:rPr>
        <w:t>Lowest transmissivity values (&lt;50 m</w:t>
      </w:r>
      <w:r w:rsidR="00D73DC8" w:rsidRPr="004E5137">
        <w:rPr>
          <w:color w:val="000000" w:themeColor="text1"/>
          <w:vertAlign w:val="superscript"/>
        </w:rPr>
        <w:t>2</w:t>
      </w:r>
      <w:r w:rsidR="00D73DC8" w:rsidRPr="2777F559">
        <w:rPr>
          <w:color w:val="000000" w:themeColor="text1"/>
        </w:rPr>
        <w:t xml:space="preserve">/day) occur in the north-west of Beetaloo GBA region where the aquifer has very limited saturation thickness and aquifer development is restricted to the unconformity with the underlying Antrim Plateau Volcanics </w:t>
      </w:r>
      <w:r w:rsidR="00D73DC8">
        <w:fldChar w:fldCharType="begin"/>
      </w:r>
      <w:r w:rsidR="00F76E0D">
        <w:instrText xml:space="preserve"> ADDIN EN.CITE &lt;EndNote&gt;&lt;Cite&gt;&lt;Author&gt;Yin Foo&lt;/Author&gt;&lt;Year&gt;2002&lt;/Year&gt;&lt;RecNum&gt;696&lt;/RecNum&gt;&lt;DisplayText&gt;(Yin Foo, 2002)&lt;/DisplayText&gt;&lt;record&gt;&lt;rec-number&gt;696&lt;/rec-number&gt;&lt;foreign-keys&gt;&lt;key app="EN" db-id="wdf9tzzdhw2saee559kv0vezt0wfsta0zedv" timestamp="1545264525"&gt;696&lt;/key&gt;&lt;key app="ENWeb" db-id=""&gt;0&lt;/key&gt;&lt;/foreign-keys&gt;&lt;ref-type name="Report"&gt;27&lt;/ref-type&gt;&lt;contributors&gt;&lt;authors&gt;&lt;author&gt;Yin Foo, Des&lt;/author&gt;&lt;/authors&gt;&lt;tertiary-authors&gt;&lt;author&gt;Department of Infrastructure, Planning and Environment (Northern Territory)&lt;/author&gt;&lt;/tertiary-authors&gt;&lt;/contributors&gt;&lt;titles&gt;&lt;title&gt;Water Resources of the Sturt Plateau region, overview report&lt;/title&gt;&lt;/titles&gt;&lt;number&gt;Report 18/2000D&lt;/number&gt;&lt;dates&gt;&lt;year&gt;2002&lt;/year&gt;&lt;pub-dates&gt;&lt;date&gt;June 2002&lt;/date&gt;&lt;/pub-dates&gt;&lt;/dates&gt;&lt;pub-location&gt;Darwin&lt;/pub-location&gt;&lt;publisher&gt;Department of Infrastructure, Planning and Environment (Northern Territory)&lt;/publisher&gt;&lt;isbn&gt;Report 18/2000D&lt;/isbn&gt;&lt;urls&gt;&lt;related-urls&gt;&lt;url&gt;&lt;style face="underline" font="default" size="100%"&gt;http://www.territorystories.nt.gov.au/handle/10070/229643&lt;/style&gt;&lt;/url&gt;&lt;/related-urls&gt;&lt;/urls&gt;&lt;access-date&gt;18 October 2019&lt;/access-date&gt;&lt;/record&gt;&lt;/Cite&gt;&lt;/EndNote&gt;</w:instrText>
      </w:r>
      <w:r w:rsidR="00D73DC8">
        <w:fldChar w:fldCharType="separate"/>
      </w:r>
      <w:r w:rsidR="00A14F55">
        <w:rPr>
          <w:noProof/>
        </w:rPr>
        <w:t>(Yin Foo, 2002)</w:t>
      </w:r>
      <w:r w:rsidR="00D73DC8">
        <w:fldChar w:fldCharType="end"/>
      </w:r>
      <w:r w:rsidR="00D73DC8" w:rsidRPr="2777F559">
        <w:rPr>
          <w:color w:val="000000" w:themeColor="text1"/>
        </w:rPr>
        <w:t>.</w:t>
      </w:r>
    </w:p>
    <w:p w14:paraId="0771A7DD" w14:textId="59EA46B4" w:rsidR="00E2533D" w:rsidRDefault="2777F559" w:rsidP="2777F559">
      <w:pPr>
        <w:rPr>
          <w:color w:val="000000" w:themeColor="text1"/>
        </w:rPr>
      </w:pPr>
      <w:r w:rsidRPr="2777F559">
        <w:rPr>
          <w:color w:val="000000" w:themeColor="text1"/>
        </w:rPr>
        <w:t xml:space="preserve">Over 415 operational and abandoned water bores screen the Gum Ridge aquifer and equivalents in the eastern Beetaloo </w:t>
      </w:r>
      <w:r w:rsidR="008B1102">
        <w:rPr>
          <w:color w:val="000000" w:themeColor="text1"/>
        </w:rPr>
        <w:t>GBA region</w:t>
      </w:r>
      <w:r w:rsidRPr="2777F559">
        <w:rPr>
          <w:color w:val="000000" w:themeColor="text1"/>
        </w:rPr>
        <w:t>. Bore depths range from 34</w:t>
      </w:r>
      <w:r w:rsidR="00E62DCD">
        <w:rPr>
          <w:color w:val="000000" w:themeColor="text1"/>
        </w:rPr>
        <w:t xml:space="preserve"> to </w:t>
      </w:r>
      <w:r w:rsidRPr="2777F559">
        <w:rPr>
          <w:color w:val="000000" w:themeColor="text1"/>
        </w:rPr>
        <w:t>221 m (average 105 m). Reported airlift yields range from 0.3 to 20 L/second (average 3.5 L/s</w:t>
      </w:r>
      <w:r w:rsidR="004E5137">
        <w:rPr>
          <w:color w:val="000000" w:themeColor="text1"/>
        </w:rPr>
        <w:t>econd</w:t>
      </w:r>
      <w:r w:rsidRPr="2777F559">
        <w:rPr>
          <w:color w:val="000000" w:themeColor="text1"/>
        </w:rPr>
        <w:t>). At Elliot, the Gum Ridge aquifer and equivalents yield 10 L/s</w:t>
      </w:r>
      <w:r w:rsidR="004E5137">
        <w:rPr>
          <w:color w:val="000000" w:themeColor="text1"/>
        </w:rPr>
        <w:t>econd</w:t>
      </w:r>
      <w:r w:rsidRPr="2777F559">
        <w:rPr>
          <w:color w:val="000000" w:themeColor="text1"/>
        </w:rPr>
        <w:t xml:space="preserve"> for the town water supply. </w:t>
      </w:r>
    </w:p>
    <w:p w14:paraId="60EB39B8" w14:textId="6D4AFB82" w:rsidR="00F61FF2" w:rsidRDefault="00F61FF2" w:rsidP="00C00F6D">
      <w:r w:rsidRPr="2777F559">
        <w:rPr>
          <w:color w:val="000000" w:themeColor="text1"/>
        </w:rPr>
        <w:t xml:space="preserve">The standing water level in the Gum Ridge aquifer ranges from 23 to 155 </w:t>
      </w:r>
      <w:r w:rsidR="00D50A79" w:rsidRPr="2777F559">
        <w:rPr>
          <w:color w:val="000000" w:themeColor="text1"/>
        </w:rPr>
        <w:t>mBGL</w:t>
      </w:r>
      <w:r w:rsidRPr="2777F559">
        <w:rPr>
          <w:color w:val="000000" w:themeColor="text1"/>
        </w:rPr>
        <w:t xml:space="preserve">. The shallowest water levels (&lt;50 </w:t>
      </w:r>
      <w:r w:rsidR="00D50A79" w:rsidRPr="2777F559">
        <w:rPr>
          <w:color w:val="000000" w:themeColor="text1"/>
        </w:rPr>
        <w:t>mBGL</w:t>
      </w:r>
      <w:r w:rsidRPr="2777F559">
        <w:rPr>
          <w:color w:val="000000" w:themeColor="text1"/>
        </w:rPr>
        <w:t>) occur along the north</w:t>
      </w:r>
      <w:r w:rsidR="00737C45" w:rsidRPr="2777F559">
        <w:rPr>
          <w:color w:val="000000" w:themeColor="text1"/>
        </w:rPr>
        <w:t>-</w:t>
      </w:r>
      <w:r w:rsidRPr="2777F559">
        <w:rPr>
          <w:color w:val="000000" w:themeColor="text1"/>
        </w:rPr>
        <w:t>east margin and in the north</w:t>
      </w:r>
      <w:r w:rsidR="00737C45" w:rsidRPr="2777F559">
        <w:rPr>
          <w:color w:val="000000" w:themeColor="text1"/>
        </w:rPr>
        <w:t>-</w:t>
      </w:r>
      <w:r w:rsidRPr="2777F559">
        <w:rPr>
          <w:color w:val="000000" w:themeColor="text1"/>
        </w:rPr>
        <w:t xml:space="preserve">west of the eastern Beetaloo Sub-basin. The deepest groundwater levels (&gt;125 </w:t>
      </w:r>
      <w:r w:rsidR="00D50A79" w:rsidRPr="2777F559">
        <w:rPr>
          <w:color w:val="000000" w:themeColor="text1"/>
        </w:rPr>
        <w:t>mBGL</w:t>
      </w:r>
      <w:r w:rsidRPr="2777F559">
        <w:rPr>
          <w:color w:val="000000" w:themeColor="text1"/>
        </w:rPr>
        <w:t>) occur along the Carpentaria Highway on Amungee</w:t>
      </w:r>
      <w:r w:rsidR="008B1102">
        <w:rPr>
          <w:color w:val="000000" w:themeColor="text1"/>
        </w:rPr>
        <w:t>-</w:t>
      </w:r>
      <w:r w:rsidRPr="2777F559">
        <w:rPr>
          <w:color w:val="000000" w:themeColor="text1"/>
        </w:rPr>
        <w:t xml:space="preserve">Mungee and Tanumbirini stations </w:t>
      </w:r>
      <w:r w:rsidR="00A541ED">
        <w:fldChar w:fldCharType="begin"/>
      </w:r>
      <w:r w:rsidR="008F30E0">
        <w:instrText xml:space="preserve"> ADDIN EN.CITE &lt;EndNote&gt;&lt;Cite&gt;&lt;Author&gt;Fulton&lt;/Author&gt;&lt;Year&gt;2015&lt;/Year&gt;&lt;RecNum&gt;671&lt;/RecNum&gt;&lt;DisplayText&gt;(Fulton and Knapton, 2015b)&lt;/DisplayText&gt;&lt;record&gt;&lt;rec-number&gt;671&lt;/rec-number&gt;&lt;foreign-keys&gt;&lt;key app="EN" db-id="wdf9tzzdhw2saee559kv0vezt0wfsta0zedv" timestamp="1545264407"&gt;671&lt;/key&gt;&lt;key app="ENWeb" db-id=""&gt;0&lt;/key&gt;&lt;/foreign-keys&gt;&lt;ref-type name="Report"&gt;27&lt;/ref-type&gt;&lt;contributors&gt;&lt;authors&gt;&lt;author&gt;Fulton, S.&lt;/author&gt;&lt;author&gt;Knapton, A.&lt;/author&gt;&lt;/authors&gt;&lt;/contributors&gt;&lt;titles&gt;&lt;title&gt;Beetaloo Basin hydrogeological assessment. Cloud GMS&lt;/title&gt;&lt;/titles&gt;&lt;pages&gt;70&lt;/pages&gt;&lt;dates&gt;&lt;year&gt;2015&lt;/year&gt;&lt;pub-dates&gt;&lt;date&gt;February 2015&lt;/date&gt;&lt;/pub-dates&gt;&lt;/dates&gt;&lt;publisher&gt;Origin Energy Report 1 for Fracking Enquiry NT&lt;/publisher&gt;&lt;urls&gt;&lt;related-urls&gt;&lt;url&gt;https://frackinginquiry.nt.gov.au/?a=410609&lt;/url&gt;&lt;/related-urls&gt;&lt;/urls&gt;&lt;access-date&gt;28 November 2019&lt;/access-date&gt;&lt;/record&gt;&lt;/Cite&gt;&lt;/EndNote&gt;</w:instrText>
      </w:r>
      <w:r w:rsidR="00A541ED">
        <w:fldChar w:fldCharType="separate"/>
      </w:r>
      <w:r w:rsidR="008F30E0">
        <w:rPr>
          <w:noProof/>
        </w:rPr>
        <w:t>(Fulton and Knapton, 2015b)</w:t>
      </w:r>
      <w:r w:rsidR="00A541ED">
        <w:fldChar w:fldCharType="end"/>
      </w:r>
      <w:r>
        <w:t>.</w:t>
      </w:r>
    </w:p>
    <w:p w14:paraId="6B0EB056" w14:textId="16A4053D" w:rsidR="00F61FF2" w:rsidRDefault="000C2A2C" w:rsidP="00C00F6D">
      <w:pPr>
        <w:pStyle w:val="Heading6notnumbered"/>
      </w:pPr>
      <w:r>
        <w:t>Anthony Lagoon</w:t>
      </w:r>
      <w:r w:rsidR="001969AF">
        <w:t>, Hooker Creek</w:t>
      </w:r>
      <w:r w:rsidR="008B1102">
        <w:t>, Point Wakefield beds</w:t>
      </w:r>
      <w:r w:rsidR="001969AF">
        <w:t xml:space="preserve"> and</w:t>
      </w:r>
      <w:r w:rsidR="0093110A">
        <w:t xml:space="preserve"> </w:t>
      </w:r>
      <w:r w:rsidR="00A43C9F">
        <w:t xml:space="preserve">Jinduckin </w:t>
      </w:r>
      <w:r w:rsidR="001969AF">
        <w:t>f</w:t>
      </w:r>
      <w:r w:rsidR="00A43C9F">
        <w:t>ormation</w:t>
      </w:r>
      <w:r w:rsidR="001969AF">
        <w:t>s</w:t>
      </w:r>
    </w:p>
    <w:p w14:paraId="632EEF04" w14:textId="6AD77C6C" w:rsidR="00F8265E" w:rsidRDefault="2777F559" w:rsidP="00C00F6D">
      <w:r>
        <w:t>Where sufficiently thick and not compromised by karst or weathering, the Anthony Lagoon, Hooker Creek and Jinduckin formations can act as aquitards, impeding leakage to underlying Gum Ridge, Montejinni and Tindall limestones. These units can act as local aquifers where sufficient saturated thickness</w:t>
      </w:r>
      <w:r w:rsidR="00E62DCD">
        <w:t>es</w:t>
      </w:r>
      <w:r>
        <w:t xml:space="preserve"> occur at levels below the regional watertable.</w:t>
      </w:r>
    </w:p>
    <w:p w14:paraId="6BE14FE0" w14:textId="0F7E0AC2" w:rsidR="008B1102" w:rsidRDefault="008B1102" w:rsidP="00C00F6D">
      <w:r>
        <w:t xml:space="preserve">The Point Wakefield beds </w:t>
      </w:r>
      <w:r w:rsidR="00D07762">
        <w:t>(</w:t>
      </w:r>
      <w:r>
        <w:fldChar w:fldCharType="begin"/>
      </w:r>
      <w:r w:rsidR="00F76E0D">
        <w:instrText xml:space="preserve"> ADDIN EN.CITE &lt;EndNote&gt;&lt;Cite&gt;&lt;Author&gt;Kennewell&lt;/Author&gt;&lt;Year&gt;1980&lt;/Year&gt;&lt;RecNum&gt;984&lt;/RecNum&gt;&lt;DisplayText&gt;(Kennewell and Huleatt, 1980)&lt;/DisplayText&gt;&lt;record&gt;&lt;rec-number&gt;984&lt;/rec-number&gt;&lt;foreign-keys&gt;&lt;key app="EN" db-id="wdf9tzzdhw2saee559kv0vezt0wfsta0zedv" timestamp="1557991359"&gt;984&lt;/key&gt;&lt;/foreign-keys&gt;&lt;ref-type name="Journal Article"&gt;17&lt;/ref-type&gt;&lt;contributors&gt;&lt;authors&gt;&lt;author&gt;Kennewell, P.J.&lt;/author&gt;&lt;author&gt;Huleatt, M.B.&lt;/author&gt;&lt;/authors&gt;&lt;/contributors&gt;&lt;titles&gt;&lt;title&gt;Geology of the Wiso Basin, Northern Territory.&lt;/title&gt;&lt;secondary-title&gt;Bureau of Mineral Resources, Australia, Bulletin 205.&lt;/secondary-title&gt;&lt;/titles&gt;&lt;periodical&gt;&lt;full-title&gt;Bureau of Mineral Resources, Australia, Bulletin 205.&lt;/full-title&gt;&lt;/periodical&gt;&lt;dates&gt;&lt;year&gt;1980&lt;/year&gt;&lt;/dates&gt;&lt;urls&gt;&lt;/urls&gt;&lt;/record&gt;&lt;/Cite&gt;&lt;/EndNote&gt;</w:instrText>
      </w:r>
      <w:r>
        <w:fldChar w:fldCharType="separate"/>
      </w:r>
      <w:r w:rsidR="00D07762">
        <w:rPr>
          <w:noProof/>
        </w:rPr>
        <w:t>(Kennewell and Huleatt, 1980)</w:t>
      </w:r>
      <w:r>
        <w:fldChar w:fldCharType="end"/>
      </w:r>
      <w:r>
        <w:t>; formerly known as the Merrina beds) was deemed to be a good aquifer in the Wiso Basin region.</w:t>
      </w:r>
    </w:p>
    <w:p w14:paraId="61F660AE" w14:textId="0FD19955" w:rsidR="00F670D1" w:rsidRDefault="00AD0B31" w:rsidP="00C00F6D">
      <w:r>
        <w:t>Outcrop of the Anthony Lagoon Formation occurs some</w:t>
      </w:r>
      <w:r w:rsidR="001969AF">
        <w:t xml:space="preserve"> </w:t>
      </w:r>
      <w:r>
        <w:t xml:space="preserve">50 </w:t>
      </w:r>
      <w:r w:rsidR="00E62DCD">
        <w:t>to</w:t>
      </w:r>
      <w:r>
        <w:t xml:space="preserve"> 100km south-east of the Beetaloo GBA region</w:t>
      </w:r>
      <w:r w:rsidR="00F670D1">
        <w:t>. This aquifer contains the principal water resource as t</w:t>
      </w:r>
      <w:r>
        <w:t xml:space="preserve">he uppermost aquifer </w:t>
      </w:r>
      <w:r w:rsidR="00F670D1">
        <w:t>in the south of</w:t>
      </w:r>
      <w:r>
        <w:t xml:space="preserve"> the eastern Beetaloo GBA region. It consists of </w:t>
      </w:r>
      <w:r w:rsidR="00F670D1">
        <w:t>numerous stratified intermedia</w:t>
      </w:r>
      <w:r>
        <w:t xml:space="preserve">te-scale, </w:t>
      </w:r>
      <w:r w:rsidR="00F670D1">
        <w:t>aquifer horizons</w:t>
      </w:r>
      <w:r w:rsidR="00A47197">
        <w:t xml:space="preserve">, but </w:t>
      </w:r>
      <w:r>
        <w:t xml:space="preserve">no studies have been undertaken to determine the degree of connectivity between them </w:t>
      </w:r>
      <w:r w:rsidR="00A541ED">
        <w:fldChar w:fldCharType="begin"/>
      </w:r>
      <w:r w:rsidR="00F76E0D">
        <w:instrText xml:space="preserve"> ADDIN EN.CITE &lt;EndNote&gt;&lt;Cite&gt;&lt;Author&gt;Tickell&lt;/Author&gt;&lt;Year&gt;2017&lt;/Year&gt;&lt;RecNum&gt;695&lt;/RecNum&gt;&lt;DisplayText&gt;(Tickell and Bruwer, 2017)&lt;/DisplayText&gt;&lt;record&gt;&lt;rec-number&gt;695&lt;/rec-number&gt;&lt;foreign-keys&gt;&lt;key app="EN" db-id="wdf9tzzdhw2saee559kv0vezt0wfsta0zedv" timestamp="1545264525"&gt;695&lt;/key&gt;&lt;key app="ENWeb" db-id=""&gt;0&lt;/key&gt;&lt;/foreign-keys&gt;&lt;ref-type name="Report"&gt;27&lt;/ref-type&gt;&lt;contributors&gt;&lt;authors&gt;&lt;author&gt;Tickell, Stephen. J.&lt;/author&gt;&lt;author&gt;Bruwer, Quentin&lt;/author&gt;&lt;/authors&gt;&lt;tertiary-authors&gt;&lt;author&gt;Northern Territory Department of Environment and Natural Resources&lt;/author&gt;&lt;/tertiary-authors&gt;&lt;subsidiary-authors&gt;&lt;author&gt;Water Resources Division&lt;/author&gt;&lt;/subsidiary-authors&gt;&lt;/contributors&gt;&lt;titles&gt;&lt;title&gt;Georgina Basin Groundwater Assessment: Daly Waters to Tennant Creek&lt;/title&gt;&lt;/titles&gt;&lt;pages&gt;108&lt;/pages&gt;&lt;number&gt;Technical Report 17/2017&lt;/number&gt;&lt;dates&gt;&lt;year&gt;2017&lt;/year&gt;&lt;/dates&gt;&lt;publisher&gt;Northern Territory Department of Environment and Natural Resources&lt;/publisher&gt;&lt;isbn&gt;Technical Report 17/2017&lt;/isbn&gt;&lt;urls&gt;&lt;related-urls&gt;&lt;url&gt;&lt;style face="underline" font="default" size="100%"&gt;http://www.territorystories.nt.gov.au/jspui/handle/10070/304921&lt;/style&gt;&lt;/url&gt;&lt;/related-urls&gt;&lt;/urls&gt;&lt;access-date&gt;20 April 2020&lt;/access-date&gt;&lt;/record&gt;&lt;/Cite&gt;&lt;/EndNote&gt;</w:instrText>
      </w:r>
      <w:r w:rsidR="00A541ED">
        <w:fldChar w:fldCharType="separate"/>
      </w:r>
      <w:r w:rsidR="007E7B35">
        <w:rPr>
          <w:noProof/>
        </w:rPr>
        <w:t>(Tickell and Bruwer, 2017)</w:t>
      </w:r>
      <w:r w:rsidR="00A541ED">
        <w:fldChar w:fldCharType="end"/>
      </w:r>
      <w:r w:rsidR="00F670D1">
        <w:t xml:space="preserve">. This aquifer has produced up to 20 </w:t>
      </w:r>
      <w:r w:rsidR="00F670D1" w:rsidDel="006B739D">
        <w:t>L/</w:t>
      </w:r>
      <w:r w:rsidR="006B739D">
        <w:t xml:space="preserve">second </w:t>
      </w:r>
      <w:r w:rsidR="00F670D1">
        <w:t xml:space="preserve">where sufficient thickness of aquifer has been present but is considered by </w:t>
      </w:r>
      <w:r w:rsidR="00A541ED">
        <w:fldChar w:fldCharType="begin"/>
      </w:r>
      <w:r w:rsidR="00F76E0D">
        <w:instrText xml:space="preserve"> ADDIN EN.CITE &lt;EndNote&gt;&lt;Cite AuthorYear="1"&gt;&lt;Author&gt;Tickell&lt;/Author&gt;&lt;Year&gt;2017&lt;/Year&gt;&lt;RecNum&gt;695&lt;/RecNum&gt;&lt;DisplayText&gt;Tickell and Bruwer (2017)&lt;/DisplayText&gt;&lt;record&gt;&lt;rec-number&gt;695&lt;/rec-number&gt;&lt;foreign-keys&gt;&lt;key app="EN" db-id="wdf9tzzdhw2saee559kv0vezt0wfsta0zedv" timestamp="1545264525"&gt;695&lt;/key&gt;&lt;key app="ENWeb" db-id=""&gt;0&lt;/key&gt;&lt;/foreign-keys&gt;&lt;ref-type name="Report"&gt;27&lt;/ref-type&gt;&lt;contributors&gt;&lt;authors&gt;&lt;author&gt;Tickell, Stephen. J.&lt;/author&gt;&lt;author&gt;Bruwer, Quentin&lt;/author&gt;&lt;/authors&gt;&lt;tertiary-authors&gt;&lt;author&gt;Northern Territory Department of Environment and Natural Resources&lt;/author&gt;&lt;/tertiary-authors&gt;&lt;subsidiary-authors&gt;&lt;author&gt;Water Resources Division&lt;/author&gt;&lt;/subsidiary-authors&gt;&lt;/contributors&gt;&lt;titles&gt;&lt;title&gt;Georgina Basin Groundwater Assessment: Daly Waters to Tennant Creek&lt;/title&gt;&lt;/titles&gt;&lt;pages&gt;108&lt;/pages&gt;&lt;number&gt;Technical Report 17/2017&lt;/number&gt;&lt;dates&gt;&lt;year&gt;2017&lt;/year&gt;&lt;/dates&gt;&lt;publisher&gt;Northern Territory Department of Environment and Natural Resources&lt;/publisher&gt;&lt;isbn&gt;Technical Report 17/2017&lt;/isbn&gt;&lt;urls&gt;&lt;related-urls&gt;&lt;url&gt;&lt;style face="underline" font="default" size="100%"&gt;http://www.territorystories.nt.gov.au/jspui/handle/10070/304921&lt;/style&gt;&lt;/url&gt;&lt;/related-urls&gt;&lt;/urls&gt;&lt;access-date&gt;20 April 2020&lt;/access-date&gt;&lt;/record&gt;&lt;/Cite&gt;&lt;/EndNote&gt;</w:instrText>
      </w:r>
      <w:r w:rsidR="00A541ED">
        <w:fldChar w:fldCharType="separate"/>
      </w:r>
      <w:r w:rsidR="007E7B35">
        <w:rPr>
          <w:noProof/>
        </w:rPr>
        <w:t>Tickell and Bruwer (2017)</w:t>
      </w:r>
      <w:r w:rsidR="00A541ED">
        <w:fldChar w:fldCharType="end"/>
      </w:r>
      <w:r w:rsidR="00F670D1">
        <w:t xml:space="preserve"> to be only suitable for local small-scale irrigation.</w:t>
      </w:r>
    </w:p>
    <w:p w14:paraId="62EA326E" w14:textId="534682AB" w:rsidR="004700CE" w:rsidRDefault="00AD0B31" w:rsidP="00C00F6D">
      <w:r>
        <w:t>Over</w:t>
      </w:r>
      <w:r w:rsidR="00F61FF2">
        <w:t xml:space="preserve"> 78 bores have been completed in the Anthony Lagoon Formation at depths from 63 to 175 m (average 109 m)</w:t>
      </w:r>
      <w:r w:rsidR="008B1102">
        <w:t xml:space="preserve"> below </w:t>
      </w:r>
      <w:r w:rsidR="00843014">
        <w:t>ground level (mBGL)</w:t>
      </w:r>
      <w:r w:rsidR="00F61FF2">
        <w:t xml:space="preserve">. Estimates of bore yield from air lifting range from 1 </w:t>
      </w:r>
      <w:r w:rsidR="00E62DCD">
        <w:t>to</w:t>
      </w:r>
      <w:r w:rsidR="00F61FF2">
        <w:t xml:space="preserve"> 10</w:t>
      </w:r>
      <w:r w:rsidR="00E62DCD">
        <w:t> </w:t>
      </w:r>
      <w:r w:rsidR="00F61FF2" w:rsidDel="006B739D">
        <w:t>L/</w:t>
      </w:r>
      <w:r w:rsidR="006B739D">
        <w:t xml:space="preserve">second </w:t>
      </w:r>
      <w:r w:rsidR="00F61FF2">
        <w:t>(average 2.9</w:t>
      </w:r>
      <w:r w:rsidR="004F1008">
        <w:t> </w:t>
      </w:r>
      <w:r w:rsidR="00F61FF2">
        <w:t>L/s</w:t>
      </w:r>
      <w:r w:rsidR="004E5137">
        <w:t>econd</w:t>
      </w:r>
      <w:r w:rsidR="00F61FF2">
        <w:t>)</w:t>
      </w:r>
      <w:r w:rsidR="00894AA7">
        <w:t xml:space="preserve">. </w:t>
      </w:r>
      <w:r w:rsidR="00F61FF2">
        <w:t xml:space="preserve">The standing water level </w:t>
      </w:r>
      <w:r w:rsidR="00F61FF2" w:rsidRPr="00746B2A">
        <w:t>in the aquifer ranges from 42</w:t>
      </w:r>
      <w:r w:rsidR="00E62DCD">
        <w:t xml:space="preserve"> to </w:t>
      </w:r>
      <w:r w:rsidR="00F61FF2" w:rsidRPr="00746B2A">
        <w:t xml:space="preserve">115 </w:t>
      </w:r>
      <w:r w:rsidR="00D50A79" w:rsidRPr="00746B2A">
        <w:t>mBGL</w:t>
      </w:r>
      <w:r w:rsidR="00F61FF2" w:rsidRPr="00746B2A">
        <w:t xml:space="preserve"> (average 76</w:t>
      </w:r>
      <w:r w:rsidR="004F1008" w:rsidRPr="00746B2A">
        <w:t> </w:t>
      </w:r>
      <w:r w:rsidR="00D50A79" w:rsidRPr="00746B2A">
        <w:t>mBGL</w:t>
      </w:r>
      <w:r w:rsidR="00F61FF2" w:rsidRPr="00746B2A">
        <w:t xml:space="preserve">) and is closest to the surface where the aquifer outcrops </w:t>
      </w:r>
      <w:r w:rsidR="00843014" w:rsidRPr="00746B2A">
        <w:t xml:space="preserve">to </w:t>
      </w:r>
      <w:r w:rsidR="00F61FF2" w:rsidRPr="00746B2A">
        <w:t>the south</w:t>
      </w:r>
      <w:r w:rsidR="00843014" w:rsidRPr="00746B2A">
        <w:t xml:space="preserve"> (see </w:t>
      </w:r>
      <w:r w:rsidR="00843014" w:rsidRPr="00746B2A">
        <w:fldChar w:fldCharType="begin"/>
      </w:r>
      <w:r w:rsidR="00843014" w:rsidRPr="00746B2A">
        <w:instrText xml:space="preserve"> REF _Ref5201649 \h </w:instrText>
      </w:r>
      <w:r w:rsidR="00843014">
        <w:instrText xml:space="preserve"> \* MERGEFORMAT </w:instrText>
      </w:r>
      <w:r w:rsidR="00843014" w:rsidRPr="00746B2A">
        <w:fldChar w:fldCharType="separate"/>
      </w:r>
      <w:r w:rsidR="00B177F5">
        <w:t xml:space="preserve">Figure </w:t>
      </w:r>
      <w:r w:rsidR="00B177F5">
        <w:rPr>
          <w:noProof/>
        </w:rPr>
        <w:t>9</w:t>
      </w:r>
      <w:r w:rsidR="00843014" w:rsidRPr="00746B2A">
        <w:fldChar w:fldCharType="end"/>
      </w:r>
      <w:r w:rsidR="00843014" w:rsidRPr="00746B2A">
        <w:t xml:space="preserve"> for location</w:t>
      </w:r>
      <w:r w:rsidR="00F61FF2" w:rsidRPr="00746B2A">
        <w:t>. Results from 11 pump tests indicate significant variation in aquifer transmissivity from 13</w:t>
      </w:r>
      <w:r w:rsidR="00E62DCD">
        <w:t xml:space="preserve"> to </w:t>
      </w:r>
      <w:r w:rsidR="00F61FF2" w:rsidRPr="00746B2A">
        <w:t>1400 m</w:t>
      </w:r>
      <w:r w:rsidR="00F61FF2" w:rsidRPr="00746B2A">
        <w:rPr>
          <w:rStyle w:val="Superscript"/>
        </w:rPr>
        <w:t>2</w:t>
      </w:r>
      <w:r w:rsidR="00F61FF2" w:rsidRPr="00746B2A">
        <w:t xml:space="preserve">/day </w:t>
      </w:r>
      <w:r w:rsidR="00A541ED" w:rsidRPr="00746B2A">
        <w:fldChar w:fldCharType="begin"/>
      </w:r>
      <w:r w:rsidR="008F30E0">
        <w:instrText xml:space="preserve"> ADDIN EN.CITE &lt;EndNote&gt;&lt;Cite&gt;&lt;Author&gt;Fulton&lt;/Author&gt;&lt;Year&gt;2015&lt;/Year&gt;&lt;RecNum&gt;671&lt;/RecNum&gt;&lt;DisplayText&gt;(Fulton and Knapton, 2015b)&lt;/DisplayText&gt;&lt;record&gt;&lt;rec-number&gt;671&lt;/rec-number&gt;&lt;foreign-keys&gt;&lt;key app="EN" db-id="wdf9tzzdhw2saee559kv0vezt0wfsta0zedv" timestamp="1545264407"&gt;671&lt;/key&gt;&lt;key app="ENWeb" db-id=""&gt;0&lt;/key&gt;&lt;/foreign-keys&gt;&lt;ref-type name="Report"&gt;27&lt;/ref-type&gt;&lt;contributors&gt;&lt;authors&gt;&lt;author&gt;Fulton, S.&lt;/author&gt;&lt;author&gt;Knapton, A.&lt;/author&gt;&lt;/authors&gt;&lt;/contributors&gt;&lt;titles&gt;&lt;title&gt;Beetaloo Basin hydrogeological assessment. Cloud GMS&lt;/title&gt;&lt;/titles&gt;&lt;pages&gt;70&lt;/pages&gt;&lt;dates&gt;&lt;year&gt;2015&lt;/year&gt;&lt;pub-dates&gt;&lt;date&gt;February 2015&lt;/date&gt;&lt;/pub-dates&gt;&lt;/dates&gt;&lt;publisher&gt;Origin Energy Report 1 for Fracking Enquiry NT&lt;/publisher&gt;&lt;urls&gt;&lt;related-urls&gt;&lt;url&gt;https://frackinginquiry.nt.gov.au/?a=410609&lt;/url&gt;&lt;/related-urls&gt;&lt;/urls&gt;&lt;access-date&gt;28 November 2019&lt;/access-date&gt;&lt;/record&gt;&lt;/Cite&gt;&lt;/EndNote&gt;</w:instrText>
      </w:r>
      <w:r w:rsidR="00A541ED" w:rsidRPr="00746B2A">
        <w:fldChar w:fldCharType="separate"/>
      </w:r>
      <w:r w:rsidR="008F30E0">
        <w:rPr>
          <w:noProof/>
        </w:rPr>
        <w:t>(Fulton and Knapton, 2015b)</w:t>
      </w:r>
      <w:r w:rsidR="00A541ED" w:rsidRPr="00746B2A">
        <w:fldChar w:fldCharType="end"/>
      </w:r>
      <w:r w:rsidR="00F61FF2" w:rsidRPr="00746B2A">
        <w:t>, and</w:t>
      </w:r>
      <w:r w:rsidR="00F61FF2">
        <w:t xml:space="preserve"> most of these tests were around Elliott and in the Helen Springs region </w:t>
      </w:r>
      <w:r w:rsidR="00A541ED">
        <w:fldChar w:fldCharType="begin"/>
      </w:r>
      <w:r w:rsidR="00F76E0D">
        <w:instrText xml:space="preserve"> ADDIN EN.CITE &lt;EndNote&gt;&lt;Cite&gt;&lt;Author&gt;Paul&lt;/Author&gt;&lt;Year&gt;2003&lt;/Year&gt;&lt;RecNum&gt;691&lt;/RecNum&gt;&lt;DisplayText&gt;(Paul, 2003)&lt;/DisplayText&gt;&lt;record&gt;&lt;rec-number&gt;691&lt;/rec-number&gt;&lt;foreign-keys&gt;&lt;key app="EN" db-id="wdf9tzzdhw2saee559kv0vezt0wfsta0zedv" timestamp="1545264525"&gt;691&lt;/key&gt;&lt;key app="ENWeb" db-id=""&gt;0&lt;/key&gt;&lt;/foreign-keys&gt;&lt;ref-type name="Report"&gt;27&lt;/ref-type&gt;&lt;contributors&gt;&lt;authors&gt;&lt;author&gt;Paul, R. J.&lt;/author&gt;&lt;/authors&gt;&lt;tertiary-authors&gt;&lt;author&gt;Department of Infrastructure, Planning and Environment (Northern Territory)&lt;/author&gt;&lt;/tertiary-authors&gt;&lt;subsidiary-authors&gt;&lt;author&gt;Natural Resources Division&lt;/author&gt;&lt;/subsidiary-authors&gt;&lt;/contributors&gt;&lt;titles&gt;&lt;title&gt;Helen Springs Groundwater Investigation, 2000&lt;/title&gt;&lt;/titles&gt;&lt;number&gt;Report No.: 20/2000A&lt;/number&gt;&lt;keywords&gt;&lt;keyword&gt;Groundwater Resource Assessment&lt;/keyword&gt;&lt;keyword&gt;Anthony Lagoon Beds&lt;/keyword&gt;&lt;keyword&gt;Gum Ridge Formation&lt;/keyword&gt;&lt;keyword&gt;Georgina Basin&lt;/keyword&gt;&lt;keyword&gt;Barkly Tableland&lt;/keyword&gt;&lt;keyword&gt;Helen Springs Station&lt;/keyword&gt;&lt;keyword&gt;Beetaloo Sub-basin&lt;/keyword&gt;&lt;/keywords&gt;&lt;dates&gt;&lt;year&gt;2003&lt;/year&gt;&lt;/dates&gt;&lt;pub-location&gt;Alice Springs&lt;/pub-location&gt;&lt;publisher&gt;Department of Infrastructure, Planning and Environment (Northern Territory)&lt;/publisher&gt;&lt;isbn&gt;Report No.: 20/2000A&lt;/isbn&gt;&lt;urls&gt;&lt;related-urls&gt;&lt;url&gt;&lt;style face="underline" font="default" size="100%"&gt;http://www.territorystories.nt.gov.au/bitstream/10070/246897/1/Helen_Springs_Groundwater_Investigation_2000.pdf&lt;/style&gt;&lt;/url&gt;&lt;/related-urls&gt;&lt;/urls&gt;&lt;research-notes&gt;Bruce had it as Report 223/2000A, but it seems to be at 20/2000A instead&lt;/research-notes&gt;&lt;access-date&gt;28 November 2019&lt;/access-date&gt;&lt;/record&gt;&lt;/Cite&gt;&lt;/EndNote&gt;</w:instrText>
      </w:r>
      <w:r w:rsidR="00A541ED">
        <w:fldChar w:fldCharType="separate"/>
      </w:r>
      <w:r w:rsidR="00A541ED">
        <w:rPr>
          <w:noProof/>
        </w:rPr>
        <w:t>(Paul, 2003)</w:t>
      </w:r>
      <w:r w:rsidR="00A541ED">
        <w:fldChar w:fldCharType="end"/>
      </w:r>
      <w:r>
        <w:t>, just south of the Beetaloo GBA region</w:t>
      </w:r>
      <w:r w:rsidR="00F61FF2">
        <w:t>. Storage coefficients for the Anthony Lagoon Formation were reported to be between 2.5 x 10</w:t>
      </w:r>
      <w:r w:rsidR="00F61FF2" w:rsidRPr="00AB5240">
        <w:rPr>
          <w:rStyle w:val="Superscript"/>
        </w:rPr>
        <w:t xml:space="preserve">-3 </w:t>
      </w:r>
      <w:r w:rsidR="00F61FF2">
        <w:t>and 9.7 x 10</w:t>
      </w:r>
      <w:r w:rsidR="00F61FF2" w:rsidRPr="00AB5240">
        <w:rPr>
          <w:rStyle w:val="Superscript"/>
        </w:rPr>
        <w:t xml:space="preserve">-5 </w:t>
      </w:r>
      <w:r w:rsidR="00A541ED">
        <w:fldChar w:fldCharType="begin"/>
      </w:r>
      <w:r w:rsidR="00F76E0D">
        <w:instrText xml:space="preserve"> ADDIN EN.CITE &lt;EndNote&gt;&lt;Cite&gt;&lt;Author&gt;Paul&lt;/Author&gt;&lt;Year&gt;2003&lt;/Year&gt;&lt;RecNum&gt;691&lt;/RecNum&gt;&lt;DisplayText&gt;(Paul, 2003)&lt;/DisplayText&gt;&lt;record&gt;&lt;rec-number&gt;691&lt;/rec-number&gt;&lt;foreign-keys&gt;&lt;key app="EN" db-id="wdf9tzzdhw2saee559kv0vezt0wfsta0zedv" timestamp="1545264525"&gt;691&lt;/key&gt;&lt;key app="ENWeb" db-id=""&gt;0&lt;/key&gt;&lt;/foreign-keys&gt;&lt;ref-type name="Report"&gt;27&lt;/ref-type&gt;&lt;contributors&gt;&lt;authors&gt;&lt;author&gt;Paul, R. J.&lt;/author&gt;&lt;/authors&gt;&lt;tertiary-authors&gt;&lt;author&gt;Department of Infrastructure, Planning and Environment (Northern Territory)&lt;/author&gt;&lt;/tertiary-authors&gt;&lt;subsidiary-authors&gt;&lt;author&gt;Natural Resources Division&lt;/author&gt;&lt;/subsidiary-authors&gt;&lt;/contributors&gt;&lt;titles&gt;&lt;title&gt;Helen Springs Groundwater Investigation, 2000&lt;/title&gt;&lt;/titles&gt;&lt;number&gt;Report No.: 20/2000A&lt;/number&gt;&lt;keywords&gt;&lt;keyword&gt;Groundwater Resource Assessment&lt;/keyword&gt;&lt;keyword&gt;Anthony Lagoon Beds&lt;/keyword&gt;&lt;keyword&gt;Gum Ridge Formation&lt;/keyword&gt;&lt;keyword&gt;Georgina Basin&lt;/keyword&gt;&lt;keyword&gt;Barkly Tableland&lt;/keyword&gt;&lt;keyword&gt;Helen Springs Station&lt;/keyword&gt;&lt;keyword&gt;Beetaloo Sub-basin&lt;/keyword&gt;&lt;/keywords&gt;&lt;dates&gt;&lt;year&gt;2003&lt;/year&gt;&lt;/dates&gt;&lt;pub-location&gt;Alice Springs&lt;/pub-location&gt;&lt;publisher&gt;Department of Infrastructure, Planning and Environment (Northern Territory)&lt;/publisher&gt;&lt;isbn&gt;Report No.: 20/2000A&lt;/isbn&gt;&lt;urls&gt;&lt;related-urls&gt;&lt;url&gt;&lt;style face="underline" font="default" size="100%"&gt;http://www.territorystories.nt.gov.au/bitstream/10070/246897/1/Helen_Springs_Groundwater_Investigation_2000.pdf&lt;/style&gt;&lt;/url&gt;&lt;/related-urls&gt;&lt;/urls&gt;&lt;research-notes&gt;Bruce had it as Report 223/2000A, but it seems to be at 20/2000A instead&lt;/research-notes&gt;&lt;access-date&gt;28 November 2019&lt;/access-date&gt;&lt;/record&gt;&lt;/Cite&gt;&lt;/EndNote&gt;</w:instrText>
      </w:r>
      <w:r w:rsidR="00A541ED">
        <w:fldChar w:fldCharType="separate"/>
      </w:r>
      <w:r w:rsidR="00A541ED">
        <w:rPr>
          <w:noProof/>
        </w:rPr>
        <w:t>(Paul, 2003)</w:t>
      </w:r>
      <w:r w:rsidR="00A541ED">
        <w:fldChar w:fldCharType="end"/>
      </w:r>
      <w:r w:rsidR="00F61FF2">
        <w:t>.</w:t>
      </w:r>
    </w:p>
    <w:p w14:paraId="2456D53A" w14:textId="7B1F2ADF" w:rsidR="00806073" w:rsidRDefault="00806073" w:rsidP="00C00F6D">
      <w:r>
        <w:t>Naturally occurring radionuclides</w:t>
      </w:r>
      <w:r w:rsidR="007B4596">
        <w:t>,</w:t>
      </w:r>
      <w:r>
        <w:t xml:space="preserve"> including </w:t>
      </w:r>
      <w:r w:rsidRPr="00AB5240">
        <w:rPr>
          <w:rStyle w:val="Superscript"/>
        </w:rPr>
        <w:t>226</w:t>
      </w:r>
      <w:r>
        <w:t xml:space="preserve">Ra have been noted in </w:t>
      </w:r>
      <w:r w:rsidR="007B4596">
        <w:t>groundwater from the</w:t>
      </w:r>
      <w:r>
        <w:t xml:space="preserve"> Jinduckin </w:t>
      </w:r>
      <w:r w:rsidR="007B4596">
        <w:t xml:space="preserve">Formation as well as some springs around Katherine </w:t>
      </w:r>
      <w:r w:rsidR="00A541ED">
        <w:fldChar w:fldCharType="begin"/>
      </w:r>
      <w:r w:rsidR="00F76E0D">
        <w:instrText xml:space="preserve"> ADDIN EN.CITE &lt;EndNote&gt;&lt;Cite&gt;&lt;Author&gt;Queresi&lt;/Author&gt;&lt;Year&gt;1994&lt;/Year&gt;&lt;RecNum&gt;985&lt;/RecNum&gt;&lt;DisplayText&gt;(Queresi and Noller, 1994)&lt;/DisplayText&gt;&lt;record&gt;&lt;rec-number&gt;985&lt;/rec-number&gt;&lt;foreign-keys&gt;&lt;key app="EN" db-id="wdf9tzzdhw2saee559kv0vezt0wfsta0zedv" timestamp="1557991359"&gt;985&lt;/key&gt;&lt;/foreign-keys&gt;&lt;ref-type name="Journal Article"&gt;17&lt;/ref-type&gt;&lt;contributors&gt;&lt;authors&gt;&lt;author&gt;Queresi, H.&lt;/author&gt;&lt;author&gt;Noller, B.N.&lt;/author&gt;&lt;/authors&gt;&lt;/contributors&gt;&lt;titles&gt;&lt;title&gt;Assessment of naturally occurring radionuclides in groundwater at Katherine, Northern Territory Australia. Water down under; Volume 2; Part A,&lt;/title&gt;&lt;secondary-title&gt;Groundwater papers. Preprints of papers.from 25th congress of the International Association of Hydrogeologists; Management to sustain shallow groundwater systems; pp 209-214&lt;/secondary-title&gt;&lt;/titles&gt;&lt;periodical&gt;&lt;full-title&gt;Groundwater papers. Preprints of papers.from 25th congress of the International Association of Hydrogeologists; Management to sustain shallow groundwater systems; pp 209-214&lt;/full-title&gt;&lt;/periodical&gt;&lt;dates&gt;&lt;year&gt;1994&lt;/year&gt;&lt;/dates&gt;&lt;urls&gt;&lt;/urls&gt;&lt;/record&gt;&lt;/Cite&gt;&lt;/EndNote&gt;</w:instrText>
      </w:r>
      <w:r w:rsidR="00A541ED">
        <w:fldChar w:fldCharType="separate"/>
      </w:r>
      <w:r w:rsidR="00A541ED">
        <w:rPr>
          <w:noProof/>
        </w:rPr>
        <w:t>(Queresi and Noller, 1994)</w:t>
      </w:r>
      <w:r w:rsidR="00A541ED">
        <w:fldChar w:fldCharType="end"/>
      </w:r>
      <w:r w:rsidR="007B4596">
        <w:t>. These may have a bearing on interpre</w:t>
      </w:r>
      <w:r w:rsidR="0084705D">
        <w:t>tation of some environmental tracers. Also, depending on concentrations, it could</w:t>
      </w:r>
      <w:r w:rsidR="007B4596">
        <w:t xml:space="preserve"> impose limits on use of groundwater from some parts of the aquifer. No information was available as of June 2019, as to whether this occurs in other </w:t>
      </w:r>
      <w:r w:rsidR="0084705D">
        <w:t>aquifer units of the CLA.</w:t>
      </w:r>
      <w:r w:rsidR="007B4596">
        <w:t xml:space="preserve"> </w:t>
      </w:r>
    </w:p>
    <w:p w14:paraId="6171EB80" w14:textId="325FC65B" w:rsidR="00407F26" w:rsidRDefault="00407F26" w:rsidP="001A0C62">
      <w:pPr>
        <w:pStyle w:val="Heading6"/>
      </w:pPr>
      <w:bookmarkStart w:id="685" w:name="_Ref25927725"/>
      <w:bookmarkStart w:id="686" w:name="_Ref3476167"/>
      <w:r>
        <w:t>CLA groundwater models</w:t>
      </w:r>
      <w:bookmarkEnd w:id="685"/>
    </w:p>
    <w:p w14:paraId="3CE1BA58" w14:textId="47BBC539" w:rsidR="00170135" w:rsidRDefault="00D73600" w:rsidP="00407F26">
      <w:pPr>
        <w:pStyle w:val="BodyText"/>
      </w:pPr>
      <w:r>
        <w:t xml:space="preserve">Two </w:t>
      </w:r>
      <w:r w:rsidR="00DF6E07">
        <w:t>publicly av</w:t>
      </w:r>
      <w:r w:rsidR="0084705D">
        <w:t>a</w:t>
      </w:r>
      <w:r w:rsidR="00DF6E07">
        <w:t>i</w:t>
      </w:r>
      <w:r w:rsidR="00F741B3">
        <w:t>la</w:t>
      </w:r>
      <w:r w:rsidR="0084705D">
        <w:t xml:space="preserve">ble </w:t>
      </w:r>
      <w:r>
        <w:t>regional groundwater models</w:t>
      </w:r>
      <w:r w:rsidR="00F741B3">
        <w:t>,</w:t>
      </w:r>
      <w:r>
        <w:t xml:space="preserve"> </w:t>
      </w:r>
      <w:r w:rsidR="00F741B3">
        <w:t xml:space="preserve">which encompass parts of the Beetaloo GBA region, </w:t>
      </w:r>
      <w:r>
        <w:t xml:space="preserve">have been </w:t>
      </w:r>
      <w:r w:rsidR="00843014">
        <w:t xml:space="preserve">constructed </w:t>
      </w:r>
      <w:r w:rsidR="0084705D">
        <w:t xml:space="preserve">for the CLA. </w:t>
      </w:r>
      <w:r w:rsidR="00F741B3">
        <w:t xml:space="preserve">The </w:t>
      </w:r>
      <w:r w:rsidR="004D6411">
        <w:fldChar w:fldCharType="begin"/>
      </w:r>
      <w:r w:rsidR="00F76E0D">
        <w:instrText xml:space="preserve"> ADDIN EN.CITE &lt;EndNote&gt;&lt;Cite AuthorYear="1"&gt;&lt;Author&gt;Knapton&lt;/Author&gt;&lt;Year&gt;2006&lt;/Year&gt;&lt;RecNum&gt;685&lt;/RecNum&gt;&lt;DisplayText&gt;Knapton (2006)&lt;/DisplayText&gt;&lt;record&gt;&lt;rec-number&gt;685&lt;/rec-number&gt;&lt;foreign-keys&gt;&lt;key app="EN" db-id="wdf9tzzdhw2saee559kv0vezt0wfsta0zedv" timestamp="1545264472"&gt;685&lt;/key&gt;&lt;key app="ENWeb" db-id=""&gt;0&lt;/key&gt;&lt;/foreign-keys&gt;&lt;ref-type name="Report"&gt;27&lt;/ref-type&gt;&lt;contributors&gt;&lt;authors&gt;&lt;author&gt;Knapton, Anthony&lt;/author&gt;&lt;/authors&gt;&lt;/contributors&gt;&lt;titles&gt;&lt;title&gt;Regional Groundwater Modelling of the Cambrian Limestone Aquifer System of the Wiso Basin, Georgina Basin and Daly Basin&lt;/title&gt;&lt;/titles&gt;&lt;pages&gt;60&lt;/pages&gt;&lt;number&gt;Technical Report No. 29/2006A&lt;/number&gt;&lt;keywords&gt;&lt;keyword&gt;Cambrian Limestone Aquifer&lt;/keyword&gt;&lt;keyword&gt;Wiso Basin&lt;/keyword&gt;&lt;keyword&gt;Georgina Basin&lt;/keyword&gt;&lt;keyword&gt;Daly Basin&lt;/keyword&gt;&lt;keyword&gt;Beetaloo Sub-basin&lt;/keyword&gt;&lt;keyword&gt;regional flow&lt;/keyword&gt;&lt;keyword&gt;regional groundwater systems&lt;/keyword&gt;&lt;keyword&gt;inter-basin groundwater flow&lt;/keyword&gt;&lt;keyword&gt;groundwater model&lt;/keyword&gt;&lt;/keywords&gt;&lt;dates&gt;&lt;year&gt;2006&lt;/year&gt;&lt;/dates&gt;&lt;pub-location&gt;Alice Springs&lt;/pub-location&gt;&lt;publisher&gt;Department of Natural Resources, Environment and the Arts (Northern Territory)&lt;/publisher&gt;&lt;isbn&gt;29/2006A&lt;/isbn&gt;&lt;urls&gt;&lt;related-urls&gt;&lt;url&gt;&lt;style face="underline" font="default" size="100%"&gt;http://www.territorystories.nt.gov.au/jspui/bitstream/10070/228069/1/WRA06029.pdf&lt;/style&gt;&lt;/url&gt;&lt;/related-urls&gt;&lt;/urls&gt;&lt;access-date&gt;28 November 2019&lt;/access-date&gt;&lt;/record&gt;&lt;/Cite&gt;&lt;/EndNote&gt;</w:instrText>
      </w:r>
      <w:r w:rsidR="004D6411">
        <w:fldChar w:fldCharType="separate"/>
      </w:r>
      <w:r w:rsidR="008603AE">
        <w:rPr>
          <w:noProof/>
        </w:rPr>
        <w:t>Knapton (2006)</w:t>
      </w:r>
      <w:r w:rsidR="004D6411">
        <w:fldChar w:fldCharType="end"/>
      </w:r>
      <w:r w:rsidR="00A47209">
        <w:t xml:space="preserve"> </w:t>
      </w:r>
      <w:r w:rsidR="00170135">
        <w:t xml:space="preserve">FEFLOW </w:t>
      </w:r>
      <w:r w:rsidR="00F741B3">
        <w:t xml:space="preserve">model encompasses parts of the CLA in the northern Wiso </w:t>
      </w:r>
      <w:r w:rsidR="005C4557">
        <w:t>and Georgina b</w:t>
      </w:r>
      <w:r w:rsidR="00170135">
        <w:t>asin</w:t>
      </w:r>
      <w:r w:rsidR="2B992535">
        <w:t>s</w:t>
      </w:r>
      <w:r w:rsidR="00170135">
        <w:t xml:space="preserve"> a</w:t>
      </w:r>
      <w:r w:rsidR="001C29BD">
        <w:t>s</w:t>
      </w:r>
      <w:r w:rsidR="00170135">
        <w:t xml:space="preserve"> well as the whole of the</w:t>
      </w:r>
      <w:r w:rsidR="00F741B3">
        <w:t xml:space="preserve"> Daly Basin (</w:t>
      </w:r>
      <w:r w:rsidR="005D2CA8">
        <w:t>CLA model</w:t>
      </w:r>
      <w:r w:rsidR="2EFAC62A">
        <w:t xml:space="preserve">, part of which is outlined </w:t>
      </w:r>
      <w:r w:rsidR="005D2CA8">
        <w:t xml:space="preserve">on </w:t>
      </w:r>
      <w:r w:rsidR="00F741B3">
        <w:fldChar w:fldCharType="begin"/>
      </w:r>
      <w:r w:rsidR="00F741B3">
        <w:instrText xml:space="preserve"> REF _Ref22039305 \h </w:instrText>
      </w:r>
      <w:r w:rsidR="00F741B3">
        <w:fldChar w:fldCharType="separate"/>
      </w:r>
      <w:r w:rsidR="00B177F5">
        <w:t xml:space="preserve">Figure </w:t>
      </w:r>
      <w:r w:rsidR="00B177F5">
        <w:rPr>
          <w:noProof/>
        </w:rPr>
        <w:t>29</w:t>
      </w:r>
      <w:r w:rsidR="00F741B3">
        <w:fldChar w:fldCharType="end"/>
      </w:r>
      <w:r w:rsidR="00F741B3">
        <w:t xml:space="preserve">). </w:t>
      </w:r>
      <w:r w:rsidR="00DF6E07">
        <w:t xml:space="preserve">This model </w:t>
      </w:r>
      <w:r w:rsidR="002E6955">
        <w:t>encompasses</w:t>
      </w:r>
      <w:r w:rsidR="00A3530B">
        <w:t xml:space="preserve"> some 159,000 km</w:t>
      </w:r>
      <w:r w:rsidR="00A3530B" w:rsidRPr="00A3530B">
        <w:rPr>
          <w:rStyle w:val="Superscript"/>
        </w:rPr>
        <w:t>2</w:t>
      </w:r>
      <w:r w:rsidR="00843014">
        <w:t xml:space="preserve"> including </w:t>
      </w:r>
      <w:r w:rsidR="00DF6E07">
        <w:t xml:space="preserve">the known extent of the Tindall Limestone and incorporated discharge to several rivers including Roper, Katherine, King, Flora and Douglas rivers. </w:t>
      </w:r>
      <w:r w:rsidR="00F741B3">
        <w:t xml:space="preserve">Objectives of this model were to develop a regional steady state model </w:t>
      </w:r>
      <w:r w:rsidR="00170135">
        <w:t>that would</w:t>
      </w:r>
      <w:r w:rsidR="00F741B3">
        <w:t xml:space="preserve"> provide a </w:t>
      </w:r>
      <w:r w:rsidR="005C4557">
        <w:t xml:space="preserve">regional </w:t>
      </w:r>
      <w:r w:rsidR="00F741B3">
        <w:t>framework</w:t>
      </w:r>
      <w:r w:rsidR="00A47209">
        <w:t xml:space="preserve"> </w:t>
      </w:r>
      <w:r w:rsidR="005C4557">
        <w:t>fo</w:t>
      </w:r>
      <w:r w:rsidR="00170135">
        <w:t xml:space="preserve">r a more local transient model. The transient model </w:t>
      </w:r>
      <w:r w:rsidR="005C4557">
        <w:t>focus</w:t>
      </w:r>
      <w:r w:rsidR="00E872E9">
        <w:t>ed</w:t>
      </w:r>
      <w:r w:rsidR="005C4557">
        <w:t xml:space="preserve"> on the</w:t>
      </w:r>
      <w:r w:rsidR="00F741B3">
        <w:t xml:space="preserve"> assessment of pumping scenarios on dry</w:t>
      </w:r>
      <w:r w:rsidR="00F264A9">
        <w:t>-</w:t>
      </w:r>
      <w:r w:rsidR="00F741B3">
        <w:t xml:space="preserve">season flows in the Katherine River. </w:t>
      </w:r>
    </w:p>
    <w:p w14:paraId="1F494E47" w14:textId="6535E542" w:rsidR="00407F26" w:rsidRPr="00407F26" w:rsidRDefault="001B0CC3" w:rsidP="00407F26">
      <w:pPr>
        <w:pStyle w:val="BodyText"/>
      </w:pPr>
      <w:r w:rsidRPr="00E576CB">
        <w:t xml:space="preserve">The </w:t>
      </w:r>
      <w:r w:rsidR="004D6411">
        <w:fldChar w:fldCharType="begin"/>
      </w:r>
      <w:r w:rsidR="00F76E0D">
        <w:instrText xml:space="preserve"> ADDIN EN.CITE &lt;EndNote&gt;&lt;Cite AuthorYear="1"&gt;&lt;Author&gt;Knapton&lt;/Author&gt;&lt;Year&gt;2009&lt;/Year&gt;&lt;RecNum&gt;912&lt;/RecNum&gt;&lt;DisplayText&gt;Knapton (2009)&lt;/DisplayText&gt;&lt;record&gt;&lt;rec-number&gt;912&lt;/rec-number&gt;&lt;foreign-keys&gt;&lt;key app="EN" db-id="wdf9tzzdhw2saee559kv0vezt0wfsta0zedv" timestamp="1555975788"&gt;912&lt;/key&gt;&lt;/foreign-keys&gt;&lt;ref-type name="Report"&gt;27&lt;/ref-type&gt;&lt;contributors&gt;&lt;authors&gt;&lt;author&gt;Knapton, A&lt;/author&gt;&lt;/authors&gt;&lt;/contributors&gt;&lt;titles&gt;&lt;title&gt;Gulf water study. An integrated surface - groundwater model of the Roper River Catchment, Northern Territory. Part C - Feflow groundwater model&lt;/title&gt;&lt;/titles&gt;&lt;pages&gt;60&lt;/pages&gt;&lt;number&gt;Technical Report No. 32/2009D&lt;/number&gt;&lt;dates&gt;&lt;year&gt;2009&lt;/year&gt;&lt;/dates&gt;&lt;publisher&gt;Department of Natural Resources, Environment, the Arts and Sport (NT)&lt;/publisher&gt;&lt;urls&gt;&lt;related-urls&gt;&lt;url&gt;http://dev.territorystories.nt.gov.au/jspui/handle/10070/246988?mode=full&lt;/url&gt;&lt;/related-urls&gt;&lt;/urls&gt;&lt;access-date&gt;28 November 2019&lt;/access-date&gt;&lt;/record&gt;&lt;/Cite&gt;&lt;/EndNote&gt;</w:instrText>
      </w:r>
      <w:r w:rsidR="004D6411">
        <w:fldChar w:fldCharType="separate"/>
      </w:r>
      <w:r w:rsidR="00EE00EE">
        <w:rPr>
          <w:noProof/>
        </w:rPr>
        <w:t>Knapton (2009)</w:t>
      </w:r>
      <w:r w:rsidR="004D6411">
        <w:fldChar w:fldCharType="end"/>
      </w:r>
      <w:r w:rsidR="00170135">
        <w:t xml:space="preserve"> FEFLOW model</w:t>
      </w:r>
      <w:r w:rsidR="00DF6E07">
        <w:t xml:space="preserve">(s) </w:t>
      </w:r>
      <w:r w:rsidR="00843014">
        <w:t xml:space="preserve">is in part based on the </w:t>
      </w:r>
      <w:r w:rsidR="00843014">
        <w:fldChar w:fldCharType="begin"/>
      </w:r>
      <w:r w:rsidR="00F76E0D">
        <w:instrText xml:space="preserve"> ADDIN EN.CITE &lt;EndNote&gt;&lt;Cite AuthorYear="1"&gt;&lt;Author&gt;Knapton&lt;/Author&gt;&lt;Year&gt;2006&lt;/Year&gt;&lt;RecNum&gt;685&lt;/RecNum&gt;&lt;DisplayText&gt;Knapton (2006)&lt;/DisplayText&gt;&lt;record&gt;&lt;rec-number&gt;685&lt;/rec-number&gt;&lt;foreign-keys&gt;&lt;key app="EN" db-id="wdf9tzzdhw2saee559kv0vezt0wfsta0zedv" timestamp="1545264472"&gt;685&lt;/key&gt;&lt;key app="ENWeb" db-id=""&gt;0&lt;/key&gt;&lt;/foreign-keys&gt;&lt;ref-type name="Report"&gt;27&lt;/ref-type&gt;&lt;contributors&gt;&lt;authors&gt;&lt;author&gt;Knapton, Anthony&lt;/author&gt;&lt;/authors&gt;&lt;/contributors&gt;&lt;titles&gt;&lt;title&gt;Regional Groundwater Modelling of the Cambrian Limestone Aquifer System of the Wiso Basin, Georgina Basin and Daly Basin&lt;/title&gt;&lt;/titles&gt;&lt;pages&gt;60&lt;/pages&gt;&lt;number&gt;Technical Report No. 29/2006A&lt;/number&gt;&lt;keywords&gt;&lt;keyword&gt;Cambrian Limestone Aquifer&lt;/keyword&gt;&lt;keyword&gt;Wiso Basin&lt;/keyword&gt;&lt;keyword&gt;Georgina Basin&lt;/keyword&gt;&lt;keyword&gt;Daly Basin&lt;/keyword&gt;&lt;keyword&gt;Beetaloo Sub-basin&lt;/keyword&gt;&lt;keyword&gt;regional flow&lt;/keyword&gt;&lt;keyword&gt;regional groundwater systems&lt;/keyword&gt;&lt;keyword&gt;inter-basin groundwater flow&lt;/keyword&gt;&lt;keyword&gt;groundwater model&lt;/keyword&gt;&lt;/keywords&gt;&lt;dates&gt;&lt;year&gt;2006&lt;/year&gt;&lt;/dates&gt;&lt;pub-location&gt;Alice Springs&lt;/pub-location&gt;&lt;publisher&gt;Department of Natural Resources, Environment and the Arts (Northern Territory)&lt;/publisher&gt;&lt;isbn&gt;29/2006A&lt;/isbn&gt;&lt;urls&gt;&lt;related-urls&gt;&lt;url&gt;&lt;style face="underline" font="default" size="100%"&gt;http://www.territorystories.nt.gov.au/jspui/bitstream/10070/228069/1/WRA06029.pdf&lt;/style&gt;&lt;/url&gt;&lt;/related-urls&gt;&lt;/urls&gt;&lt;access-date&gt;28 November 2019&lt;/access-date&gt;&lt;/record&gt;&lt;/Cite&gt;&lt;/EndNote&gt;</w:instrText>
      </w:r>
      <w:r w:rsidR="00843014">
        <w:fldChar w:fldCharType="separate"/>
      </w:r>
      <w:r w:rsidR="00843014">
        <w:rPr>
          <w:noProof/>
        </w:rPr>
        <w:t>Knapton (2006)</w:t>
      </w:r>
      <w:r w:rsidR="00843014">
        <w:fldChar w:fldCharType="end"/>
      </w:r>
      <w:r w:rsidR="00843014">
        <w:t xml:space="preserve"> model, was</w:t>
      </w:r>
      <w:r w:rsidR="00DF6E07">
        <w:t xml:space="preserve"> undertaken as part of the Gul</w:t>
      </w:r>
      <w:r w:rsidR="00A3530B">
        <w:t xml:space="preserve">f Water Study </w:t>
      </w:r>
      <w:r w:rsidR="004D6411">
        <w:fldChar w:fldCharType="begin"/>
      </w:r>
      <w:r w:rsidR="005D0C32">
        <w:instrText xml:space="preserve"> ADDIN EN.CITE &lt;EndNote&gt;&lt;Cite&gt;&lt;Author&gt;Zaar&lt;/Author&gt;&lt;Year&gt;2009&lt;/Year&gt;&lt;RecNum&gt;1350&lt;/RecNum&gt;&lt;DisplayText&gt;(Zaar, 2009b)&lt;/DisplayText&gt;&lt;record&gt;&lt;rec-number&gt;1350&lt;/rec-number&gt;&lt;foreign-keys&gt;&lt;key app="EN" db-id="wdf9tzzdhw2saee559kv0vezt0wfsta0zedv" timestamp="1571355096"&gt;1350&lt;/key&gt;&lt;/foreign-keys&gt;&lt;ref-type name="Report"&gt;27&lt;/ref-type&gt;&lt;contributors&gt;&lt;authors&gt;&lt;author&gt;Zaar, Ursula&lt;/author&gt;&lt;/authors&gt;&lt;/contributors&gt;&lt;titles&gt;&lt;title&gt;Gulf water study - water resources of the Roper River region&lt;/title&gt;&lt;/titles&gt;&lt;pages&gt;218&lt;/pages&gt;&lt;number&gt;16/2009D&lt;/number&gt;&lt;num-vols&gt;16/2009D&lt;/num-vols&gt;&lt;dates&gt;&lt;year&gt;2009&lt;/year&gt;&lt;/dates&gt;&lt;publisher&gt;Department of Natural Resources, Environment the Arts and Sport (NT)&lt;/publisher&gt;&lt;urls&gt;&lt;related-urls&gt;&lt;url&gt;https://www.territorystories.nt.gov.au/bitstream/10070/235217/1/Roper.pdf&lt;/url&gt;&lt;/related-urls&gt;&lt;/urls&gt;&lt;access-date&gt;10 March 2020&lt;/access-date&gt;&lt;/record&gt;&lt;/Cite&gt;&lt;/EndNote&gt;</w:instrText>
      </w:r>
      <w:r w:rsidR="004D6411">
        <w:fldChar w:fldCharType="separate"/>
      </w:r>
      <w:r w:rsidR="005D0C32">
        <w:rPr>
          <w:noProof/>
        </w:rPr>
        <w:t>(Zaar, 2009b)</w:t>
      </w:r>
      <w:r w:rsidR="004D6411">
        <w:fldChar w:fldCharType="end"/>
      </w:r>
      <w:r w:rsidR="00A3530B">
        <w:t>, which included the</w:t>
      </w:r>
      <w:r w:rsidR="00DF6E07">
        <w:t xml:space="preserve"> development of an integrated surface and groundwater model for the Roper River catchment</w:t>
      </w:r>
      <w:r w:rsidR="005D2CA8">
        <w:t xml:space="preserve"> (Roper River Catchment on Figure 29)</w:t>
      </w:r>
      <w:r w:rsidR="00A3530B">
        <w:t xml:space="preserve">. </w:t>
      </w:r>
      <w:r>
        <w:t xml:space="preserve">The integrated Roper River </w:t>
      </w:r>
      <w:r w:rsidR="002E1294">
        <w:t>c</w:t>
      </w:r>
      <w:r>
        <w:t xml:space="preserve">atchment model encompasses the whole of the Roper River </w:t>
      </w:r>
      <w:r w:rsidR="001C29BD">
        <w:t>c</w:t>
      </w:r>
      <w:r>
        <w:t>atchment (approximately 81,800</w:t>
      </w:r>
      <w:r w:rsidR="001C29BD">
        <w:t> </w:t>
      </w:r>
      <w:r>
        <w:t>km</w:t>
      </w:r>
      <w:r w:rsidRPr="001B0CC3">
        <w:rPr>
          <w:rStyle w:val="Superscript"/>
        </w:rPr>
        <w:t>2</w:t>
      </w:r>
      <w:r>
        <w:t xml:space="preserve">. </w:t>
      </w:r>
      <w:r w:rsidR="00A3530B">
        <w:t xml:space="preserve">The purpose of this integrated model was to provide quantitative information for water allocation plans </w:t>
      </w:r>
      <w:r w:rsidR="004D6411">
        <w:fldChar w:fldCharType="begin"/>
      </w:r>
      <w:r w:rsidR="00F76E0D">
        <w:instrText xml:space="preserve"> ADDIN EN.CITE &lt;EndNote&gt;&lt;Cite&gt;&lt;Author&gt;Knapton&lt;/Author&gt;&lt;Year&gt;2009&lt;/Year&gt;&lt;RecNum&gt;912&lt;/RecNum&gt;&lt;DisplayText&gt;(Knapton, 2009)&lt;/DisplayText&gt;&lt;record&gt;&lt;rec-number&gt;912&lt;/rec-number&gt;&lt;foreign-keys&gt;&lt;key app="EN" db-id="wdf9tzzdhw2saee559kv0vezt0wfsta0zedv" timestamp="1555975788"&gt;912&lt;/key&gt;&lt;/foreign-keys&gt;&lt;ref-type name="Report"&gt;27&lt;/ref-type&gt;&lt;contributors&gt;&lt;authors&gt;&lt;author&gt;Knapton, A&lt;/author&gt;&lt;/authors&gt;&lt;/contributors&gt;&lt;titles&gt;&lt;title&gt;Gulf water study. An integrated surface - groundwater model of the Roper River Catchment, Northern Territory. Part C - Feflow groundwater model&lt;/title&gt;&lt;/titles&gt;&lt;pages&gt;60&lt;/pages&gt;&lt;number&gt;Technical Report No. 32/2009D&lt;/number&gt;&lt;dates&gt;&lt;year&gt;2009&lt;/year&gt;&lt;/dates&gt;&lt;publisher&gt;Department of Natural Resources, Environment, the Arts and Sport (NT)&lt;/publisher&gt;&lt;urls&gt;&lt;related-urls&gt;&lt;url&gt;http://dev.territorystories.nt.gov.au/jspui/handle/10070/246988?mode=full&lt;/url&gt;&lt;/related-urls&gt;&lt;/urls&gt;&lt;access-date&gt;28 November 2019&lt;/access-date&gt;&lt;/record&gt;&lt;/Cite&gt;&lt;/EndNote&gt;</w:instrText>
      </w:r>
      <w:r w:rsidR="004D6411">
        <w:fldChar w:fldCharType="separate"/>
      </w:r>
      <w:r w:rsidR="004D6411">
        <w:rPr>
          <w:noProof/>
        </w:rPr>
        <w:t>(Knapton, 2009)</w:t>
      </w:r>
      <w:r w:rsidR="004D6411">
        <w:fldChar w:fldCharType="end"/>
      </w:r>
      <w:r>
        <w:t>.</w:t>
      </w:r>
      <w:r w:rsidR="00A3530B">
        <w:t xml:space="preserve"> </w:t>
      </w:r>
      <w:r w:rsidR="00DF6E07">
        <w:t>However, this time objectives of the Knapton (2009) FEFLOW model(s) were to provide a model framework to understand discharge to Roper River from the CLA as well as contributions from Meso-Proterozoic aged dolostone aquifers (Dook Creek Formation). This framework was used to assess impacts on baseflow from groundwater pumping</w:t>
      </w:r>
      <w:r w:rsidR="00A3530B">
        <w:t xml:space="preserve">. The CLA component of the </w:t>
      </w:r>
      <w:r w:rsidR="004D6411">
        <w:fldChar w:fldCharType="begin"/>
      </w:r>
      <w:r w:rsidR="00F76E0D">
        <w:instrText xml:space="preserve"> ADDIN EN.CITE &lt;EndNote&gt;&lt;Cite AuthorYear="1"&gt;&lt;Author&gt;Knapton&lt;/Author&gt;&lt;Year&gt;2009&lt;/Year&gt;&lt;RecNum&gt;912&lt;/RecNum&gt;&lt;DisplayText&gt;Knapton (2009)&lt;/DisplayText&gt;&lt;record&gt;&lt;rec-number&gt;912&lt;/rec-number&gt;&lt;foreign-keys&gt;&lt;key app="EN" db-id="wdf9tzzdhw2saee559kv0vezt0wfsta0zedv" timestamp="1555975788"&gt;912&lt;/key&gt;&lt;/foreign-keys&gt;&lt;ref-type name="Report"&gt;27&lt;/ref-type&gt;&lt;contributors&gt;&lt;authors&gt;&lt;author&gt;Knapton, A&lt;/author&gt;&lt;/authors&gt;&lt;/contributors&gt;&lt;titles&gt;&lt;title&gt;Gulf water study. An integrated surface - groundwater model of the Roper River Catchment, Northern Territory. Part C - Feflow groundwater model&lt;/title&gt;&lt;/titles&gt;&lt;pages&gt;60&lt;/pages&gt;&lt;number&gt;Technical Report No. 32/2009D&lt;/number&gt;&lt;dates&gt;&lt;year&gt;2009&lt;/year&gt;&lt;/dates&gt;&lt;publisher&gt;Department of Natural Resources, Environment, the Arts and Sport (NT)&lt;/publisher&gt;&lt;urls&gt;&lt;related-urls&gt;&lt;url&gt;http://dev.territorystories.nt.gov.au/jspui/handle/10070/246988?mode=full&lt;/url&gt;&lt;/related-urls&gt;&lt;/urls&gt;&lt;access-date&gt;28 November 2019&lt;/access-date&gt;&lt;/record&gt;&lt;/Cite&gt;&lt;/EndNote&gt;</w:instrText>
      </w:r>
      <w:r w:rsidR="004D6411">
        <w:fldChar w:fldCharType="separate"/>
      </w:r>
      <w:r w:rsidR="004F1F69">
        <w:rPr>
          <w:noProof/>
        </w:rPr>
        <w:t>Knapton (2009)</w:t>
      </w:r>
      <w:r w:rsidR="004D6411">
        <w:fldChar w:fldCharType="end"/>
      </w:r>
      <w:r w:rsidR="00A3530B">
        <w:t xml:space="preserve"> model is largely based on </w:t>
      </w:r>
      <w:r w:rsidR="00DF6E07">
        <w:t xml:space="preserve">the </w:t>
      </w:r>
      <w:r w:rsidR="004D6411">
        <w:fldChar w:fldCharType="begin"/>
      </w:r>
      <w:r w:rsidR="00F76E0D">
        <w:instrText xml:space="preserve"> ADDIN EN.CITE &lt;EndNote&gt;&lt;Cite AuthorYear="1"&gt;&lt;Author&gt;Knapton&lt;/Author&gt;&lt;Year&gt;2006&lt;/Year&gt;&lt;RecNum&gt;685&lt;/RecNum&gt;&lt;DisplayText&gt;Knapton (2006)&lt;/DisplayText&gt;&lt;record&gt;&lt;rec-number&gt;685&lt;/rec-number&gt;&lt;foreign-keys&gt;&lt;key app="EN" db-id="wdf9tzzdhw2saee559kv0vezt0wfsta0zedv" timestamp="1545264472"&gt;685&lt;/key&gt;&lt;key app="ENWeb" db-id=""&gt;0&lt;/key&gt;&lt;/foreign-keys&gt;&lt;ref-type name="Report"&gt;27&lt;/ref-type&gt;&lt;contributors&gt;&lt;authors&gt;&lt;author&gt;Knapton, Anthony&lt;/author&gt;&lt;/authors&gt;&lt;/contributors&gt;&lt;titles&gt;&lt;title&gt;Regional Groundwater Modelling of the Cambrian Limestone Aquifer System of the Wiso Basin, Georgina Basin and Daly Basin&lt;/title&gt;&lt;/titles&gt;&lt;pages&gt;60&lt;/pages&gt;&lt;number&gt;Technical Report No. 29/2006A&lt;/number&gt;&lt;keywords&gt;&lt;keyword&gt;Cambrian Limestone Aquifer&lt;/keyword&gt;&lt;keyword&gt;Wiso Basin&lt;/keyword&gt;&lt;keyword&gt;Georgina Basin&lt;/keyword&gt;&lt;keyword&gt;Daly Basin&lt;/keyword&gt;&lt;keyword&gt;Beetaloo Sub-basin&lt;/keyword&gt;&lt;keyword&gt;regional flow&lt;/keyword&gt;&lt;keyword&gt;regional groundwater systems&lt;/keyword&gt;&lt;keyword&gt;inter-basin groundwater flow&lt;/keyword&gt;&lt;keyword&gt;groundwater model&lt;/keyword&gt;&lt;/keywords&gt;&lt;dates&gt;&lt;year&gt;2006&lt;/year&gt;&lt;/dates&gt;&lt;pub-location&gt;Alice Springs&lt;/pub-location&gt;&lt;publisher&gt;Department of Natural Resources, Environment and the Arts (Northern Territory)&lt;/publisher&gt;&lt;isbn&gt;29/2006A&lt;/isbn&gt;&lt;urls&gt;&lt;related-urls&gt;&lt;url&gt;&lt;style face="underline" font="default" size="100%"&gt;http://www.territorystories.nt.gov.au/jspui/bitstream/10070/228069/1/WRA06029.pdf&lt;/style&gt;&lt;/url&gt;&lt;/related-urls&gt;&lt;/urls&gt;&lt;access-date&gt;28 November 2019&lt;/access-date&gt;&lt;/record&gt;&lt;/Cite&gt;&lt;/EndNote&gt;</w:instrText>
      </w:r>
      <w:r w:rsidR="004D6411">
        <w:fldChar w:fldCharType="separate"/>
      </w:r>
      <w:r w:rsidR="00BC728A">
        <w:rPr>
          <w:noProof/>
        </w:rPr>
        <w:t>Knapton (2006)</w:t>
      </w:r>
      <w:r w:rsidR="004D6411">
        <w:fldChar w:fldCharType="end"/>
      </w:r>
      <w:r w:rsidR="00DF6E07">
        <w:t xml:space="preserve"> model.</w:t>
      </w:r>
    </w:p>
    <w:p w14:paraId="7B54F69B" w14:textId="4FE9BFCD" w:rsidR="0084705D" w:rsidRDefault="00EE27B7" w:rsidP="00EE27B7">
      <w:pPr>
        <w:pStyle w:val="Figures"/>
      </w:pPr>
      <w:r>
        <w:rPr>
          <w:noProof/>
        </w:rPr>
        <w:drawing>
          <wp:inline distT="0" distB="0" distL="0" distR="0" wp14:anchorId="153E736B" wp14:editId="275905DA">
            <wp:extent cx="6115050" cy="6000750"/>
            <wp:effectExtent l="0" t="0" r="0" b="0"/>
            <wp:docPr id="512985149" name="Picture 5" descr="T:\proj\ba2\Stage2\3_Beetaloo\MapsAndFigures\Figures\GBA-BEE-2-415_Daly_GW_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86">
                      <a:extLst>
                        <a:ext uri="{28A0092B-C50C-407E-A947-70E740481C1C}">
                          <a14:useLocalDpi xmlns:a14="http://schemas.microsoft.com/office/drawing/2010/main" val="0"/>
                        </a:ext>
                      </a:extLst>
                    </a:blip>
                    <a:stretch>
                      <a:fillRect/>
                    </a:stretch>
                  </pic:blipFill>
                  <pic:spPr>
                    <a:xfrm>
                      <a:off x="0" y="0"/>
                      <a:ext cx="6115050" cy="6000750"/>
                    </a:xfrm>
                    <a:prstGeom prst="rect">
                      <a:avLst/>
                    </a:prstGeom>
                  </pic:spPr>
                </pic:pic>
              </a:graphicData>
            </a:graphic>
          </wp:inline>
        </w:drawing>
      </w:r>
    </w:p>
    <w:p w14:paraId="62223025" w14:textId="49DB48F7" w:rsidR="0084705D" w:rsidRDefault="0084705D" w:rsidP="0084705D">
      <w:pPr>
        <w:pStyle w:val="Caption"/>
      </w:pPr>
      <w:bookmarkStart w:id="687" w:name="_Ref22039305"/>
      <w:bookmarkStart w:id="688" w:name="_Toc38990483"/>
      <w:r>
        <w:t xml:space="preserve">Figure </w:t>
      </w:r>
      <w:r>
        <w:rPr>
          <w:noProof/>
        </w:rPr>
        <w:fldChar w:fldCharType="begin"/>
      </w:r>
      <w:r>
        <w:rPr>
          <w:noProof/>
        </w:rPr>
        <w:instrText xml:space="preserve"> SEQ Figure \* ARABIC </w:instrText>
      </w:r>
      <w:r>
        <w:rPr>
          <w:noProof/>
        </w:rPr>
        <w:fldChar w:fldCharType="separate"/>
      </w:r>
      <w:r w:rsidR="00B177F5">
        <w:rPr>
          <w:noProof/>
        </w:rPr>
        <w:t>29</w:t>
      </w:r>
      <w:r>
        <w:rPr>
          <w:noProof/>
        </w:rPr>
        <w:fldChar w:fldCharType="end"/>
      </w:r>
      <w:bookmarkEnd w:id="687"/>
      <w:r>
        <w:t xml:space="preserve"> Reg</w:t>
      </w:r>
      <w:r w:rsidR="00170135">
        <w:t>i</w:t>
      </w:r>
      <w:r>
        <w:t>onal groundwater model domains</w:t>
      </w:r>
      <w:bookmarkEnd w:id="688"/>
    </w:p>
    <w:p w14:paraId="754FBE5C" w14:textId="264209B4" w:rsidR="00AE6881" w:rsidRDefault="00AE6881" w:rsidP="00AE6881">
      <w:pPr>
        <w:pStyle w:val="SourceornoteforTableorFigure"/>
        <w:contextualSpacing/>
      </w:pPr>
      <w:r>
        <w:t>Data:</w:t>
      </w:r>
      <w:r w:rsidR="00FB0867">
        <w:t xml:space="preserve">NGIS </w:t>
      </w:r>
      <w:r w:rsidR="00B9681B">
        <w:fldChar w:fldCharType="begin"/>
      </w:r>
      <w:r w:rsidR="00F76E0D">
        <w:instrText xml:space="preserve"> ADDIN EN.CITE &lt;EndNote&gt;&lt;Cite&gt;&lt;Author&gt;Bureau of Meteorology&lt;/Author&gt;&lt;Year&gt;2012&lt;/Year&gt;&lt;RecNum&gt;1072&lt;/RecNum&gt;&lt;DisplayText&gt;(Bureau of Meteorology, 2012)&lt;/DisplayText&gt;&lt;record&gt;&lt;rec-number&gt;1072&lt;/rec-number&gt;&lt;foreign-keys&gt;&lt;key app="EN" db-id="wdf9tzzdhw2saee559kv0vezt0wfsta0zedv" timestamp="1561031795"&gt;1072&lt;/key&gt;&lt;/foreign-keys&gt;&lt;ref-type name="Dataset"&gt;59&lt;/ref-type&gt;&lt;contributors&gt;&lt;authors&gt;&lt;author&gt;Bureau of Meteorology,&lt;/author&gt;&lt;/authors&gt;&lt;secondary-authors&gt;&lt;author&gt;Geoscience, Australia&lt;/author&gt;&lt;/secondary-authors&gt;&lt;/contributors&gt;&lt;titles&gt;&lt;title&gt;Geofabric Surface Cartography&lt;/title&gt;&lt;/titles&gt;&lt;keywords&gt;&lt;keyword&gt;WATER Hydrology Mapping&lt;/keyword&gt;&lt;/keywords&gt;&lt;dates&gt;&lt;year&gt;2012&lt;/year&gt;&lt;/dates&gt;&lt;pub-location&gt;Canberra&lt;/pub-location&gt;&lt;label&gt;319C8AAA-4EBD-438F-BD11-968DFA030CF5&lt;/label&gt;&lt;urls&gt;&lt;related-urls&gt;&lt;url&gt;http://www.bom.gov.au/water/geofabric/documents/v2_1/ahgf_dps_surface_cartography_V2_1_release.pdf&lt;/url&gt;&lt;/related-urls&gt;&lt;/urls&gt;&lt;custom2&gt;unit of observation&lt;/custom2&gt;&lt;custom3&gt;spatial&lt;/custom3&gt;&lt;custom4&gt;dataset&lt;/custom4&gt;&lt;access-date&gt;29 January 2018&lt;/access-date&gt;&lt;/record&gt;&lt;/Cite&gt;&lt;/EndNote&gt;</w:instrText>
      </w:r>
      <w:r w:rsidR="00B9681B">
        <w:fldChar w:fldCharType="separate"/>
      </w:r>
      <w:r w:rsidR="00B9681B">
        <w:rPr>
          <w:noProof/>
        </w:rPr>
        <w:t>(Bureau of Meteorology, 2012)</w:t>
      </w:r>
      <w:r w:rsidR="00B9681B">
        <w:fldChar w:fldCharType="end"/>
      </w:r>
      <w:r w:rsidR="00FB0867">
        <w:t xml:space="preserve">; </w:t>
      </w:r>
      <w:r w:rsidR="001C29BD">
        <w:t>m</w:t>
      </w:r>
      <w:r w:rsidR="00FB0867">
        <w:t xml:space="preserve">odel boundary for the Cambrian Limestone Aquifer </w:t>
      </w:r>
      <w:r w:rsidR="00FB0867">
        <w:fldChar w:fldCharType="begin"/>
      </w:r>
      <w:r w:rsidR="005D0C32">
        <w:instrText xml:space="preserve"> ADDIN EN.CITE &lt;EndNote&gt;&lt;Cite&gt;&lt;Author&gt;Geological and Bioregional Assessment Program&lt;/Author&gt;&lt;Year&gt;2019&lt;/Year&gt;&lt;RecNum&gt;1368&lt;/RecNum&gt;&lt;DisplayText&gt;(Geological and Bioregional Assessment Program, 2019j)&lt;/DisplayText&gt;&lt;record&gt;&lt;rec-number&gt;1368&lt;/rec-number&gt;&lt;foreign-keys&gt;&lt;key app="EN" db-id="wdf9tzzdhw2saee559kv0vezt0wfsta0zedv" timestamp="1574895995"&gt;1368&lt;/key&gt;&lt;/foreign-keys&gt;&lt;ref-type name="Dataset"&gt;59&lt;/ref-type&gt;&lt;contributors&gt;&lt;authors&gt;&lt;author&gt;Geological and Bioregional Assessment Program,&lt;/author&gt;&lt;/authors&gt;&lt;secondary-authors&gt;&lt;author&gt;Anthony Knapton&lt;/author&gt;&lt;/secondary-authors&gt;&lt;/contributors&gt;&lt;titles&gt;&lt;title&gt;Regional groundwater model boundary for the Cambrian Limestone Aquifer, Model describe in Knapton (2006) and Knapton (2009). See stage 2 Beetaloo technical report for further detail&lt;/title&gt;&lt;/titles&gt;&lt;dates&gt;&lt;year&gt;2019&lt;/year&gt;&lt;/dates&gt;&lt;label&gt;1AB02C99-D8E9-48C5-8629-E049F85FF2AB&lt;/label&gt;&lt;urls&gt;&lt;related-urls&gt;&lt;url&gt;https://repo.bioregionalassessments.gov.au/metadata/1AB02C99-D8E9-48C5-8629-E049F85FF2AB&lt;/url&gt;&lt;/related-urls&gt;&lt;/urls&gt;&lt;access-date&gt;6 November 2019&lt;/access-date&gt;&lt;/record&gt;&lt;/Cite&gt;&lt;/EndNote&gt;</w:instrText>
      </w:r>
      <w:r w:rsidR="00FB0867">
        <w:fldChar w:fldCharType="separate"/>
      </w:r>
      <w:r w:rsidR="005D0C32">
        <w:rPr>
          <w:noProof/>
        </w:rPr>
        <w:t>(Geological and Bioregional Assessment Program, 2019j)</w:t>
      </w:r>
      <w:r w:rsidR="00FB0867">
        <w:fldChar w:fldCharType="end"/>
      </w:r>
    </w:p>
    <w:p w14:paraId="5BB11283" w14:textId="1FC8CC3B" w:rsidR="00AE6881" w:rsidRPr="00A61A49" w:rsidRDefault="00AE6881" w:rsidP="00AE6881">
      <w:pPr>
        <w:pStyle w:val="SourceornoteforTableorFigure"/>
        <w:contextualSpacing/>
      </w:pPr>
      <w:r w:rsidRPr="00A61A49">
        <w:t xml:space="preserve">Element: </w:t>
      </w:r>
      <w:r w:rsidRPr="00B11329">
        <w:t>GBA-BEE-2-</w:t>
      </w:r>
      <w:r>
        <w:t>415</w:t>
      </w:r>
    </w:p>
    <w:p w14:paraId="51C47178" w14:textId="54F3E037" w:rsidR="00F8265E" w:rsidRPr="00E7211A" w:rsidRDefault="00F8265E" w:rsidP="001A0C62">
      <w:pPr>
        <w:pStyle w:val="Heading6"/>
      </w:pPr>
      <w:r w:rsidRPr="00E7211A">
        <w:t xml:space="preserve">Water </w:t>
      </w:r>
      <w:r w:rsidR="005019F5">
        <w:t>b</w:t>
      </w:r>
      <w:r w:rsidRPr="00E7211A">
        <w:t xml:space="preserve">alance </w:t>
      </w:r>
      <w:r w:rsidR="00C0332E">
        <w:t>est</w:t>
      </w:r>
      <w:r w:rsidR="00607C37">
        <w:t>i</w:t>
      </w:r>
      <w:r w:rsidR="00C0332E">
        <w:t>mates</w:t>
      </w:r>
      <w:bookmarkEnd w:id="686"/>
    </w:p>
    <w:p w14:paraId="168C2852" w14:textId="1F26C299" w:rsidR="00F8265E" w:rsidRDefault="004965B9" w:rsidP="00C00F6D">
      <w:r>
        <w:t>A</w:t>
      </w:r>
      <w:r w:rsidR="00F8265E">
        <w:t xml:space="preserve"> water balance for </w:t>
      </w:r>
      <w:r w:rsidR="0080221E">
        <w:t xml:space="preserve">the </w:t>
      </w:r>
      <w:r w:rsidR="00F8265E">
        <w:t xml:space="preserve">Cambrian </w:t>
      </w:r>
      <w:r w:rsidR="0080221E">
        <w:t>L</w:t>
      </w:r>
      <w:r w:rsidR="00F8265E">
        <w:t xml:space="preserve">imestone </w:t>
      </w:r>
      <w:r w:rsidR="0080221E">
        <w:t>A</w:t>
      </w:r>
      <w:r w:rsidR="00F8265E">
        <w:t xml:space="preserve">quifer </w:t>
      </w:r>
      <w:r>
        <w:t xml:space="preserve">in the area encompassed by the Beetaloo GBA region </w:t>
      </w:r>
      <w:r w:rsidR="00F8265E">
        <w:t xml:space="preserve">is complicated by </w:t>
      </w:r>
      <w:r w:rsidR="00A02D72">
        <w:t xml:space="preserve">the </w:t>
      </w:r>
      <w:r w:rsidR="00F8265E">
        <w:t xml:space="preserve">fact that </w:t>
      </w:r>
      <w:r w:rsidR="00843014">
        <w:t xml:space="preserve">the area </w:t>
      </w:r>
      <w:r w:rsidR="005C749E">
        <w:t xml:space="preserve">includes </w:t>
      </w:r>
      <w:r w:rsidR="00D911A6">
        <w:t>several</w:t>
      </w:r>
      <w:r w:rsidR="005C749E">
        <w:t xml:space="preserve"> regional </w:t>
      </w:r>
      <w:r w:rsidR="00D911A6">
        <w:t xml:space="preserve">groundwater </w:t>
      </w:r>
      <w:r w:rsidR="005C749E">
        <w:t>flow systems segregat</w:t>
      </w:r>
      <w:r w:rsidR="009701F8">
        <w:t>ed by groundwater divides (S</w:t>
      </w:r>
      <w:r w:rsidR="005C749E">
        <w:t xml:space="preserve">ection </w:t>
      </w:r>
      <w:r w:rsidR="00FB274F">
        <w:fldChar w:fldCharType="begin"/>
      </w:r>
      <w:r w:rsidR="00FB274F">
        <w:instrText xml:space="preserve"> REF _Ref1561690 \r \h </w:instrText>
      </w:r>
      <w:r w:rsidR="00FB274F">
        <w:fldChar w:fldCharType="separate"/>
      </w:r>
      <w:r w:rsidR="00B177F5">
        <w:t>3.3.3.2.1</w:t>
      </w:r>
      <w:r w:rsidR="00FB274F">
        <w:fldChar w:fldCharType="end"/>
      </w:r>
      <w:r w:rsidR="00FB274F">
        <w:t>)</w:t>
      </w:r>
      <w:r>
        <w:t xml:space="preserve">. Also, </w:t>
      </w:r>
      <w:r w:rsidR="009701F8">
        <w:t xml:space="preserve">previous water balance </w:t>
      </w:r>
      <w:r>
        <w:t>calculations</w:t>
      </w:r>
      <w:r w:rsidR="009701F8">
        <w:t xml:space="preserve"> cover different </w:t>
      </w:r>
      <w:r>
        <w:t>portions</w:t>
      </w:r>
      <w:r w:rsidR="009701F8">
        <w:t xml:space="preserve"> of the </w:t>
      </w:r>
      <w:r w:rsidR="0080221E">
        <w:t>CLA</w:t>
      </w:r>
      <w:r w:rsidR="009701F8">
        <w:t xml:space="preserve"> </w:t>
      </w:r>
      <w:r w:rsidR="00A541ED">
        <w:fldChar w:fldCharType="begin">
          <w:fldData xml:space="preserve">PEVuZE5vdGU+PENpdGU+PEF1dGhvcj5UaWNrZWxsPC9BdXRob3I+PFllYXI+MjAxNzwvWWVhcj48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</w:fldData>
        </w:fldChar>
      </w:r>
      <w:r w:rsidR="008F30E0">
        <w:instrText xml:space="preserve"> ADDIN EN.CITE </w:instrText>
      </w:r>
      <w:r w:rsidR="008F30E0">
        <w:fldChar w:fldCharType="begin">
          <w:fldData xml:space="preserve">PEVuZE5vdGU+PENpdGU+PEF1dGhvcj5UaWNrZWxsPC9BdXRob3I+PFllYXI+MjAxNzwvWWVhcj48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</w:fldData>
        </w:fldChar>
      </w:r>
      <w:r w:rsidR="008F30E0">
        <w:instrText xml:space="preserve"> ADDIN EN.CITE.DATA </w:instrText>
      </w:r>
      <w:r w:rsidR="008F30E0">
        <w:fldChar w:fldCharType="end"/>
      </w:r>
      <w:r w:rsidR="00A541ED">
        <w:fldChar w:fldCharType="separate"/>
      </w:r>
      <w:r w:rsidR="008F30E0">
        <w:rPr>
          <w:noProof/>
        </w:rPr>
        <w:t>(Tickell and Bruwer, 2017; Fulton and Knapton, 2015b; Knapton, 2006)</w:t>
      </w:r>
      <w:r w:rsidR="00A541ED">
        <w:fldChar w:fldCharType="end"/>
      </w:r>
      <w:r w:rsidR="009701F8">
        <w:t xml:space="preserve">. </w:t>
      </w:r>
    </w:p>
    <w:p w14:paraId="18DA34D3" w14:textId="063F1A7D" w:rsidR="005035E6" w:rsidRDefault="00C0332E" w:rsidP="00C00F6D">
      <w:r>
        <w:t>A</w:t>
      </w:r>
      <w:r w:rsidR="00F14739">
        <w:t xml:space="preserve"> water balance </w:t>
      </w:r>
      <w:r>
        <w:t xml:space="preserve">estimate </w:t>
      </w:r>
      <w:r w:rsidR="00F14739">
        <w:t xml:space="preserve">for the Cambrian limestone aquifers in the </w:t>
      </w:r>
      <w:r w:rsidR="00D63AB4">
        <w:t>Georgina</w:t>
      </w:r>
      <w:r w:rsidR="001C29BD">
        <w:t xml:space="preserve"> Basin to </w:t>
      </w:r>
      <w:r>
        <w:t xml:space="preserve">southern </w:t>
      </w:r>
      <w:r w:rsidR="00D63AB4">
        <w:t xml:space="preserve">Daly </w:t>
      </w:r>
      <w:r w:rsidR="001C29BD">
        <w:t>B</w:t>
      </w:r>
      <w:r w:rsidR="00D63AB4">
        <w:t>asin</w:t>
      </w:r>
      <w:r w:rsidRPr="00C0332E">
        <w:t xml:space="preserve"> </w:t>
      </w:r>
      <w:r w:rsidR="00A541ED">
        <w:fldChar w:fldCharType="begin"/>
      </w:r>
      <w:r w:rsidR="00F76E0D">
        <w:instrText xml:space="preserve"> ADDIN EN.CITE &lt;EndNote&gt;&lt;Cite&gt;&lt;Author&gt;Tickell&lt;/Author&gt;&lt;Year&gt;2017&lt;/Year&gt;&lt;RecNum&gt;695&lt;/RecNum&gt;&lt;DisplayText&gt;(Tickell and Bruwer, 2017)&lt;/DisplayText&gt;&lt;record&gt;&lt;rec-number&gt;695&lt;/rec-number&gt;&lt;foreign-keys&gt;&lt;key app="EN" db-id="wdf9tzzdhw2saee559kv0vezt0wfsta0zedv" timestamp="1545264525"&gt;695&lt;/key&gt;&lt;key app="ENWeb" db-id=""&gt;0&lt;/key&gt;&lt;/foreign-keys&gt;&lt;ref-type name="Report"&gt;27&lt;/ref-type&gt;&lt;contributors&gt;&lt;authors&gt;&lt;author&gt;Tickell, Stephen. J.&lt;/author&gt;&lt;author&gt;Bruwer, Quentin&lt;/author&gt;&lt;/authors&gt;&lt;tertiary-authors&gt;&lt;author&gt;Northern Territory Department of Environment and Natural Resources&lt;/author&gt;&lt;/tertiary-authors&gt;&lt;subsidiary-authors&gt;&lt;author&gt;Water Resources Division&lt;/author&gt;&lt;/subsidiary-authors&gt;&lt;/contributors&gt;&lt;titles&gt;&lt;title&gt;Georgina Basin Groundwater Assessment: Daly Waters to Tennant Creek&lt;/title&gt;&lt;/titles&gt;&lt;pages&gt;108&lt;/pages&gt;&lt;number&gt;Technical Report 17/2017&lt;/number&gt;&lt;dates&gt;&lt;year&gt;2017&lt;/year&gt;&lt;/dates&gt;&lt;publisher&gt;Northern Territory Department of Environment and Natural Resources&lt;/publisher&gt;&lt;isbn&gt;Technical Report 17/2017&lt;/isbn&gt;&lt;urls&gt;&lt;related-urls&gt;&lt;url&gt;&lt;style face="underline" font="default" size="100%"&gt;http://www.territorystories.nt.gov.au/jspui/handle/10070/304921&lt;/style&gt;&lt;/url&gt;&lt;/related-urls&gt;&lt;/urls&gt;&lt;access-date&gt;20 April 2020&lt;/access-date&gt;&lt;/record&gt;&lt;/Cite&gt;&lt;/EndNote&gt;</w:instrText>
      </w:r>
      <w:r w:rsidR="00A541ED">
        <w:fldChar w:fldCharType="separate"/>
      </w:r>
      <w:r w:rsidR="007E7B35">
        <w:rPr>
          <w:noProof/>
        </w:rPr>
        <w:t>(Tickell and Bruwer, 2017)</w:t>
      </w:r>
      <w:r w:rsidR="00A541ED">
        <w:fldChar w:fldCharType="end"/>
      </w:r>
      <w:r w:rsidR="00F14739">
        <w:t xml:space="preserve">, which overlie the eastern Beetaloo </w:t>
      </w:r>
      <w:r w:rsidR="00DD6F9C">
        <w:t>Sub-</w:t>
      </w:r>
      <w:r w:rsidR="00F14739">
        <w:t>basin</w:t>
      </w:r>
      <w:r w:rsidR="001C29BD">
        <w:t>,</w:t>
      </w:r>
      <w:r>
        <w:t xml:space="preserve"> is</w:t>
      </w:r>
      <w:r w:rsidR="00F14739">
        <w:t xml:space="preserve"> </w:t>
      </w:r>
      <w:r w:rsidR="00D63AB4">
        <w:t>outlined</w:t>
      </w:r>
      <w:r w:rsidR="00F14739">
        <w:t xml:space="preserve"> in </w:t>
      </w:r>
      <w:r w:rsidR="00F14739">
        <w:fldChar w:fldCharType="begin"/>
      </w:r>
      <w:r w:rsidR="00F14739">
        <w:instrText xml:space="preserve"> REF _Ref1566405 \h </w:instrText>
      </w:r>
      <w:r w:rsidR="00F14739">
        <w:fldChar w:fldCharType="separate"/>
      </w:r>
      <w:r w:rsidR="00B177F5">
        <w:t xml:space="preserve">Figure </w:t>
      </w:r>
      <w:r w:rsidR="00B177F5">
        <w:rPr>
          <w:noProof/>
        </w:rPr>
        <w:t>30</w:t>
      </w:r>
      <w:r w:rsidR="00F14739">
        <w:fldChar w:fldCharType="end"/>
      </w:r>
      <w:r w:rsidR="00F14739">
        <w:t xml:space="preserve">. </w:t>
      </w:r>
      <w:r w:rsidR="00D63AB4">
        <w:t xml:space="preserve">Throughflow </w:t>
      </w:r>
      <w:r w:rsidR="00496259">
        <w:t xml:space="preserve">from </w:t>
      </w:r>
      <w:r w:rsidR="00A02D72">
        <w:t xml:space="preserve">the </w:t>
      </w:r>
      <w:r w:rsidR="00496259">
        <w:t xml:space="preserve">Georgina </w:t>
      </w:r>
      <w:r w:rsidR="001C29BD">
        <w:t xml:space="preserve">Basin </w:t>
      </w:r>
      <w:r w:rsidR="00496259">
        <w:t xml:space="preserve">to southern Daly Basin </w:t>
      </w:r>
      <w:r w:rsidR="00D63AB4">
        <w:t xml:space="preserve">is estimated to be </w:t>
      </w:r>
      <w:r w:rsidR="00BE3C04">
        <w:t xml:space="preserve">approximately </w:t>
      </w:r>
      <w:r w:rsidR="00D63AB4">
        <w:t>2 GL/y</w:t>
      </w:r>
      <w:r w:rsidR="004E5137">
        <w:t>ea</w:t>
      </w:r>
      <w:r w:rsidR="00D63AB4">
        <w:t xml:space="preserve">r. </w:t>
      </w:r>
      <w:r w:rsidR="00496259">
        <w:t>The w</w:t>
      </w:r>
      <w:r w:rsidR="00D63AB4">
        <w:t>ater balance suggests the</w:t>
      </w:r>
      <w:r w:rsidR="005035E6">
        <w:t>re is a net gain in both basins which</w:t>
      </w:r>
      <w:r w:rsidR="00843014">
        <w:t>,</w:t>
      </w:r>
      <w:r w:rsidR="005035E6">
        <w:t xml:space="preserve"> if the case</w:t>
      </w:r>
      <w:r w:rsidR="00843014">
        <w:t>,</w:t>
      </w:r>
      <w:r w:rsidR="005035E6">
        <w:t xml:space="preserve"> would result in rising groundwater levels. </w:t>
      </w:r>
      <w:r w:rsidR="00A541ED">
        <w:fldChar w:fldCharType="begin"/>
      </w:r>
      <w:r w:rsidR="00F76E0D">
        <w:instrText xml:space="preserve"> ADDIN EN.CITE &lt;EndNote&gt;&lt;Cite AuthorYear="1"&gt;&lt;Author&gt;Tickell&lt;/Author&gt;&lt;Year&gt;2017&lt;/Year&gt;&lt;RecNum&gt;695&lt;/RecNum&gt;&lt;DisplayText&gt;Tickell and Bruwer (2017)&lt;/DisplayText&gt;&lt;record&gt;&lt;rec-number&gt;695&lt;/rec-number&gt;&lt;foreign-keys&gt;&lt;key app="EN" db-id="wdf9tzzdhw2saee559kv0vezt0wfsta0zedv" timestamp="1545264525"&gt;695&lt;/key&gt;&lt;key app="ENWeb" db-id=""&gt;0&lt;/key&gt;&lt;/foreign-keys&gt;&lt;ref-type name="Report"&gt;27&lt;/ref-type&gt;&lt;contributors&gt;&lt;authors&gt;&lt;author&gt;Tickell, Stephen. J.&lt;/author&gt;&lt;author&gt;Bruwer, Quentin&lt;/author&gt;&lt;/authors&gt;&lt;tertiary-authors&gt;&lt;author&gt;Northern Territory Department of Environment and Natural Resources&lt;/author&gt;&lt;/tertiary-authors&gt;&lt;subsidiary-authors&gt;&lt;author&gt;Water Resources Division&lt;/author&gt;&lt;/subsidiary-authors&gt;&lt;/contributors&gt;&lt;titles&gt;&lt;title&gt;Georgina Basin Groundwater Assessment: Daly Waters to Tennant Creek&lt;/title&gt;&lt;/titles&gt;&lt;pages&gt;108&lt;/pages&gt;&lt;number&gt;Technical Report 17/2017&lt;/number&gt;&lt;dates&gt;&lt;year&gt;2017&lt;/year&gt;&lt;/dates&gt;&lt;publisher&gt;Northern Territory Department of Environment and Natural Resources&lt;/publisher&gt;&lt;isbn&gt;Technical Report 17/2017&lt;/isbn&gt;&lt;urls&gt;&lt;related-urls&gt;&lt;url&gt;&lt;style face="underline" font="default" size="100%"&gt;http://www.territorystories.nt.gov.au/jspui/handle/10070/304921&lt;/style&gt;&lt;/url&gt;&lt;/related-urls&gt;&lt;/urls&gt;&lt;access-date&gt;20 April 2020&lt;/access-date&gt;&lt;/record&gt;&lt;/Cite&gt;&lt;/EndNote&gt;</w:instrText>
      </w:r>
      <w:r w:rsidR="00A541ED">
        <w:fldChar w:fldCharType="separate"/>
      </w:r>
      <w:r w:rsidR="007E7B35">
        <w:rPr>
          <w:noProof/>
        </w:rPr>
        <w:t>Tickell and Bruwer (2017)</w:t>
      </w:r>
      <w:r w:rsidR="00A541ED">
        <w:fldChar w:fldCharType="end"/>
      </w:r>
      <w:r w:rsidR="005035E6">
        <w:t xml:space="preserve"> have established a mean rise of 0.85 m </w:t>
      </w:r>
      <w:r w:rsidR="00496259">
        <w:t xml:space="preserve">took place in the northern Georgina Basin </w:t>
      </w:r>
      <w:r w:rsidR="005035E6">
        <w:t>over the period</w:t>
      </w:r>
      <w:r w:rsidR="00496259">
        <w:t>s 1950-1973 and 2012-2017</w:t>
      </w:r>
      <w:r w:rsidR="005035E6">
        <w:t>.</w:t>
      </w:r>
    </w:p>
    <w:p w14:paraId="116958A8" w14:textId="676B60BC" w:rsidR="009701F8" w:rsidRDefault="005035E6" w:rsidP="00A02D72">
      <w:pPr>
        <w:jc w:val="both"/>
      </w:pPr>
      <w:r>
        <w:t>The</w:t>
      </w:r>
      <w:r w:rsidR="00496259">
        <w:t xml:space="preserve"> water balance </w:t>
      </w:r>
      <w:r>
        <w:t xml:space="preserve">for </w:t>
      </w:r>
      <w:r w:rsidR="00496259">
        <w:t xml:space="preserve">the </w:t>
      </w:r>
      <w:r>
        <w:t xml:space="preserve">southern Daly Basin </w:t>
      </w:r>
      <w:r w:rsidR="00496259">
        <w:t xml:space="preserve">component </w:t>
      </w:r>
      <w:r>
        <w:t>(</w:t>
      </w:r>
      <w:r>
        <w:fldChar w:fldCharType="begin"/>
      </w:r>
      <w:r>
        <w:instrText xml:space="preserve"> REF _Ref1566405 \h </w:instrText>
      </w:r>
      <w:r>
        <w:fldChar w:fldCharType="separate"/>
      </w:r>
      <w:r w:rsidR="00B177F5">
        <w:t xml:space="preserve">Figure </w:t>
      </w:r>
      <w:r w:rsidR="00B177F5">
        <w:rPr>
          <w:noProof/>
        </w:rPr>
        <w:t>30</w:t>
      </w:r>
      <w:r>
        <w:fldChar w:fldCharType="end"/>
      </w:r>
      <w:r>
        <w:t>) do</w:t>
      </w:r>
      <w:r w:rsidR="00496259">
        <w:t xml:space="preserve">es not appear to </w:t>
      </w:r>
      <w:r>
        <w:t>incl</w:t>
      </w:r>
      <w:r w:rsidR="00BE3C04">
        <w:t xml:space="preserve">ude groundwater pumping. </w:t>
      </w:r>
      <w:r w:rsidR="001969AF">
        <w:t>Also, d</w:t>
      </w:r>
      <w:r>
        <w:t xml:space="preserve">ischarge to Roper River </w:t>
      </w:r>
      <w:r w:rsidR="00607C37">
        <w:t>(30 GL/y</w:t>
      </w:r>
      <w:r w:rsidR="004E5137">
        <w:t>ea</w:t>
      </w:r>
      <w:r w:rsidR="00607C37">
        <w:t>r</w:t>
      </w:r>
      <w:r w:rsidR="00BE3C04">
        <w:t>) is</w:t>
      </w:r>
      <w:r w:rsidR="0010461B">
        <w:t xml:space="preserve"> lower than </w:t>
      </w:r>
      <w:r w:rsidR="00A64F27">
        <w:t xml:space="preserve">previous </w:t>
      </w:r>
      <w:r w:rsidR="00BE3C04">
        <w:t xml:space="preserve">estimates, </w:t>
      </w:r>
      <w:r w:rsidR="0010461B">
        <w:t>such as</w:t>
      </w:r>
      <w:r w:rsidR="00A64F27">
        <w:t xml:space="preserve"> </w:t>
      </w:r>
      <w:r w:rsidR="00A541ED">
        <w:fldChar w:fldCharType="begin"/>
      </w:r>
      <w:r w:rsidR="00F76E0D">
        <w:instrText xml:space="preserve"> ADDIN EN.CITE &lt;EndNote&gt;&lt;Cite AuthorYear="1"&gt;&lt;Author&gt;Knapton&lt;/Author&gt;&lt;Year&gt;2006&lt;/Year&gt;&lt;RecNum&gt;685&lt;/RecNum&gt;&lt;DisplayText&gt;Knapton (2006)&lt;/DisplayText&gt;&lt;record&gt;&lt;rec-number&gt;685&lt;/rec-number&gt;&lt;foreign-keys&gt;&lt;key app="EN" db-id="wdf9tzzdhw2saee559kv0vezt0wfsta0zedv" timestamp="1545264472"&gt;685&lt;/key&gt;&lt;key app="ENWeb" db-id=""&gt;0&lt;/key&gt;&lt;/foreign-keys&gt;&lt;ref-type name="Report"&gt;27&lt;/ref-type&gt;&lt;contributors&gt;&lt;authors&gt;&lt;author&gt;Knapton, Anthony&lt;/author&gt;&lt;/authors&gt;&lt;/contributors&gt;&lt;titles&gt;&lt;title&gt;Regional Groundwater Modelling of the Cambrian Limestone Aquifer System of the Wiso Basin, Georgina Basin and Daly Basin&lt;/title&gt;&lt;/titles&gt;&lt;pages&gt;60&lt;/pages&gt;&lt;number&gt;Technical Report No. 29/2006A&lt;/number&gt;&lt;keywords&gt;&lt;keyword&gt;Cambrian Limestone Aquifer&lt;/keyword&gt;&lt;keyword&gt;Wiso Basin&lt;/keyword&gt;&lt;keyword&gt;Georgina Basin&lt;/keyword&gt;&lt;keyword&gt;Daly Basin&lt;/keyword&gt;&lt;keyword&gt;Beetaloo Sub-basin&lt;/keyword&gt;&lt;keyword&gt;regional flow&lt;/keyword&gt;&lt;keyword&gt;regional groundwater systems&lt;/keyword&gt;&lt;keyword&gt;inter-basin groundwater flow&lt;/keyword&gt;&lt;keyword&gt;groundwater model&lt;/keyword&gt;&lt;/keywords&gt;&lt;dates&gt;&lt;year&gt;2006&lt;/year&gt;&lt;/dates&gt;&lt;pub-location&gt;Alice Springs&lt;/pub-location&gt;&lt;publisher&gt;Department of Natural Resources, Environment and the Arts (Northern Territory)&lt;/publisher&gt;&lt;isbn&gt;29/2006A&lt;/isbn&gt;&lt;urls&gt;&lt;related-urls&gt;&lt;url&gt;&lt;style face="underline" font="default" size="100%"&gt;http://www.territorystories.nt.gov.au/jspui/bitstream/10070/228069/1/WRA06029.pdf&lt;/style&gt;&lt;/url&gt;&lt;/related-urls&gt;&lt;/urls&gt;&lt;access-date&gt;28 November 2019&lt;/access-date&gt;&lt;/record&gt;&lt;/Cite&gt;&lt;/EndNote&gt;</w:instrText>
      </w:r>
      <w:r w:rsidR="00A541ED">
        <w:fldChar w:fldCharType="separate"/>
      </w:r>
      <w:r w:rsidR="00A541ED">
        <w:rPr>
          <w:noProof/>
        </w:rPr>
        <w:t>Knapton (2006)</w:t>
      </w:r>
      <w:r w:rsidR="00A541ED">
        <w:fldChar w:fldCharType="end"/>
      </w:r>
      <w:r w:rsidR="00A875C1">
        <w:t>,</w:t>
      </w:r>
      <w:r>
        <w:t xml:space="preserve"> </w:t>
      </w:r>
      <w:r w:rsidR="00312771">
        <w:t>who estimated</w:t>
      </w:r>
      <w:r w:rsidR="0010461B">
        <w:t xml:space="preserve"> </w:t>
      </w:r>
      <w:r>
        <w:t xml:space="preserve">discharge </w:t>
      </w:r>
      <w:r w:rsidR="0010461B">
        <w:t xml:space="preserve">to the Roper River </w:t>
      </w:r>
      <w:r w:rsidR="00A64F27">
        <w:t xml:space="preserve">at end of dry season </w:t>
      </w:r>
      <w:r w:rsidR="0010461B">
        <w:t xml:space="preserve">to be </w:t>
      </w:r>
      <w:r>
        <w:t>3.1</w:t>
      </w:r>
      <w:r w:rsidR="004F1008">
        <w:t> </w:t>
      </w:r>
      <w:r>
        <w:t>m</w:t>
      </w:r>
      <w:r w:rsidRPr="00AB5240">
        <w:rPr>
          <w:rStyle w:val="Superscript"/>
        </w:rPr>
        <w:t>3</w:t>
      </w:r>
      <w:r w:rsidR="00A64F27">
        <w:t>/sec</w:t>
      </w:r>
      <w:r w:rsidR="004E5137">
        <w:t>ond</w:t>
      </w:r>
      <w:r w:rsidR="00A64F27">
        <w:t>, (</w:t>
      </w:r>
      <w:r>
        <w:t>98 GL/year</w:t>
      </w:r>
      <w:r w:rsidR="00A64F27">
        <w:t>).</w:t>
      </w:r>
      <w:r w:rsidR="00BE3C04">
        <w:t xml:space="preserve"> Th</w:t>
      </w:r>
      <w:r w:rsidR="0010461B">
        <w:t>is</w:t>
      </w:r>
      <w:r w:rsidR="00BE3C04" w:rsidDel="00E24AB3">
        <w:t xml:space="preserve"> </w:t>
      </w:r>
      <w:r w:rsidR="00BE3C04">
        <w:t xml:space="preserve">apparent discrepancy </w:t>
      </w:r>
      <w:r w:rsidR="008A130F">
        <w:t>is primarily because the</w:t>
      </w:r>
      <w:r w:rsidR="008A1B4C">
        <w:t xml:space="preserve"> </w:t>
      </w:r>
      <w:r w:rsidR="00A541ED">
        <w:fldChar w:fldCharType="begin"/>
      </w:r>
      <w:r w:rsidR="00F76E0D">
        <w:instrText xml:space="preserve"> ADDIN EN.CITE &lt;EndNote&gt;&lt;Cite AuthorYear="1"&gt;&lt;Author&gt;Knapton&lt;/Author&gt;&lt;Year&gt;2006&lt;/Year&gt;&lt;RecNum&gt;685&lt;/RecNum&gt;&lt;DisplayText&gt;Knapton (2006)&lt;/DisplayText&gt;&lt;record&gt;&lt;rec-number&gt;685&lt;/rec-number&gt;&lt;foreign-keys&gt;&lt;key app="EN" db-id="wdf9tzzdhw2saee559kv0vezt0wfsta0zedv" timestamp="1545264472"&gt;685&lt;/key&gt;&lt;key app="ENWeb" db-id=""&gt;0&lt;/key&gt;&lt;/foreign-keys&gt;&lt;ref-type name="Report"&gt;27&lt;/ref-type&gt;&lt;contributors&gt;&lt;authors&gt;&lt;author&gt;Knapton, Anthony&lt;/author&gt;&lt;/authors&gt;&lt;/contributors&gt;&lt;titles&gt;&lt;title&gt;Regional Groundwater Modelling of the Cambrian Limestone Aquifer System of the Wiso Basin, Georgina Basin and Daly Basin&lt;/title&gt;&lt;/titles&gt;&lt;pages&gt;60&lt;/pages&gt;&lt;number&gt;Technical Report No. 29/2006A&lt;/number&gt;&lt;keywords&gt;&lt;keyword&gt;Cambrian Limestone Aquifer&lt;/keyword&gt;&lt;keyword&gt;Wiso Basin&lt;/keyword&gt;&lt;keyword&gt;Georgina Basin&lt;/keyword&gt;&lt;keyword&gt;Daly Basin&lt;/keyword&gt;&lt;keyword&gt;Beetaloo Sub-basin&lt;/keyword&gt;&lt;keyword&gt;regional flow&lt;/keyword&gt;&lt;keyword&gt;regional groundwater systems&lt;/keyword&gt;&lt;keyword&gt;inter-basin groundwater flow&lt;/keyword&gt;&lt;keyword&gt;groundwater model&lt;/keyword&gt;&lt;/keywords&gt;&lt;dates&gt;&lt;year&gt;2006&lt;/year&gt;&lt;/dates&gt;&lt;pub-location&gt;Alice Springs&lt;/pub-location&gt;&lt;publisher&gt;Department of Natural Resources, Environment and the Arts (Northern Territory)&lt;/publisher&gt;&lt;isbn&gt;29/2006A&lt;/isbn&gt;&lt;urls&gt;&lt;related-urls&gt;&lt;url&gt;&lt;style face="underline" font="default" size="100%"&gt;http://www.territorystories.nt.gov.au/jspui/bitstream/10070/228069/1/WRA06029.pdf&lt;/style&gt;&lt;/url&gt;&lt;/related-urls&gt;&lt;/urls&gt;&lt;access-date&gt;28 November 2019&lt;/access-date&gt;&lt;/record&gt;&lt;/Cite&gt;&lt;/EndNote&gt;</w:instrText>
      </w:r>
      <w:r w:rsidR="00A541ED">
        <w:fldChar w:fldCharType="separate"/>
      </w:r>
      <w:r w:rsidR="00A541ED">
        <w:rPr>
          <w:noProof/>
        </w:rPr>
        <w:t>Knapton (2006)</w:t>
      </w:r>
      <w:r w:rsidR="00A541ED">
        <w:fldChar w:fldCharType="end"/>
      </w:r>
      <w:r w:rsidR="0010461B">
        <w:t xml:space="preserve"> </w:t>
      </w:r>
      <w:r w:rsidR="008A130F">
        <w:t>value represents</w:t>
      </w:r>
      <w:r w:rsidR="0010461B">
        <w:t xml:space="preserve"> </w:t>
      </w:r>
      <w:r w:rsidR="00A875C1">
        <w:t>total</w:t>
      </w:r>
      <w:r w:rsidR="0010461B">
        <w:t xml:space="preserve"> discharge to </w:t>
      </w:r>
      <w:r w:rsidR="00D911A6">
        <w:t xml:space="preserve">the </w:t>
      </w:r>
      <w:r w:rsidR="0010461B">
        <w:t>Roper River from all groundwater flow components in th</w:t>
      </w:r>
      <w:r w:rsidR="008A1B4C">
        <w:t xml:space="preserve">e </w:t>
      </w:r>
      <w:r w:rsidR="00A02D72">
        <w:t>CLA</w:t>
      </w:r>
      <w:r w:rsidR="0010461B">
        <w:t xml:space="preserve">, whereas </w:t>
      </w:r>
      <w:r w:rsidR="00A875C1">
        <w:t xml:space="preserve">the </w:t>
      </w:r>
      <w:r w:rsidR="00A541ED">
        <w:fldChar w:fldCharType="begin"/>
      </w:r>
      <w:r w:rsidR="00F76E0D">
        <w:instrText xml:space="preserve"> ADDIN EN.CITE &lt;EndNote&gt;&lt;Cite AuthorYear="1"&gt;&lt;Author&gt;Tickell&lt;/Author&gt;&lt;Year&gt;2017&lt;/Year&gt;&lt;RecNum&gt;695&lt;/RecNum&gt;&lt;DisplayText&gt;Tickell and Bruwer (2017)&lt;/DisplayText&gt;&lt;record&gt;&lt;rec-number&gt;695&lt;/rec-number&gt;&lt;foreign-keys&gt;&lt;key app="EN" db-id="wdf9tzzdhw2saee559kv0vezt0wfsta0zedv" timestamp="1545264525"&gt;695&lt;/key&gt;&lt;key app="ENWeb" db-id=""&gt;0&lt;/key&gt;&lt;/foreign-keys&gt;&lt;ref-type name="Report"&gt;27&lt;/ref-type&gt;&lt;contributors&gt;&lt;authors&gt;&lt;author&gt;Tickell, Stephen. J.&lt;/author&gt;&lt;author&gt;Bruwer, Quentin&lt;/author&gt;&lt;/authors&gt;&lt;tertiary-authors&gt;&lt;author&gt;Northern Territory Department of Environment and Natural Resources&lt;/author&gt;&lt;/tertiary-authors&gt;&lt;subsidiary-authors&gt;&lt;author&gt;Water Resources Division&lt;/author&gt;&lt;/subsidiary-authors&gt;&lt;/contributors&gt;&lt;titles&gt;&lt;title&gt;Georgina Basin Groundwater Assessment: Daly Waters to Tennant Creek&lt;/title&gt;&lt;/titles&gt;&lt;pages&gt;108&lt;/pages&gt;&lt;number&gt;Technical Report 17/2017&lt;/number&gt;&lt;dates&gt;&lt;year&gt;2017&lt;/year&gt;&lt;/dates&gt;&lt;publisher&gt;Northern Territory Department of Environment and Natural Resources&lt;/publisher&gt;&lt;isbn&gt;Technical Report 17/2017&lt;/isbn&gt;&lt;urls&gt;&lt;related-urls&gt;&lt;url&gt;&lt;style face="underline" font="default" size="100%"&gt;http://www.territorystories.nt.gov.au/jspui/handle/10070/304921&lt;/style&gt;&lt;/url&gt;&lt;/related-urls&gt;&lt;/urls&gt;&lt;access-date&gt;20 April 2020&lt;/access-date&gt;&lt;/record&gt;&lt;/Cite&gt;&lt;/EndNote&gt;</w:instrText>
      </w:r>
      <w:r w:rsidR="00A541ED">
        <w:fldChar w:fldCharType="separate"/>
      </w:r>
      <w:r w:rsidR="007E7B35">
        <w:rPr>
          <w:noProof/>
        </w:rPr>
        <w:t>Tickell and Bruwer (2017)</w:t>
      </w:r>
      <w:r w:rsidR="00A541ED">
        <w:fldChar w:fldCharType="end"/>
      </w:r>
      <w:r w:rsidR="0010461B">
        <w:t xml:space="preserve"> </w:t>
      </w:r>
      <w:r w:rsidR="00A875C1">
        <w:t xml:space="preserve">estimate </w:t>
      </w:r>
      <w:r w:rsidR="0010461B">
        <w:t>only takes into account discharge from</w:t>
      </w:r>
      <w:r w:rsidR="008A1B4C">
        <w:t xml:space="preserve"> the </w:t>
      </w:r>
      <w:r w:rsidR="00A02D72">
        <w:t>s</w:t>
      </w:r>
      <w:r w:rsidR="00A875C1">
        <w:t xml:space="preserve">outh out of the Georgina Basin (i.e. </w:t>
      </w:r>
      <w:r w:rsidR="0010461B">
        <w:t>n</w:t>
      </w:r>
      <w:r w:rsidR="00D911A6">
        <w:t>orth directed</w:t>
      </w:r>
      <w:r w:rsidR="0010461B">
        <w:t xml:space="preserve"> flow</w:t>
      </w:r>
      <w:r w:rsidR="00A875C1">
        <w:t xml:space="preserve"> only</w:t>
      </w:r>
      <w:r w:rsidR="0010461B">
        <w:t xml:space="preserve">). </w:t>
      </w:r>
    </w:p>
    <w:p w14:paraId="0CB76733" w14:textId="249BA2CF" w:rsidR="00F8265E" w:rsidRDefault="00496259" w:rsidP="00C00F6D">
      <w:r>
        <w:t>A w</w:t>
      </w:r>
      <w:r w:rsidR="00A64F27">
        <w:t xml:space="preserve">ater balance is not available </w:t>
      </w:r>
      <w:r w:rsidR="00843014">
        <w:t>for</w:t>
      </w:r>
      <w:r>
        <w:t xml:space="preserve"> </w:t>
      </w:r>
      <w:r w:rsidR="00F8265E">
        <w:t xml:space="preserve">the </w:t>
      </w:r>
      <w:r w:rsidR="00A64F27">
        <w:t>Daly-</w:t>
      </w:r>
      <w:r>
        <w:t>Wiso basin</w:t>
      </w:r>
      <w:r w:rsidR="00843014">
        <w:t xml:space="preserve">s portion of the CLA in </w:t>
      </w:r>
      <w:r w:rsidR="00A875C1">
        <w:t>the</w:t>
      </w:r>
      <w:r>
        <w:t xml:space="preserve"> Beetaloo GBA region. </w:t>
      </w:r>
    </w:p>
    <w:p w14:paraId="054C8779" w14:textId="50722724" w:rsidR="00F8265E" w:rsidRDefault="00F8265E" w:rsidP="00C00F6D">
      <w:r>
        <w:rPr>
          <w:noProof/>
        </w:rPr>
        <w:drawing>
          <wp:inline distT="0" distB="0" distL="0" distR="0" wp14:anchorId="7248A555" wp14:editId="6FEB083F">
            <wp:extent cx="6019802" cy="2420461"/>
            <wp:effectExtent l="0" t="0" r="0" b="0"/>
            <wp:docPr id="293012844" name="Picture 116255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2554121"/>
                    <pic:cNvPicPr/>
                  </pic:nvPicPr>
                  <pic:blipFill>
                    <a:blip r:embed="rId87">
                      <a:extLst>
                        <a:ext uri="{28A0092B-C50C-407E-A947-70E740481C1C}">
                          <a14:useLocalDpi xmlns:a14="http://schemas.microsoft.com/office/drawing/2010/main" val="0"/>
                        </a:ext>
                      </a:extLst>
                    </a:blip>
                    <a:stretch>
                      <a:fillRect/>
                    </a:stretch>
                  </pic:blipFill>
                  <pic:spPr>
                    <a:xfrm>
                      <a:off x="0" y="0"/>
                      <a:ext cx="6019802" cy="2420461"/>
                    </a:xfrm>
                    <a:prstGeom prst="rect">
                      <a:avLst/>
                    </a:prstGeom>
                  </pic:spPr>
                </pic:pic>
              </a:graphicData>
            </a:graphic>
          </wp:inline>
        </w:drawing>
      </w:r>
    </w:p>
    <w:p w14:paraId="1602B5E8" w14:textId="1FDB65D8" w:rsidR="00F14739" w:rsidRDefault="00F14739" w:rsidP="00C00F6D">
      <w:pPr>
        <w:pStyle w:val="Caption"/>
      </w:pPr>
      <w:bookmarkStart w:id="689" w:name="_Ref1566405"/>
      <w:bookmarkStart w:id="690" w:name="_Toc4072443"/>
      <w:bookmarkStart w:id="691" w:name="_Toc4670966"/>
      <w:bookmarkStart w:id="692" w:name="_Toc4754386"/>
      <w:bookmarkStart w:id="693" w:name="_Toc5020771"/>
      <w:bookmarkStart w:id="694" w:name="_Toc5021578"/>
      <w:bookmarkStart w:id="695" w:name="_Toc5097104"/>
      <w:bookmarkStart w:id="696" w:name="_Toc5108496"/>
      <w:bookmarkStart w:id="697" w:name="_Toc5284160"/>
      <w:bookmarkStart w:id="698" w:name="_Toc5635374"/>
      <w:bookmarkStart w:id="699" w:name="_Toc5808333"/>
      <w:bookmarkStart w:id="700" w:name="_Toc5895025"/>
      <w:bookmarkStart w:id="701" w:name="_Toc6308914"/>
      <w:bookmarkStart w:id="702" w:name="_Toc6327579"/>
      <w:bookmarkStart w:id="703" w:name="_Toc38990484"/>
      <w:r>
        <w:t xml:space="preserve">Figure </w:t>
      </w:r>
      <w:r w:rsidRPr="78541554">
        <w:fldChar w:fldCharType="begin"/>
      </w:r>
      <w:r>
        <w:rPr>
          <w:noProof/>
        </w:rPr>
        <w:instrText xml:space="preserve"> SEQ Figure \* ARABIC </w:instrText>
      </w:r>
      <w:r w:rsidRPr="78541554">
        <w:rPr>
          <w:noProof/>
        </w:rPr>
        <w:fldChar w:fldCharType="separate"/>
      </w:r>
      <w:r w:rsidR="00B177F5">
        <w:rPr>
          <w:noProof/>
        </w:rPr>
        <w:t>30</w:t>
      </w:r>
      <w:r w:rsidRPr="78541554">
        <w:fldChar w:fldCharType="end"/>
      </w:r>
      <w:bookmarkEnd w:id="689"/>
      <w:r>
        <w:t xml:space="preserve"> Water balance for Georgina and southern Daly basins to Mataranka Thermal Pools</w:t>
      </w:r>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p>
    <w:p w14:paraId="0279D478" w14:textId="666680B9" w:rsidR="00245560" w:rsidRDefault="007E752E" w:rsidP="004C65B2">
      <w:pPr>
        <w:pStyle w:val="SourceornoteforTableorFigure"/>
        <w:contextualSpacing/>
      </w:pPr>
      <w:r>
        <w:t>Source: a</w:t>
      </w:r>
      <w:r w:rsidR="00E24AB3">
        <w:t xml:space="preserve">fter </w:t>
      </w:r>
      <w:r w:rsidR="00A541ED">
        <w:fldChar w:fldCharType="begin"/>
      </w:r>
      <w:r w:rsidR="00F76E0D">
        <w:instrText xml:space="preserve"> ADDIN EN.CITE &lt;EndNote&gt;&lt;Cite AuthorYear="1"&gt;&lt;Author&gt;Tickell&lt;/Author&gt;&lt;Year&gt;2017&lt;/Year&gt;&lt;RecNum&gt;695&lt;/RecNum&gt;&lt;DisplayText&gt;Tickell and Bruwer (2017)&lt;/DisplayText&gt;&lt;record&gt;&lt;rec-number&gt;695&lt;/rec-number&gt;&lt;foreign-keys&gt;&lt;key app="EN" db-id="wdf9tzzdhw2saee559kv0vezt0wfsta0zedv" timestamp="1545264525"&gt;695&lt;/key&gt;&lt;key app="ENWeb" db-id=""&gt;0&lt;/key&gt;&lt;/foreign-keys&gt;&lt;ref-type name="Report"&gt;27&lt;/ref-type&gt;&lt;contributors&gt;&lt;authors&gt;&lt;author&gt;Tickell, Stephen. J.&lt;/author&gt;&lt;author&gt;Bruwer, Quentin&lt;/author&gt;&lt;/authors&gt;&lt;tertiary-authors&gt;&lt;author&gt;Northern Territory Department of Environment and Natural Resources&lt;/author&gt;&lt;/tertiary-authors&gt;&lt;subsidiary-authors&gt;&lt;author&gt;Water Resources Division&lt;/author&gt;&lt;/subsidiary-authors&gt;&lt;/contributors&gt;&lt;titles&gt;&lt;title&gt;Georgina Basin Groundwater Assessment: Daly Waters to Tennant Creek&lt;/title&gt;&lt;/titles&gt;&lt;pages&gt;108&lt;/pages&gt;&lt;number&gt;Technical Report 17/2017&lt;/number&gt;&lt;dates&gt;&lt;year&gt;2017&lt;/year&gt;&lt;/dates&gt;&lt;publisher&gt;Northern Territory Department of Environment and Natural Resources&lt;/publisher&gt;&lt;isbn&gt;Technical Report 17/2017&lt;/isbn&gt;&lt;urls&gt;&lt;related-urls&gt;&lt;url&gt;&lt;style face="underline" font="default" size="100%"&gt;http://www.territorystories.nt.gov.au/jspui/handle/10070/304921&lt;/style&gt;&lt;/url&gt;&lt;/related-urls&gt;&lt;/urls&gt;&lt;access-date&gt;20 April 2020&lt;/access-date&gt;&lt;/record&gt;&lt;/Cite&gt;&lt;/EndNote&gt;</w:instrText>
      </w:r>
      <w:r w:rsidR="00A541ED">
        <w:fldChar w:fldCharType="separate"/>
      </w:r>
      <w:r w:rsidR="007E7B35">
        <w:rPr>
          <w:noProof/>
        </w:rPr>
        <w:t>Tickell and Bruwer (2017)</w:t>
      </w:r>
      <w:r w:rsidR="00A541ED">
        <w:fldChar w:fldCharType="end"/>
      </w:r>
      <w:r w:rsidR="004C65B2">
        <w:br/>
      </w:r>
      <w:r w:rsidR="004C65B2" w:rsidRPr="00A61A49">
        <w:t xml:space="preserve">Element: </w:t>
      </w:r>
      <w:r w:rsidR="004C65B2">
        <w:t>GBA-BEE-2-338</w:t>
      </w:r>
    </w:p>
    <w:p w14:paraId="15E983CA" w14:textId="13B24220" w:rsidR="00815841" w:rsidRDefault="00815841" w:rsidP="00C00F6D">
      <w:pPr>
        <w:pStyle w:val="Heading4"/>
      </w:pPr>
      <w:bookmarkStart w:id="704" w:name="_Ref944981"/>
      <w:r>
        <w:t>Carpentaria Basin</w:t>
      </w:r>
      <w:bookmarkEnd w:id="704"/>
      <w:r>
        <w:t xml:space="preserve"> </w:t>
      </w:r>
    </w:p>
    <w:p w14:paraId="2F2E38B1" w14:textId="2C5E781C" w:rsidR="006D6229" w:rsidRDefault="00D75043" w:rsidP="006D6229">
      <w:r>
        <w:t xml:space="preserve">Over </w:t>
      </w:r>
      <w:r w:rsidR="005A6D1E">
        <w:t xml:space="preserve">much of the Beetaloo </w:t>
      </w:r>
      <w:r w:rsidR="001E39E1">
        <w:t>GBA region,</w:t>
      </w:r>
      <w:r>
        <w:t xml:space="preserve"> Carpentaria Basin </w:t>
      </w:r>
      <w:r w:rsidR="005A6D1E">
        <w:t>sedimentary rock</w:t>
      </w:r>
      <w:r w:rsidR="001E39E1">
        <w:t xml:space="preserve">s are </w:t>
      </w:r>
      <w:r>
        <w:t xml:space="preserve">unsaturated as they </w:t>
      </w:r>
      <w:r w:rsidR="001E39E1">
        <w:t>occur</w:t>
      </w:r>
      <w:r>
        <w:t xml:space="preserve"> predominantly above the regional </w:t>
      </w:r>
      <w:r w:rsidR="001E39E1">
        <w:t>watertable</w:t>
      </w:r>
      <w:r>
        <w:t xml:space="preserve">. </w:t>
      </w:r>
      <w:r w:rsidR="006D6229">
        <w:t>T</w:t>
      </w:r>
      <w:r w:rsidR="00003EC1">
        <w:t>he t</w:t>
      </w:r>
      <w:r w:rsidR="006D6229">
        <w:t xml:space="preserve">hickness and lithology of the Carpentaria Basin can significantly influence recharge. Generally, the upper claystone and mudstone units </w:t>
      </w:r>
      <w:r w:rsidR="007E752E">
        <w:t>‘</w:t>
      </w:r>
      <w:r w:rsidR="006D6229">
        <w:t>Unit</w:t>
      </w:r>
      <w:r w:rsidR="001030AF">
        <w:t>s B and</w:t>
      </w:r>
      <w:r w:rsidR="006D6229">
        <w:t xml:space="preserve"> C</w:t>
      </w:r>
      <w:r w:rsidR="007E752E">
        <w:t>’</w:t>
      </w:r>
      <w:r w:rsidR="002E6955">
        <w:t xml:space="preserve"> (</w:t>
      </w:r>
      <w:r w:rsidR="001030AF">
        <w:t xml:space="preserve">see Section </w:t>
      </w:r>
      <w:r w:rsidR="001030AF">
        <w:fldChar w:fldCharType="begin"/>
      </w:r>
      <w:r w:rsidR="001030AF">
        <w:instrText xml:space="preserve"> REF _Ref5188053 \r \h </w:instrText>
      </w:r>
      <w:r w:rsidR="001030AF">
        <w:fldChar w:fldCharType="separate"/>
      </w:r>
      <w:r w:rsidR="00B177F5">
        <w:t>3.2.4</w:t>
      </w:r>
      <w:r w:rsidR="001030AF">
        <w:fldChar w:fldCharType="end"/>
      </w:r>
      <w:r w:rsidR="001030AF">
        <w:t xml:space="preserve">) tend to </w:t>
      </w:r>
      <w:r w:rsidR="006D6229">
        <w:t>act as aquitard</w:t>
      </w:r>
      <w:r w:rsidR="001030AF">
        <w:t>s</w:t>
      </w:r>
      <w:r w:rsidR="006D6229">
        <w:t xml:space="preserve">, </w:t>
      </w:r>
      <w:r w:rsidR="001969AF">
        <w:t>impeding</w:t>
      </w:r>
      <w:r w:rsidR="006D6229">
        <w:t xml:space="preserve"> diffuse recharge downwards to the underlying CLA. However, </w:t>
      </w:r>
      <w:r w:rsidR="001B36A1">
        <w:t>where</w:t>
      </w:r>
      <w:r w:rsidR="006D6229">
        <w:t xml:space="preserve"> </w:t>
      </w:r>
      <w:r w:rsidR="006D6229" w:rsidDel="00003EC1">
        <w:t xml:space="preserve">the </w:t>
      </w:r>
      <w:r w:rsidR="006D6229">
        <w:t>upper claystone units are absent and the basal sandstone (Unit A) is exposed, recharge</w:t>
      </w:r>
      <w:r w:rsidR="001B36A1">
        <w:t xml:space="preserve"> can</w:t>
      </w:r>
      <w:r w:rsidR="006D6229">
        <w:t xml:space="preserve"> percolate into the underlying CLA </w:t>
      </w:r>
      <w:r w:rsidR="00A541ED">
        <w:fldChar w:fldCharType="begin"/>
      </w:r>
      <w:r w:rsidR="00F76E0D">
        <w:instrText xml:space="preserve"> ADDIN EN.CITE &lt;EndNote&gt;&lt;Cite&gt;&lt;Author&gt;Yin Foo&lt;/Author&gt;&lt;Year&gt;2002&lt;/Year&gt;&lt;RecNum&gt;696&lt;/RecNum&gt;&lt;DisplayText&gt;(Yin Foo, 2002)&lt;/DisplayText&gt;&lt;record&gt;&lt;rec-number&gt;696&lt;/rec-number&gt;&lt;foreign-keys&gt;&lt;key app="EN" db-id="wdf9tzzdhw2saee559kv0vezt0wfsta0zedv" timestamp="1545264525"&gt;696&lt;/key&gt;&lt;key app="ENWeb" db-id=""&gt;0&lt;/key&gt;&lt;/foreign-keys&gt;&lt;ref-type name="Report"&gt;27&lt;/ref-type&gt;&lt;contributors&gt;&lt;authors&gt;&lt;author&gt;Yin Foo, Des&lt;/author&gt;&lt;/authors&gt;&lt;tertiary-authors&gt;&lt;author&gt;Department of Infrastructure, Planning and Environment (Northern Territory)&lt;/author&gt;&lt;/tertiary-authors&gt;&lt;/contributors&gt;&lt;titles&gt;&lt;title&gt;Water Resources of the Sturt Plateau region, overview report&lt;/title&gt;&lt;/titles&gt;&lt;number&gt;Report 18/2000D&lt;/number&gt;&lt;dates&gt;&lt;year&gt;2002&lt;/year&gt;&lt;pub-dates&gt;&lt;date&gt;June 2002&lt;/date&gt;&lt;/pub-dates&gt;&lt;/dates&gt;&lt;pub-location&gt;Darwin&lt;/pub-location&gt;&lt;publisher&gt;Department of Infrastructure, Planning and Environment (Northern Territory)&lt;/publisher&gt;&lt;isbn&gt;Report 18/2000D&lt;/isbn&gt;&lt;urls&gt;&lt;related-urls&gt;&lt;url&gt;&lt;style face="underline" font="default" size="100%"&gt;http://www.territorystories.nt.gov.au/handle/10070/229643&lt;/style&gt;&lt;/url&gt;&lt;/related-urls&gt;&lt;/urls&gt;&lt;access-date&gt;18 October 2019&lt;/access-date&gt;&lt;/record&gt;&lt;/Cite&gt;&lt;/EndNote&gt;</w:instrText>
      </w:r>
      <w:r w:rsidR="00A541ED">
        <w:fldChar w:fldCharType="separate"/>
      </w:r>
      <w:r w:rsidR="00A14F55">
        <w:rPr>
          <w:noProof/>
        </w:rPr>
        <w:t>(Yin Foo, 2002)</w:t>
      </w:r>
      <w:r w:rsidR="00A541ED">
        <w:fldChar w:fldCharType="end"/>
      </w:r>
      <w:r w:rsidR="006D6229">
        <w:t xml:space="preserve">. </w:t>
      </w:r>
      <w:r w:rsidR="002F74D2">
        <w:t>Outside the Beetaloo GBA region this is</w:t>
      </w:r>
      <w:r w:rsidR="006D6229">
        <w:t xml:space="preserve"> case for parts of the Tindall </w:t>
      </w:r>
      <w:r w:rsidR="001E39E1">
        <w:t xml:space="preserve">Limestone </w:t>
      </w:r>
      <w:r w:rsidR="006D6229">
        <w:t xml:space="preserve">aquifer </w:t>
      </w:r>
      <w:r w:rsidR="00681CAA">
        <w:t>in the Daly Basin</w:t>
      </w:r>
      <w:r w:rsidR="002F74D2">
        <w:t>,</w:t>
      </w:r>
      <w:r w:rsidR="00681CAA">
        <w:t xml:space="preserve"> </w:t>
      </w:r>
      <w:r w:rsidR="006D6229">
        <w:t xml:space="preserve">where </w:t>
      </w:r>
      <w:r w:rsidR="002F74D2">
        <w:t xml:space="preserve">it is </w:t>
      </w:r>
      <w:r w:rsidR="006D6229">
        <w:t xml:space="preserve">not overlain by the Jinduckin Formation </w:t>
      </w:r>
      <w:r w:rsidR="00A541ED">
        <w:fldChar w:fldCharType="begin"/>
      </w:r>
      <w:r w:rsidR="00F76E0D">
        <w:instrText xml:space="preserve"> ADDIN EN.CITE &lt;EndNote&gt;&lt;Cite&gt;&lt;Author&gt;Knapton&lt;/Author&gt;&lt;Year&gt;2006&lt;/Year&gt;&lt;RecNum&gt;685&lt;/RecNum&gt;&lt;DisplayText&gt;(Knapton, 2006)&lt;/DisplayText&gt;&lt;record&gt;&lt;rec-number&gt;685&lt;/rec-number&gt;&lt;foreign-keys&gt;&lt;key app="EN" db-id="wdf9tzzdhw2saee559kv0vezt0wfsta0zedv" timestamp="1545264472"&gt;685&lt;/key&gt;&lt;key app="ENWeb" db-id=""&gt;0&lt;/key&gt;&lt;/foreign-keys&gt;&lt;ref-type name="Report"&gt;27&lt;/ref-type&gt;&lt;contributors&gt;&lt;authors&gt;&lt;author&gt;Knapton, Anthony&lt;/author&gt;&lt;/authors&gt;&lt;/contributors&gt;&lt;titles&gt;&lt;title&gt;Regional Groundwater Modelling of the Cambrian Limestone Aquifer System of the Wiso Basin, Georgina Basin and Daly Basin&lt;/title&gt;&lt;/titles&gt;&lt;pages&gt;60&lt;/pages&gt;&lt;number&gt;Technical Report No. 29/2006A&lt;/number&gt;&lt;keywords&gt;&lt;keyword&gt;Cambrian Limestone Aquifer&lt;/keyword&gt;&lt;keyword&gt;Wiso Basin&lt;/keyword&gt;&lt;keyword&gt;Georgina Basin&lt;/keyword&gt;&lt;keyword&gt;Daly Basin&lt;/keyword&gt;&lt;keyword&gt;Beetaloo Sub-basin&lt;/keyword&gt;&lt;keyword&gt;regional flow&lt;/keyword&gt;&lt;keyword&gt;regional groundwater systems&lt;/keyword&gt;&lt;keyword&gt;inter-basin groundwater flow&lt;/keyword&gt;&lt;keyword&gt;groundwater model&lt;/keyword&gt;&lt;/keywords&gt;&lt;dates&gt;&lt;year&gt;2006&lt;/year&gt;&lt;/dates&gt;&lt;pub-location&gt;Alice Springs&lt;/pub-location&gt;&lt;publisher&gt;Department of Natural Resources, Environment and the Arts (Northern Territory)&lt;/publisher&gt;&lt;isbn&gt;29/2006A&lt;/isbn&gt;&lt;urls&gt;&lt;related-urls&gt;&lt;url&gt;&lt;style face="underline" font="default" size="100%"&gt;http://www.territorystories.nt.gov.au/jspui/bitstream/10070/228069/1/WRA06029.pdf&lt;/style&gt;&lt;/url&gt;&lt;/related-urls&gt;&lt;/urls&gt;&lt;access-date&gt;28 November 2019&lt;/access-date&gt;&lt;/record&gt;&lt;/Cite&gt;&lt;/EndNote&gt;</w:instrText>
      </w:r>
      <w:r w:rsidR="00A541ED">
        <w:fldChar w:fldCharType="separate"/>
      </w:r>
      <w:r w:rsidR="00A541ED">
        <w:rPr>
          <w:noProof/>
        </w:rPr>
        <w:t>(Knapton, 2006)</w:t>
      </w:r>
      <w:r w:rsidR="00A541ED">
        <w:fldChar w:fldCharType="end"/>
      </w:r>
      <w:r w:rsidR="00681CAA">
        <w:t xml:space="preserve">. </w:t>
      </w:r>
      <w:r w:rsidR="002F74D2">
        <w:t>This also appears to be the case</w:t>
      </w:r>
      <w:r w:rsidR="001E39E1">
        <w:t xml:space="preserve"> </w:t>
      </w:r>
      <w:r w:rsidR="002F74D2">
        <w:t xml:space="preserve">for </w:t>
      </w:r>
      <w:r w:rsidR="001E39E1">
        <w:t xml:space="preserve">the </w:t>
      </w:r>
      <w:r w:rsidR="002F74D2">
        <w:t>north-western part of the Beetaloo GBA region</w:t>
      </w:r>
      <w:r w:rsidR="007E752E">
        <w:t>;</w:t>
      </w:r>
      <w:r w:rsidR="001E39E1">
        <w:t xml:space="preserve"> however, the distribution</w:t>
      </w:r>
      <w:r w:rsidR="001B36A1">
        <w:t xml:space="preserve"> of Unit A is generally poorly </w:t>
      </w:r>
      <w:r w:rsidR="002F74D2">
        <w:t>known</w:t>
      </w:r>
      <w:r w:rsidR="001B36A1">
        <w:t xml:space="preserve">. </w:t>
      </w:r>
      <w:r w:rsidR="00681CAA">
        <w:t>Due to its influence on recharge, the thickness and lithological makeup of the Carpentaria Basin could influence</w:t>
      </w:r>
      <w:r w:rsidR="001E39E1">
        <w:t xml:space="preserve"> (lessen?) any</w:t>
      </w:r>
      <w:r w:rsidR="00681CAA">
        <w:t xml:space="preserve"> impact</w:t>
      </w:r>
      <w:r w:rsidR="001E39E1">
        <w:t>s</w:t>
      </w:r>
      <w:r w:rsidR="00681CAA">
        <w:t xml:space="preserve"> from surface activities and hazards such as spills. </w:t>
      </w:r>
    </w:p>
    <w:p w14:paraId="6584763F" w14:textId="5DA2A905" w:rsidR="008816FC" w:rsidRDefault="00D75043" w:rsidP="00C00F6D">
      <w:bookmarkStart w:id="705" w:name="_Hlk35349344"/>
      <w:r>
        <w:t xml:space="preserve">Only in one area is it known to contain a groundwater resource in the central area of the eastern Beetaloo </w:t>
      </w:r>
      <w:r w:rsidR="001E39E1">
        <w:t>GBA region</w:t>
      </w:r>
      <w:r>
        <w:t xml:space="preserve"> where the basal sandstone (Unit </w:t>
      </w:r>
      <w:r w:rsidR="007E752E">
        <w:t>‘</w:t>
      </w:r>
      <w:r>
        <w:t>A</w:t>
      </w:r>
      <w:r w:rsidR="007E752E">
        <w:t>’</w:t>
      </w:r>
      <w:r>
        <w:t xml:space="preserve">) forms a saturated aquifer that is exploited for stock and domestic water supply on Beetaloo Station. </w:t>
      </w:r>
      <w:r w:rsidR="008816FC">
        <w:t>In this small area, this basal sandstone unit is in hydraulic contact with the underlying CLA and lies below the regional watertable. Bore depths here range from 71</w:t>
      </w:r>
      <w:r w:rsidR="007E752E">
        <w:t xml:space="preserve"> to </w:t>
      </w:r>
      <w:r w:rsidR="008816FC">
        <w:t xml:space="preserve">145 </w:t>
      </w:r>
      <w:r w:rsidR="00D50A79">
        <w:t>mBGL</w:t>
      </w:r>
      <w:r w:rsidR="008816FC">
        <w:t xml:space="preserve"> (average 91 </w:t>
      </w:r>
      <w:r w:rsidR="00D50A79">
        <w:t>mBGL</w:t>
      </w:r>
      <w:r w:rsidR="008816FC">
        <w:t>) and bore yields are estimated at between 0.3</w:t>
      </w:r>
      <w:r w:rsidR="007E752E">
        <w:t xml:space="preserve"> to </w:t>
      </w:r>
      <w:r w:rsidR="008816FC">
        <w:t xml:space="preserve">4 </w:t>
      </w:r>
      <w:r w:rsidR="008816FC" w:rsidDel="006B739D">
        <w:t>L/</w:t>
      </w:r>
      <w:r w:rsidR="006B739D">
        <w:t xml:space="preserve">second </w:t>
      </w:r>
      <w:r w:rsidR="008816FC">
        <w:t>(average 2.4 L/s</w:t>
      </w:r>
      <w:r w:rsidR="004E5137">
        <w:t>econd</w:t>
      </w:r>
      <w:r w:rsidR="008816FC">
        <w:t>). A transmissivity of 41</w:t>
      </w:r>
      <w:r w:rsidR="007E752E">
        <w:t> </w:t>
      </w:r>
      <w:r w:rsidR="008816FC">
        <w:t>m</w:t>
      </w:r>
      <w:r w:rsidR="008816FC" w:rsidRPr="00AB5240">
        <w:rPr>
          <w:rStyle w:val="Superscript"/>
        </w:rPr>
        <w:t>2</w:t>
      </w:r>
      <w:r w:rsidR="008816FC">
        <w:t xml:space="preserve">/day was established from pump tests at Beetaloo </w:t>
      </w:r>
      <w:r w:rsidR="00E9244A">
        <w:t>Station</w:t>
      </w:r>
      <w:r w:rsidR="008816FC">
        <w:t xml:space="preserve">. </w:t>
      </w:r>
      <w:bookmarkEnd w:id="705"/>
      <w:r w:rsidR="008816FC">
        <w:t>The standing water level in this aquifer ranges from 56</w:t>
      </w:r>
      <w:r w:rsidR="007E752E">
        <w:t xml:space="preserve"> to </w:t>
      </w:r>
      <w:r w:rsidR="008816FC">
        <w:t xml:space="preserve">80 </w:t>
      </w:r>
      <w:r w:rsidR="00D50A79">
        <w:t>mBGL</w:t>
      </w:r>
      <w:r w:rsidR="008816FC">
        <w:t xml:space="preserve"> (average 64 </w:t>
      </w:r>
      <w:r w:rsidR="00D50A79">
        <w:t>mBGL</w:t>
      </w:r>
      <w:r w:rsidR="008816FC">
        <w:t xml:space="preserve">), </w:t>
      </w:r>
      <w:r w:rsidR="001E39E1">
        <w:t xml:space="preserve">the </w:t>
      </w:r>
      <w:r w:rsidR="008816FC">
        <w:t xml:space="preserve">groundwater gradient is flat and </w:t>
      </w:r>
      <w:r w:rsidR="001E39E1">
        <w:t xml:space="preserve">there is </w:t>
      </w:r>
      <w:r w:rsidR="008816FC">
        <w:t xml:space="preserve">no clear apparent flow direction within this local aquifer </w:t>
      </w:r>
      <w:r w:rsidR="00A541ED">
        <w:fldChar w:fldCharType="begin"/>
      </w:r>
      <w:r w:rsidR="008F30E0">
        <w:instrText xml:space="preserve"> ADDIN EN.CITE &lt;EndNote&gt;&lt;Cite&gt;&lt;Author&gt;Fulton&lt;/Author&gt;&lt;Year&gt;2015&lt;/Year&gt;&lt;RecNum&gt;671&lt;/RecNum&gt;&lt;DisplayText&gt;(Fulton and Knapton, 2015b)&lt;/DisplayText&gt;&lt;record&gt;&lt;rec-number&gt;671&lt;/rec-number&gt;&lt;foreign-keys&gt;&lt;key app="EN" db-id="wdf9tzzdhw2saee559kv0vezt0wfsta0zedv" timestamp="1545264407"&gt;671&lt;/key&gt;&lt;key app="ENWeb" db-id=""&gt;0&lt;/key&gt;&lt;/foreign-keys&gt;&lt;ref-type name="Report"&gt;27&lt;/ref-type&gt;&lt;contributors&gt;&lt;authors&gt;&lt;author&gt;Fulton, S.&lt;/author&gt;&lt;author&gt;Knapton, A.&lt;/author&gt;&lt;/authors&gt;&lt;/contributors&gt;&lt;titles&gt;&lt;title&gt;Beetaloo Basin hydrogeological assessment. Cloud GMS&lt;/title&gt;&lt;/titles&gt;&lt;pages&gt;70&lt;/pages&gt;&lt;dates&gt;&lt;year&gt;2015&lt;/year&gt;&lt;pub-dates&gt;&lt;date&gt;February 2015&lt;/date&gt;&lt;/pub-dates&gt;&lt;/dates&gt;&lt;publisher&gt;Origin Energy Report 1 for Fracking Enquiry NT&lt;/publisher&gt;&lt;urls&gt;&lt;related-urls&gt;&lt;url&gt;https://frackinginquiry.nt.gov.au/?a=410609&lt;/url&gt;&lt;/related-urls&gt;&lt;/urls&gt;&lt;access-date&gt;28 November 2019&lt;/access-date&gt;&lt;/record&gt;&lt;/Cite&gt;&lt;/EndNote&gt;</w:instrText>
      </w:r>
      <w:r w:rsidR="00A541ED">
        <w:fldChar w:fldCharType="separate"/>
      </w:r>
      <w:r w:rsidR="008F30E0">
        <w:rPr>
          <w:noProof/>
        </w:rPr>
        <w:t>(Fulton and Knapton, 2015b)</w:t>
      </w:r>
      <w:r w:rsidR="00A541ED">
        <w:fldChar w:fldCharType="end"/>
      </w:r>
      <w:r w:rsidR="008816FC">
        <w:t>.</w:t>
      </w:r>
      <w:r w:rsidR="007615C9">
        <w:t xml:space="preserve"> Further information on water quality and bore locations </w:t>
      </w:r>
      <w:r w:rsidR="007E752E">
        <w:t>is</w:t>
      </w:r>
      <w:r w:rsidR="007615C9">
        <w:t xml:space="preserve"> detailed in Section </w:t>
      </w:r>
      <w:r w:rsidR="007615C9">
        <w:fldChar w:fldCharType="begin"/>
      </w:r>
      <w:r w:rsidR="007615C9">
        <w:instrText xml:space="preserve"> REF _Ref944981 \r \h </w:instrText>
      </w:r>
      <w:r w:rsidR="007615C9">
        <w:fldChar w:fldCharType="separate"/>
      </w:r>
      <w:r w:rsidR="00B177F5">
        <w:t>3.3.4</w:t>
      </w:r>
      <w:r w:rsidR="007615C9">
        <w:fldChar w:fldCharType="end"/>
      </w:r>
      <w:r w:rsidR="007615C9">
        <w:t xml:space="preserve"> and </w:t>
      </w:r>
      <w:r w:rsidR="007615C9">
        <w:fldChar w:fldCharType="begin"/>
      </w:r>
      <w:r w:rsidR="007615C9">
        <w:instrText xml:space="preserve"> REF _Ref769152 \h </w:instrText>
      </w:r>
      <w:r w:rsidR="007615C9">
        <w:fldChar w:fldCharType="separate"/>
      </w:r>
      <w:r w:rsidR="00B177F5" w:rsidRPr="00ED145E">
        <w:t xml:space="preserve">Figure </w:t>
      </w:r>
      <w:r w:rsidR="00B177F5">
        <w:rPr>
          <w:noProof/>
        </w:rPr>
        <w:t>38</w:t>
      </w:r>
      <w:r w:rsidR="007615C9">
        <w:fldChar w:fldCharType="end"/>
      </w:r>
      <w:r w:rsidR="007615C9">
        <w:t>.</w:t>
      </w:r>
    </w:p>
    <w:p w14:paraId="0FD721D3" w14:textId="77777777" w:rsidR="002935EE" w:rsidRDefault="002935EE" w:rsidP="00C00F6D">
      <w:pPr>
        <w:pStyle w:val="Heading4"/>
      </w:pPr>
      <w:r>
        <w:t>Cenozoic</w:t>
      </w:r>
    </w:p>
    <w:p w14:paraId="514D99F4" w14:textId="54573453" w:rsidR="00D77291" w:rsidRPr="00D77291" w:rsidRDefault="00E353BC" w:rsidP="00D77291">
      <w:r>
        <w:t>The</w:t>
      </w:r>
      <w:r w:rsidR="0093110A">
        <w:t>re is the potential for</w:t>
      </w:r>
      <w:r w:rsidR="00D77291" w:rsidRPr="00D77291">
        <w:t xml:space="preserve"> </w:t>
      </w:r>
      <w:r w:rsidR="00D50A79">
        <w:t xml:space="preserve">the </w:t>
      </w:r>
      <w:r w:rsidR="00D77291" w:rsidRPr="00D77291">
        <w:t xml:space="preserve">development of transient and localised perched aquifer systems where the lateritic profile is well developed or within sandier alluvial sequences that overlie less permeable Cretaceous siltstones </w:t>
      </w:r>
      <w:r w:rsidR="00A541ED">
        <w:fldChar w:fldCharType="begin"/>
      </w:r>
      <w:r w:rsidR="008F30E0">
        <w:instrText xml:space="preserve"> ADDIN EN.CITE &lt;EndNote&gt;&lt;Cite&gt;&lt;Author&gt;Fulton&lt;/Author&gt;&lt;Year&gt;2015&lt;/Year&gt;&lt;RecNum&gt;671&lt;/RecNum&gt;&lt;DisplayText&gt;(Fulton and Knapton, 2015b)&lt;/DisplayText&gt;&lt;record&gt;&lt;rec-number&gt;671&lt;/rec-number&gt;&lt;foreign-keys&gt;&lt;key app="EN" db-id="wdf9tzzdhw2saee559kv0vezt0wfsta0zedv" timestamp="1545264407"&gt;671&lt;/key&gt;&lt;key app="ENWeb" db-id=""&gt;0&lt;/key&gt;&lt;/foreign-keys&gt;&lt;ref-type name="Report"&gt;27&lt;/ref-type&gt;&lt;contributors&gt;&lt;authors&gt;&lt;author&gt;Fulton, S.&lt;/author&gt;&lt;author&gt;Knapton, A.&lt;/author&gt;&lt;/authors&gt;&lt;/contributors&gt;&lt;titles&gt;&lt;title&gt;Beetaloo Basin hydrogeological assessment. Cloud GMS&lt;/title&gt;&lt;/titles&gt;&lt;pages&gt;70&lt;/pages&gt;&lt;dates&gt;&lt;year&gt;2015&lt;/year&gt;&lt;pub-dates&gt;&lt;date&gt;February 2015&lt;/date&gt;&lt;/pub-dates&gt;&lt;/dates&gt;&lt;publisher&gt;Origin Energy Report 1 for Fracking Enquiry NT&lt;/publisher&gt;&lt;urls&gt;&lt;related-urls&gt;&lt;url&gt;https://frackinginquiry.nt.gov.au/?a=410609&lt;/url&gt;&lt;/related-urls&gt;&lt;/urls&gt;&lt;access-date&gt;28 November 2019&lt;/access-date&gt;&lt;/record&gt;&lt;/Cite&gt;&lt;/EndNote&gt;</w:instrText>
      </w:r>
      <w:r w:rsidR="00A541ED">
        <w:fldChar w:fldCharType="separate"/>
      </w:r>
      <w:r w:rsidR="008F30E0">
        <w:rPr>
          <w:noProof/>
        </w:rPr>
        <w:t>(Fulton and Knapton, 2015b)</w:t>
      </w:r>
      <w:r w:rsidR="00A541ED">
        <w:fldChar w:fldCharType="end"/>
      </w:r>
      <w:r w:rsidR="00D77291" w:rsidRPr="00D77291">
        <w:t>.</w:t>
      </w:r>
      <w:r w:rsidR="00D77291" w:rsidRPr="00D77291" w:rsidDel="00D50A79">
        <w:t xml:space="preserve"> </w:t>
      </w:r>
      <w:r w:rsidR="00D50A79">
        <w:t>The a</w:t>
      </w:r>
      <w:r w:rsidR="00D50A79" w:rsidRPr="00D77291">
        <w:t xml:space="preserve">lluvium </w:t>
      </w:r>
      <w:r w:rsidR="00D77291" w:rsidRPr="00D77291">
        <w:t xml:space="preserve">is likely to be largely saturated in the vicinity of spring discharge points and the Roper River downstream of Mataranka Thermal Pools. </w:t>
      </w:r>
      <w:r w:rsidR="00D77291">
        <w:t xml:space="preserve">Some of the </w:t>
      </w:r>
      <w:r>
        <w:t>t</w:t>
      </w:r>
      <w:r w:rsidR="00D77291">
        <w:t xml:space="preserve">ufa </w:t>
      </w:r>
      <w:r w:rsidR="00C20E3D">
        <w:t xml:space="preserve">(freshwater limestone) </w:t>
      </w:r>
      <w:r w:rsidR="3B81236D">
        <w:t>deposits</w:t>
      </w:r>
      <w:r w:rsidR="00D77291">
        <w:t xml:space="preserve"> </w:t>
      </w:r>
      <w:r w:rsidR="00D77291" w:rsidRPr="00D77291">
        <w:t xml:space="preserve">are saturated </w:t>
      </w:r>
      <w:r w:rsidR="00C20E3D">
        <w:t xml:space="preserve">in the vicinity of springs. For instance, they </w:t>
      </w:r>
      <w:r w:rsidR="00D77291" w:rsidRPr="00D77291">
        <w:t xml:space="preserve">form </w:t>
      </w:r>
      <w:r w:rsidR="00D77291">
        <w:t>part of the</w:t>
      </w:r>
      <w:r w:rsidR="00D77291" w:rsidRPr="00D77291">
        <w:t xml:space="preserve"> discharge zone for the Tindall </w:t>
      </w:r>
      <w:r w:rsidR="00BB6D37">
        <w:t>L</w:t>
      </w:r>
      <w:r w:rsidR="00D77291" w:rsidRPr="00D77291">
        <w:t xml:space="preserve">imestone aquifer </w:t>
      </w:r>
      <w:r w:rsidR="00D77291">
        <w:t xml:space="preserve">at Mataranka Thermal Pools </w:t>
      </w:r>
      <w:r w:rsidR="00D77291" w:rsidRPr="00D77291">
        <w:t xml:space="preserve">where it thins towards the Roper River </w:t>
      </w:r>
      <w:r w:rsidR="00A541ED">
        <w:fldChar w:fldCharType="begin"/>
      </w:r>
      <w:r w:rsidR="00F76E0D">
        <w:instrText xml:space="preserve"> ADDIN EN.CITE &lt;EndNote&gt;&lt;Cite&gt;&lt;Author&gt;Tickell&lt;/Author&gt;&lt;Year&gt;2005&lt;/Year&gt;&lt;RecNum&gt;733&lt;/RecNum&gt;&lt;DisplayText&gt;(Tickell, 2005)&lt;/DisplayText&gt;&lt;record&gt;&lt;rec-number&gt;733&lt;/rec-number&gt;&lt;foreign-keys&gt;&lt;key app="EN" db-id="wdf9tzzdhw2saee559kv0vezt0wfsta0zedv" timestamp="1550544784"&gt;733&lt;/key&gt;&lt;/foreign-keys&gt;&lt;ref-type name="Report"&gt;27&lt;/ref-type&gt;&lt;contributors&gt;&lt;authors&gt;&lt;author&gt;Tickell, Stephen. J.&lt;/author&gt;&lt;/authors&gt;&lt;secondary-authors&gt;&lt;author&gt;DEPARTMENT OF NATURAL RESOURCES THE ENVIRONMENT AND THE ARTS&lt;/author&gt;&lt;author&gt;NATURAL RESOURCES DIVISION&lt;/author&gt;&lt;/secondary-authors&gt;&lt;/contributors&gt;&lt;titles&gt;&lt;title&gt;Groundwater resources of the Tindall Limestone. Report 34/2005&lt;/title&gt;&lt;secondary-title&gt;REPORT 34/2005&lt;/secondary-title&gt;&lt;/titles&gt;&lt;dates&gt;&lt;year&gt;2005&lt;/year&gt;&lt;/dates&gt;&lt;publisher&gt;Department of Natural Resources, The Environment and The Arts Natural Resources Division&lt;/publisher&gt;&lt;urls&gt;&lt;/urls&gt;&lt;/record&gt;&lt;/Cite&gt;&lt;/EndNote&gt;</w:instrText>
      </w:r>
      <w:r w:rsidR="00A541ED">
        <w:fldChar w:fldCharType="separate"/>
      </w:r>
      <w:r w:rsidR="007E7B35">
        <w:rPr>
          <w:noProof/>
        </w:rPr>
        <w:t>(Tickell, 2005)</w:t>
      </w:r>
      <w:r w:rsidR="00A541ED">
        <w:fldChar w:fldCharType="end"/>
      </w:r>
      <w:r w:rsidR="00D77291" w:rsidRPr="00D77291">
        <w:t xml:space="preserve">. Most detailed studies investigating shallow groundwater in the Beetaloo GBA region would be around Lake Woods </w:t>
      </w:r>
      <w:r w:rsidR="00A541ED">
        <w:fldChar w:fldCharType="begin"/>
      </w:r>
      <w:r w:rsidR="00F76E0D">
        <w:instrText xml:space="preserve"> ADDIN EN.CITE &lt;EndNote&gt;&lt;Cite&gt;&lt;Author&gt;de Caritat&lt;/Author&gt;&lt;Year&gt;2019&lt;/Year&gt;&lt;RecNum&gt;910&lt;/RecNum&gt;&lt;DisplayText&gt;(de Caritat et al., 2019)&lt;/DisplayText&gt;&lt;record&gt;&lt;rec-number&gt;910&lt;/rec-number&gt;&lt;foreign-keys&gt;&lt;key app="EN" db-id="wdf9tzzdhw2saee559kv0vezt0wfsta0zedv" timestamp="1555975788"&gt;910&lt;/key&gt;&lt;/foreign-keys&gt;&lt;ref-type name="Journal Article"&gt;17&lt;/ref-type&gt;&lt;contributors&gt;&lt;authors&gt;&lt;author&gt;de Caritat, P&lt;/author&gt;&lt;author&gt;Bastrakov, EN&lt;/author&gt;&lt;author&gt;Jaireth, S&lt;/author&gt;&lt;author&gt;English, PM&lt;/author&gt;&lt;author&gt;Clarke, JDA&lt;/author&gt;&lt;author&gt;Mernagh, TP&lt;/author&gt;&lt;author&gt;Wygralak, AS&lt;/author&gt;&lt;author&gt;Dulfer, HE&lt;/author&gt;&lt;author&gt;Trafford, J &lt;/author&gt;&lt;/authors&gt;&lt;/contributors&gt;&lt;titles&gt;&lt;title&gt;Groundwater geochemistry, hydrogeology and potash mineral potential of the Lake Woods region, Northern Territory, Australia&lt;/title&gt;&lt;secondary-title&gt;Australian Journal of Earth Sciences&lt;/secondary-title&gt;&lt;/titles&gt;&lt;periodical&gt;&lt;full-title&gt;Australian Journal of Earth Sciences&lt;/full-title&gt;&lt;/periodical&gt;&lt;pages&gt;1-20&lt;/pages&gt;&lt;dates&gt;&lt;year&gt;2019&lt;/year&gt;&lt;/dates&gt;&lt;urls&gt;&lt;/urls&gt;&lt;electronic-resource-num&gt;10.1080/08120099.2018.1543208&lt;/electronic-resource-num&gt;&lt;/record&gt;&lt;/Cite&gt;&lt;/EndNote&gt;</w:instrText>
      </w:r>
      <w:r w:rsidR="00A541ED">
        <w:fldChar w:fldCharType="separate"/>
      </w:r>
      <w:r w:rsidR="00A541ED">
        <w:rPr>
          <w:noProof/>
        </w:rPr>
        <w:t>(de Caritat et al., 2019)</w:t>
      </w:r>
      <w:r w:rsidR="00A541ED">
        <w:fldChar w:fldCharType="end"/>
      </w:r>
      <w:r w:rsidR="00D77291" w:rsidRPr="00D77291">
        <w:t xml:space="preserve"> and investigations around Mataranka Thermal Pools (e.g.</w:t>
      </w:r>
      <w:r w:rsidR="0061129D">
        <w:t xml:space="preserve"> </w:t>
      </w:r>
      <w:r w:rsidR="00A541ED">
        <w:fldChar w:fldCharType="begin"/>
      </w:r>
      <w:r w:rsidR="00F76E0D">
        <w:instrText xml:space="preserve"> ADDIN EN.CITE &lt;EndNote&gt;&lt;Cite AuthorYear="1"&gt;&lt;Author&gt;Karp&lt;/Author&gt;&lt;Year&gt;2008&lt;/Year&gt;&lt;RecNum&gt;911&lt;/RecNum&gt;&lt;DisplayText&gt;Karp (2008)&lt;/DisplayText&gt;&lt;record&gt;&lt;rec-number&gt;911&lt;/rec-number&gt;&lt;foreign-keys&gt;&lt;key app="EN" db-id="wdf9tzzdhw2saee559kv0vezt0wfsta0zedv" timestamp="1555975788"&gt;911&lt;/key&gt;&lt;/foreign-keys&gt;&lt;ref-type name="Report"&gt;27&lt;/ref-type&gt;&lt;contributors&gt;&lt;authors&gt;&lt;author&gt;Karp, D.&lt;/author&gt;&lt;/authors&gt;&lt;/contributors&gt;&lt;titles&gt;&lt;title&gt;Surface and groundwater interaction the Mataranka area&lt;/title&gt;&lt;/titles&gt;&lt;pages&gt;69&lt;/pages&gt;&lt;number&gt;17/2008D&lt;/number&gt;&lt;dates&gt;&lt;year&gt;2008&lt;/year&gt;&lt;/dates&gt;&lt;publisher&gt;Department of Natural Resources, Environment, the Arts and Sport (NT)&lt;/publisher&gt;&lt;urls&gt;&lt;/urls&gt;&lt;/record&gt;&lt;/Cite&gt;&lt;/EndNote&gt;</w:instrText>
      </w:r>
      <w:r w:rsidR="00A541ED">
        <w:fldChar w:fldCharType="separate"/>
      </w:r>
      <w:r w:rsidR="00A541ED">
        <w:rPr>
          <w:noProof/>
        </w:rPr>
        <w:t>Karp (2008)</w:t>
      </w:r>
      <w:r w:rsidR="00A541ED">
        <w:fldChar w:fldCharType="end"/>
      </w:r>
      <w:r w:rsidR="00B6110F">
        <w:t>)</w:t>
      </w:r>
      <w:r w:rsidR="00D77291">
        <w:t>.</w:t>
      </w:r>
    </w:p>
    <w:p w14:paraId="5E53DF99" w14:textId="1AD2EA19" w:rsidR="002935EE" w:rsidRPr="000B6198" w:rsidRDefault="002935EE" w:rsidP="00C00F6D">
      <w:pPr>
        <w:pStyle w:val="Heading3"/>
      </w:pPr>
      <w:bookmarkStart w:id="706" w:name="_Toc4072466"/>
      <w:bookmarkStart w:id="707" w:name="_Ref4664843"/>
      <w:bookmarkStart w:id="708" w:name="_Toc5020796"/>
      <w:bookmarkStart w:id="709" w:name="_Toc5021603"/>
      <w:bookmarkStart w:id="710" w:name="_Toc5808364"/>
      <w:bookmarkStart w:id="711" w:name="_Toc5895057"/>
      <w:bookmarkStart w:id="712" w:name="_Toc6308945"/>
      <w:bookmarkStart w:id="713" w:name="_Toc6327609"/>
      <w:bookmarkStart w:id="714" w:name="_Ref33450794"/>
      <w:bookmarkStart w:id="715" w:name="_Ref34299142"/>
      <w:bookmarkStart w:id="716" w:name="_Toc38990444"/>
      <w:r>
        <w:t>Hydrochemistry</w:t>
      </w:r>
      <w:bookmarkEnd w:id="706"/>
      <w:bookmarkEnd w:id="707"/>
      <w:bookmarkEnd w:id="708"/>
      <w:bookmarkEnd w:id="709"/>
      <w:bookmarkEnd w:id="710"/>
      <w:bookmarkEnd w:id="711"/>
      <w:bookmarkEnd w:id="712"/>
      <w:bookmarkEnd w:id="713"/>
      <w:bookmarkEnd w:id="714"/>
      <w:bookmarkEnd w:id="715"/>
      <w:bookmarkEnd w:id="716"/>
    </w:p>
    <w:bookmarkStart w:id="717" w:name="_Ref535921484"/>
    <w:bookmarkStart w:id="718" w:name="_Toc272015"/>
    <w:p w14:paraId="3F02CFD1" w14:textId="3894BBC0" w:rsidR="00E2259E" w:rsidRDefault="00FD2515" w:rsidP="00E2259E">
      <w:pPr>
        <w:pStyle w:val="BodyText"/>
      </w:pPr>
      <w:r>
        <w:fldChar w:fldCharType="begin"/>
      </w:r>
      <w:r>
        <w:instrText xml:space="preserve"> REF _Ref9521092 \h </w:instrText>
      </w:r>
      <w:r>
        <w:fldChar w:fldCharType="separate"/>
      </w:r>
      <w:r w:rsidR="00B177F5">
        <w:t xml:space="preserve">Table </w:t>
      </w:r>
      <w:r w:rsidR="00B177F5">
        <w:rPr>
          <w:noProof/>
        </w:rPr>
        <w:t>6</w:t>
      </w:r>
      <w:r>
        <w:fldChar w:fldCharType="end"/>
      </w:r>
      <w:r w:rsidR="003E7387">
        <w:t xml:space="preserve"> </w:t>
      </w:r>
      <w:r w:rsidR="00273369">
        <w:t>summarises</w:t>
      </w:r>
      <w:r w:rsidR="00E2259E">
        <w:t xml:space="preserve"> the hydrochemical </w:t>
      </w:r>
      <w:r w:rsidR="005E3755">
        <w:t xml:space="preserve">data </w:t>
      </w:r>
      <w:r w:rsidR="00273369">
        <w:t xml:space="preserve">from </w:t>
      </w:r>
      <w:r w:rsidR="00A541ED">
        <w:fldChar w:fldCharType="begin"/>
      </w:r>
      <w:r w:rsidR="008F30E0">
        <w:instrText xml:space="preserve"> ADDIN EN.CITE &lt;EndNote&gt;&lt;Cite AuthorYear="1"&gt;&lt;Author&gt;Geological and Bioregional Assessment Program&lt;/Author&gt;&lt;Year&gt;2019&lt;/Year&gt;&lt;RecNum&gt;886&lt;/RecNum&gt;&lt;DisplayText&gt;Geological and Bioregional Assessment Program (2019h)&lt;/DisplayText&gt;&lt;record&gt;&lt;rec-number&gt;886&lt;/rec-number&gt;&lt;foreign-keys&gt;&lt;key app="EN" db-id="wdf9tzzdhw2saee559kv0vezt0wfsta0zedv" timestamp="1553830844"&gt;886&lt;/key&gt;&lt;/foreign-keys&gt;&lt;ref-type name="Dataset"&gt;59&lt;/ref-type&gt;&lt;contributors&gt;&lt;authors&gt;&lt;author&gt;Geological and Bioregional Assessment Program,&lt;/author&gt;&lt;/authors&gt;&lt;secondary-authors&gt;&lt;author&gt;Geoscience Australia,&lt;/author&gt;&lt;/secondary-authors&gt;&lt;/contributors&gt;&lt;titles&gt;&lt;title&gt;Groundwater chemistry in the Beetaloo GBA groundwater bore data extraction area&lt;/title&gt;&lt;/titles&gt;&lt;dates&gt;&lt;year&gt;2019&lt;/year&gt;&lt;/dates&gt;&lt;label&gt;A0654187-3282-4DB6-B5A4-668A897D4D79&lt;/label&gt;&lt;urls&gt;&lt;related-urls&gt;&lt;url&gt;https://repo.bioregionalassessments.gov.au/metadata/A0654187-3282-4DB6-B5A4-668A897D4D79&lt;/url&gt;&lt;/related-urls&gt;&lt;/urls&gt;&lt;remote-database-name&gt;Beetaloo_GBA_Hydrochemistry.xlsx&lt;/remote-database-name&gt;&lt;language&gt;English&lt;/language&gt;&lt;access-date&gt;03 April 2019&lt;/access-date&gt;&lt;/record&gt;&lt;/Cite&gt;&lt;/EndNote&gt;</w:instrText>
      </w:r>
      <w:r w:rsidR="00A541ED">
        <w:fldChar w:fldCharType="separate"/>
      </w:r>
      <w:r w:rsidR="008F30E0">
        <w:rPr>
          <w:noProof/>
        </w:rPr>
        <w:t>Geological and Bioregional Assessment Program (2019h)</w:t>
      </w:r>
      <w:r w:rsidR="00A541ED">
        <w:fldChar w:fldCharType="end"/>
      </w:r>
      <w:r w:rsidR="0077501D">
        <w:t>, showing t</w:t>
      </w:r>
      <w:r w:rsidR="006E392D">
        <w:t xml:space="preserve">otal dissolved solids </w:t>
      </w:r>
      <w:r w:rsidR="00E35C14">
        <w:t>(</w:t>
      </w:r>
      <w:r w:rsidR="006E392D">
        <w:t>TDS</w:t>
      </w:r>
      <w:r w:rsidR="00E35C14">
        <w:t>)</w:t>
      </w:r>
      <w:r w:rsidR="008E2154">
        <w:t xml:space="preserve">, </w:t>
      </w:r>
      <w:r w:rsidR="00E2259E">
        <w:t xml:space="preserve">pH, and major ion concentrations from groundwater samples from the major lithostratigraphic groups in the Beetaloo GBA </w:t>
      </w:r>
      <w:r w:rsidR="007E752E">
        <w:t>extended region</w:t>
      </w:r>
      <w:r w:rsidR="00E2259E">
        <w:t xml:space="preserve">. </w:t>
      </w:r>
    </w:p>
    <w:p w14:paraId="69EB5818" w14:textId="37B289E2" w:rsidR="00E2259E" w:rsidRDefault="00E2259E" w:rsidP="00E2259E">
      <w:pPr>
        <w:pStyle w:val="BodyText"/>
      </w:pPr>
      <w:r>
        <w:t xml:space="preserve">The following sections provide </w:t>
      </w:r>
      <w:r w:rsidR="00D50A79">
        <w:t xml:space="preserve">a </w:t>
      </w:r>
      <w:r>
        <w:t xml:space="preserve">detailed discussion on the hydrochemical characteristics </w:t>
      </w:r>
      <w:r w:rsidR="008749F0">
        <w:t>of</w:t>
      </w:r>
      <w:r>
        <w:t xml:space="preserve"> the major lithostratigraphic groups of the region</w:t>
      </w:r>
      <w:r w:rsidR="00590615">
        <w:t xml:space="preserve"> based on the most recent sampling data available</w:t>
      </w:r>
      <w:r w:rsidR="00FD2515">
        <w:t xml:space="preserve"> (383 samples)</w:t>
      </w:r>
      <w:r>
        <w:t xml:space="preserve">. </w:t>
      </w:r>
      <w:r w:rsidR="00FD2515">
        <w:fldChar w:fldCharType="begin"/>
      </w:r>
      <w:r w:rsidR="00FD2515">
        <w:instrText xml:space="preserve"> REF _Ref9521092 \h </w:instrText>
      </w:r>
      <w:r w:rsidR="00FD2515">
        <w:fldChar w:fldCharType="separate"/>
      </w:r>
      <w:r w:rsidR="00B177F5">
        <w:t xml:space="preserve">Table </w:t>
      </w:r>
      <w:r w:rsidR="00B177F5">
        <w:rPr>
          <w:noProof/>
        </w:rPr>
        <w:t>6</w:t>
      </w:r>
      <w:r w:rsidR="00FD2515">
        <w:fldChar w:fldCharType="end"/>
      </w:r>
      <w:r w:rsidR="00FD2515">
        <w:t xml:space="preserve"> also includes maximum and minimum values for the full data</w:t>
      </w:r>
      <w:r w:rsidR="008867D1">
        <w:t>set</w:t>
      </w:r>
      <w:r w:rsidR="00FD2515">
        <w:t xml:space="preserve"> of 751</w:t>
      </w:r>
      <w:r w:rsidR="004F1008">
        <w:t> </w:t>
      </w:r>
      <w:r w:rsidR="00FD2515">
        <w:t>samples for completeness</w:t>
      </w:r>
      <w:r w:rsidR="008749F0">
        <w:t xml:space="preserve"> (all results are included in </w:t>
      </w:r>
      <w:r w:rsidR="008749F0">
        <w:fldChar w:fldCharType="begin"/>
      </w:r>
      <w:r w:rsidR="008F30E0">
        <w:instrText xml:space="preserve"> ADDIN EN.CITE &lt;EndNote&gt;&lt;Cite AuthorYear="1"&gt;&lt;Author&gt;Geological and Bioregional Assessment Program&lt;/Author&gt;&lt;Year&gt;2019&lt;/Year&gt;&lt;RecNum&gt;886&lt;/RecNum&gt;&lt;DisplayText&gt;Geological and Bioregional Assessment Program (2019h)&lt;/DisplayText&gt;&lt;record&gt;&lt;rec-number&gt;886&lt;/rec-number&gt;&lt;foreign-keys&gt;&lt;key app="EN" db-id="wdf9tzzdhw2saee559kv0vezt0wfsta0zedv" timestamp="1553830844"&gt;886&lt;/key&gt;&lt;/foreign-keys&gt;&lt;ref-type name="Dataset"&gt;59&lt;/ref-type&gt;&lt;contributors&gt;&lt;authors&gt;&lt;author&gt;Geological and Bioregional Assessment Program,&lt;/author&gt;&lt;/authors&gt;&lt;secondary-authors&gt;&lt;author&gt;Geoscience Australia,&lt;/author&gt;&lt;/secondary-authors&gt;&lt;/contributors&gt;&lt;titles&gt;&lt;title&gt;Groundwater chemistry in the Beetaloo GBA groundwater bore data extraction area&lt;/title&gt;&lt;/titles&gt;&lt;dates&gt;&lt;year&gt;2019&lt;/year&gt;&lt;/dates&gt;&lt;label&gt;A0654187-3282-4DB6-B5A4-668A897D4D79&lt;/label&gt;&lt;urls&gt;&lt;related-urls&gt;&lt;url&gt;https://repo.bioregionalassessments.gov.au/metadata/A0654187-3282-4DB6-B5A4-668A897D4D79&lt;/url&gt;&lt;/related-urls&gt;&lt;/urls&gt;&lt;remote-database-name&gt;Beetaloo_GBA_Hydrochemistry.xlsx&lt;/remote-database-name&gt;&lt;language&gt;English&lt;/language&gt;&lt;access-date&gt;03 April 2019&lt;/access-date&gt;&lt;/record&gt;&lt;/Cite&gt;&lt;/EndNote&gt;</w:instrText>
      </w:r>
      <w:r w:rsidR="008749F0">
        <w:fldChar w:fldCharType="separate"/>
      </w:r>
      <w:r w:rsidR="008F30E0">
        <w:rPr>
          <w:noProof/>
        </w:rPr>
        <w:t>Geological and Bioregional Assessment Program (2019h)</w:t>
      </w:r>
      <w:r w:rsidR="008749F0">
        <w:fldChar w:fldCharType="end"/>
      </w:r>
      <w:r w:rsidR="008749F0">
        <w:t>).</w:t>
      </w:r>
      <w:r w:rsidR="00CE2E83">
        <w:t xml:space="preserve"> </w:t>
      </w:r>
      <w:r w:rsidR="00E713E9">
        <w:t xml:space="preserve">The </w:t>
      </w:r>
      <w:r w:rsidR="00292093">
        <w:t>h</w:t>
      </w:r>
      <w:r w:rsidR="00CE2E83">
        <w:t xml:space="preserve">ydrochemistry of several </w:t>
      </w:r>
      <w:r w:rsidR="009A2641">
        <w:t>litho</w:t>
      </w:r>
      <w:r w:rsidR="00CE2E83">
        <w:t xml:space="preserve">stratigraphic units is somewhat uncertain across the Beetaloo GBA </w:t>
      </w:r>
      <w:r w:rsidR="00483A05">
        <w:t xml:space="preserve">extended </w:t>
      </w:r>
      <w:r w:rsidR="00CE2E83">
        <w:t xml:space="preserve">region due to </w:t>
      </w:r>
      <w:r w:rsidR="00C20E3D">
        <w:t xml:space="preserve">lack of </w:t>
      </w:r>
      <w:r w:rsidR="00CE2E83">
        <w:t xml:space="preserve">data. </w:t>
      </w:r>
      <w:r w:rsidR="009A2641">
        <w:t>It is therefore important to note that t</w:t>
      </w:r>
      <w:r w:rsidR="00CE2E83">
        <w:t xml:space="preserve">he results presented below </w:t>
      </w:r>
      <w:r w:rsidR="00EC2956">
        <w:t>may</w:t>
      </w:r>
      <w:r w:rsidR="00CE2E83">
        <w:t xml:space="preserve"> not necessarily represent </w:t>
      </w:r>
      <w:r w:rsidR="00C20E3D">
        <w:t xml:space="preserve">hydrochemical </w:t>
      </w:r>
      <w:r w:rsidR="00CE2E83">
        <w:t xml:space="preserve">conditions </w:t>
      </w:r>
      <w:r w:rsidR="00C20E3D">
        <w:t>for an aquifer across the whole of the Beetaloo GBA region</w:t>
      </w:r>
      <w:r w:rsidR="00CE2E83">
        <w:t xml:space="preserve">. </w:t>
      </w:r>
    </w:p>
    <w:p w14:paraId="787C9F13" w14:textId="2618B61B" w:rsidR="003A5B5A" w:rsidRDefault="003A5B5A" w:rsidP="00E2259E">
      <w:pPr>
        <w:pStyle w:val="BodyText"/>
        <w:sectPr w:rsidR="003A5B5A" w:rsidSect="00132A64">
          <w:headerReference w:type="even" r:id="rId88"/>
          <w:headerReference w:type="default" r:id="rId89"/>
          <w:pgSz w:w="11906" w:h="16838" w:code="9"/>
          <w:pgMar w:top="1247" w:right="1134" w:bottom="1134" w:left="1134" w:header="510" w:footer="624" w:gutter="0"/>
          <w:cols w:space="284"/>
          <w:docGrid w:linePitch="360"/>
        </w:sectPr>
      </w:pPr>
    </w:p>
    <w:p w14:paraId="7A6BEF4E" w14:textId="6FF30A0A" w:rsidR="007E752E" w:rsidRDefault="003A5B5A" w:rsidP="003A5B5A">
      <w:pPr>
        <w:pStyle w:val="Caption"/>
      </w:pPr>
      <w:bookmarkStart w:id="719" w:name="_Ref9521092"/>
      <w:bookmarkStart w:id="720" w:name="_Toc38990506"/>
      <w:bookmarkStart w:id="721" w:name="_Hlk35350075"/>
      <w:r>
        <w:t xml:space="preserve">Table </w:t>
      </w:r>
      <w:r>
        <w:rPr>
          <w:noProof/>
        </w:rPr>
        <w:fldChar w:fldCharType="begin"/>
      </w:r>
      <w:r>
        <w:rPr>
          <w:noProof/>
        </w:rPr>
        <w:instrText xml:space="preserve"> SEQ Table \* ARABIC </w:instrText>
      </w:r>
      <w:r>
        <w:rPr>
          <w:noProof/>
        </w:rPr>
        <w:fldChar w:fldCharType="separate"/>
      </w:r>
      <w:r w:rsidR="00B177F5">
        <w:rPr>
          <w:noProof/>
        </w:rPr>
        <w:t>6</w:t>
      </w:r>
      <w:r>
        <w:rPr>
          <w:noProof/>
        </w:rPr>
        <w:fldChar w:fldCharType="end"/>
      </w:r>
      <w:bookmarkEnd w:id="719"/>
      <w:r>
        <w:t xml:space="preserve"> Hydrochemistry of </w:t>
      </w:r>
      <w:r w:rsidR="009A2641">
        <w:t>groundwater samples from</w:t>
      </w:r>
      <w:r>
        <w:t xml:space="preserve"> the Beetaloo GBA region</w:t>
      </w:r>
      <w:r w:rsidR="009A2641">
        <w:t xml:space="preserve"> and surrounds</w:t>
      </w:r>
      <w:bookmarkEnd w:id="720"/>
    </w:p>
    <w:p w14:paraId="0350F29B" w14:textId="24E4D92A" w:rsidR="003A5B5A" w:rsidRDefault="003A5B5A" w:rsidP="007E752E">
      <w:pPr>
        <w:pStyle w:val="SourceornoteforTableorFigure"/>
      </w:pPr>
      <w:r>
        <w:t>Values in brackets are average analyte value</w:t>
      </w:r>
      <w:r w:rsidR="009A2641">
        <w:t>s</w:t>
      </w:r>
      <w:r>
        <w:t xml:space="preserve">. </w:t>
      </w:r>
    </w:p>
    <w:tbl>
      <w:tblPr>
        <w:tblStyle w:val="TableBAHeaderRowandColumn"/>
        <w:tblW w:w="14514" w:type="dxa"/>
        <w:tblLayout w:type="fixed"/>
        <w:tblLook w:val="04A0" w:firstRow="1" w:lastRow="0" w:firstColumn="1" w:lastColumn="0" w:noHBand="0" w:noVBand="1"/>
      </w:tblPr>
      <w:tblGrid>
        <w:gridCol w:w="710"/>
        <w:gridCol w:w="1959"/>
        <w:gridCol w:w="1054"/>
        <w:gridCol w:w="1047"/>
        <w:gridCol w:w="1182"/>
        <w:gridCol w:w="1070"/>
        <w:gridCol w:w="1070"/>
        <w:gridCol w:w="1070"/>
        <w:gridCol w:w="1071"/>
        <w:gridCol w:w="1070"/>
        <w:gridCol w:w="1070"/>
        <w:gridCol w:w="1070"/>
        <w:gridCol w:w="1071"/>
      </w:tblGrid>
      <w:tr w:rsidR="007646F9" w:rsidRPr="00D36740" w14:paraId="5DE1C802" w14:textId="77777777" w:rsidTr="007E752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710" w:type="dxa"/>
            <w:tcBorders>
              <w:bottom w:val="single" w:sz="8" w:space="0" w:color="FFFFFF" w:themeColor="background1"/>
            </w:tcBorders>
          </w:tcPr>
          <w:p w14:paraId="60B58D6D" w14:textId="77777777" w:rsidR="007646F9" w:rsidRPr="00DF6E53" w:rsidRDefault="007646F9" w:rsidP="003A5B5A">
            <w:pPr>
              <w:pStyle w:val="TableTextRight"/>
            </w:pPr>
          </w:p>
        </w:tc>
        <w:tc>
          <w:tcPr>
            <w:tcW w:w="1959" w:type="dxa"/>
            <w:tcBorders>
              <w:bottom w:val="single" w:sz="8" w:space="0" w:color="FFFFFF" w:themeColor="background1"/>
            </w:tcBorders>
          </w:tcPr>
          <w:p w14:paraId="2FFF85CF" w14:textId="77777777" w:rsidR="007646F9" w:rsidRPr="00DF6E53" w:rsidRDefault="007646F9" w:rsidP="003A5B5A">
            <w:pPr>
              <w:pStyle w:val="TableTextRight"/>
              <w:cnfStyle w:val="100000000000" w:firstRow="1" w:lastRow="0" w:firstColumn="0" w:lastColumn="0" w:oddVBand="0" w:evenVBand="0" w:oddHBand="0" w:evenHBand="0" w:firstRowFirstColumn="0" w:firstRowLastColumn="0" w:lastRowFirstColumn="0" w:lastRowLastColumn="0"/>
            </w:pPr>
          </w:p>
        </w:tc>
        <w:tc>
          <w:tcPr>
            <w:tcW w:w="1054" w:type="dxa"/>
            <w:vMerge w:val="restart"/>
            <w:tcBorders>
              <w:bottom w:val="single" w:sz="8" w:space="0" w:color="FFFFFF" w:themeColor="background1"/>
            </w:tcBorders>
            <w:vAlign w:val="center"/>
          </w:tcPr>
          <w:p w14:paraId="78BD2FA9" w14:textId="525C6F68" w:rsidR="007646F9" w:rsidRPr="00DF6E53" w:rsidRDefault="00B63468" w:rsidP="00D36740">
            <w:pPr>
              <w:pStyle w:val="TableTextRight"/>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Pr>
                <w:color w:val="FFFFFF" w:themeColor="background1"/>
              </w:rPr>
              <w:t>No. of samples</w:t>
            </w:r>
          </w:p>
        </w:tc>
        <w:tc>
          <w:tcPr>
            <w:tcW w:w="1047" w:type="dxa"/>
            <w:vMerge w:val="restart"/>
            <w:tcBorders>
              <w:bottom w:val="single" w:sz="8" w:space="0" w:color="FFFFFF" w:themeColor="background1"/>
            </w:tcBorders>
            <w:vAlign w:val="center"/>
          </w:tcPr>
          <w:p w14:paraId="0CDA61F4" w14:textId="77777777" w:rsidR="007646F9" w:rsidRPr="00DF6E53" w:rsidRDefault="007646F9" w:rsidP="003A5B5A">
            <w:pPr>
              <w:pStyle w:val="TableTextRight"/>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DF6E53">
              <w:rPr>
                <w:color w:val="FFFFFF" w:themeColor="background1"/>
              </w:rPr>
              <w:t>TDS</w:t>
            </w:r>
          </w:p>
          <w:p w14:paraId="30EC9559" w14:textId="2444A018" w:rsidR="007646F9" w:rsidRPr="00DF6E53" w:rsidRDefault="007646F9" w:rsidP="003A5B5A">
            <w:pPr>
              <w:pStyle w:val="TableTextRight"/>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DF6E53">
              <w:rPr>
                <w:color w:val="FFFFFF" w:themeColor="background1"/>
              </w:rPr>
              <w:t>(mg/</w:t>
            </w:r>
            <w:r w:rsidR="00E9244A">
              <w:rPr>
                <w:color w:val="FFFFFF" w:themeColor="background1"/>
              </w:rPr>
              <w:t>L</w:t>
            </w:r>
            <w:r w:rsidRPr="00DF6E53">
              <w:rPr>
                <w:color w:val="FFFFFF" w:themeColor="background1"/>
              </w:rPr>
              <w:t>)</w:t>
            </w:r>
          </w:p>
        </w:tc>
        <w:tc>
          <w:tcPr>
            <w:tcW w:w="1182" w:type="dxa"/>
            <w:vMerge w:val="restart"/>
            <w:tcBorders>
              <w:top w:val="nil"/>
              <w:bottom w:val="single" w:sz="8" w:space="0" w:color="FFFFFF" w:themeColor="background1"/>
            </w:tcBorders>
            <w:vAlign w:val="center"/>
          </w:tcPr>
          <w:p w14:paraId="7F2A4AA6" w14:textId="77777777" w:rsidR="007646F9" w:rsidRPr="00DF6E53" w:rsidRDefault="007646F9" w:rsidP="003A5B5A">
            <w:pPr>
              <w:pStyle w:val="TableTextRight"/>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DF6E53">
              <w:rPr>
                <w:color w:val="FFFFFF" w:themeColor="background1"/>
              </w:rPr>
              <w:t>pH</w:t>
            </w:r>
          </w:p>
        </w:tc>
        <w:tc>
          <w:tcPr>
            <w:tcW w:w="1070" w:type="dxa"/>
            <w:tcBorders>
              <w:top w:val="nil"/>
              <w:bottom w:val="single" w:sz="8" w:space="0" w:color="FFFFFF" w:themeColor="background1"/>
            </w:tcBorders>
            <w:shd w:val="clear" w:color="auto" w:fill="146692"/>
          </w:tcPr>
          <w:p w14:paraId="096371F3" w14:textId="77777777" w:rsidR="007646F9" w:rsidRPr="00D36740" w:rsidRDefault="007646F9" w:rsidP="003A5B5A">
            <w:pPr>
              <w:pStyle w:val="TableTextRight"/>
              <w:jc w:val="center"/>
              <w:cnfStyle w:val="100000000000" w:firstRow="1" w:lastRow="0" w:firstColumn="0" w:lastColumn="0" w:oddVBand="0" w:evenVBand="0" w:oddHBand="0" w:evenHBand="0" w:firstRowFirstColumn="0" w:firstRowLastColumn="0" w:lastRowFirstColumn="0" w:lastRowLastColumn="0"/>
              <w:rPr>
                <w:color w:val="FFFFFF" w:themeColor="background1"/>
              </w:rPr>
            </w:pPr>
          </w:p>
        </w:tc>
        <w:tc>
          <w:tcPr>
            <w:tcW w:w="7492" w:type="dxa"/>
            <w:gridSpan w:val="7"/>
            <w:tcBorders>
              <w:top w:val="nil"/>
              <w:bottom w:val="single" w:sz="8" w:space="0" w:color="FFFFFF" w:themeColor="background1"/>
            </w:tcBorders>
          </w:tcPr>
          <w:p w14:paraId="147EC1E9" w14:textId="06218359" w:rsidR="007646F9" w:rsidRPr="00DF6E53" w:rsidRDefault="007646F9" w:rsidP="003A5B5A">
            <w:pPr>
              <w:pStyle w:val="TableTextRight"/>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DF6E53">
              <w:rPr>
                <w:color w:val="FFFFFF" w:themeColor="background1"/>
              </w:rPr>
              <w:t xml:space="preserve">Major </w:t>
            </w:r>
            <w:r w:rsidR="00946E46">
              <w:rPr>
                <w:color w:val="FFFFFF" w:themeColor="background1"/>
              </w:rPr>
              <w:t>i</w:t>
            </w:r>
            <w:r w:rsidRPr="00DF6E53">
              <w:rPr>
                <w:color w:val="FFFFFF" w:themeColor="background1"/>
              </w:rPr>
              <w:t xml:space="preserve">on </w:t>
            </w:r>
            <w:r w:rsidR="00946E46">
              <w:rPr>
                <w:color w:val="FFFFFF" w:themeColor="background1"/>
              </w:rPr>
              <w:t>c</w:t>
            </w:r>
            <w:r w:rsidRPr="00DF6E53">
              <w:rPr>
                <w:color w:val="FFFFFF" w:themeColor="background1"/>
              </w:rPr>
              <w:t>oncentration (mg/</w:t>
            </w:r>
            <w:r w:rsidR="00E9244A">
              <w:rPr>
                <w:color w:val="FFFFFF" w:themeColor="background1"/>
              </w:rPr>
              <w:t>L</w:t>
            </w:r>
            <w:r w:rsidRPr="00DF6E53">
              <w:rPr>
                <w:color w:val="FFFFFF" w:themeColor="background1"/>
              </w:rPr>
              <w:t>)</w:t>
            </w:r>
          </w:p>
        </w:tc>
      </w:tr>
      <w:tr w:rsidR="007646F9" w:rsidRPr="00D36740" w14:paraId="50FD3F92" w14:textId="77777777" w:rsidTr="007E75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 w:type="dxa"/>
            <w:tcBorders>
              <w:top w:val="single" w:sz="8" w:space="0" w:color="FFFFFF" w:themeColor="background1"/>
              <w:bottom w:val="single" w:sz="8" w:space="0" w:color="FFFFFF" w:themeColor="background1"/>
            </w:tcBorders>
          </w:tcPr>
          <w:p w14:paraId="39C2CFB1" w14:textId="77777777" w:rsidR="007646F9" w:rsidRPr="00DF6E53" w:rsidRDefault="007646F9" w:rsidP="003A5B5A">
            <w:pPr>
              <w:pStyle w:val="TableTextRight"/>
              <w:rPr>
                <w:color w:val="FFFFFF" w:themeColor="background1"/>
              </w:rPr>
            </w:pPr>
          </w:p>
        </w:tc>
        <w:tc>
          <w:tcPr>
            <w:tcW w:w="1959" w:type="dxa"/>
            <w:tcBorders>
              <w:top w:val="single" w:sz="8" w:space="0" w:color="FFFFFF" w:themeColor="background1"/>
              <w:bottom w:val="single" w:sz="8" w:space="0" w:color="FFFFFF" w:themeColor="background1"/>
            </w:tcBorders>
            <w:shd w:val="clear" w:color="auto" w:fill="146692"/>
          </w:tcPr>
          <w:p w14:paraId="01A68069" w14:textId="77777777" w:rsidR="007646F9" w:rsidRPr="00DF6E53" w:rsidRDefault="007646F9" w:rsidP="003A5B5A">
            <w:pPr>
              <w:pStyle w:val="TableTextRight"/>
              <w:cnfStyle w:val="000000100000" w:firstRow="0" w:lastRow="0" w:firstColumn="0" w:lastColumn="0" w:oddVBand="0" w:evenVBand="0" w:oddHBand="1" w:evenHBand="0" w:firstRowFirstColumn="0" w:firstRowLastColumn="0" w:lastRowFirstColumn="0" w:lastRowLastColumn="0"/>
              <w:rPr>
                <w:b/>
                <w:color w:val="FFFFFF" w:themeColor="background1"/>
              </w:rPr>
            </w:pPr>
            <w:r w:rsidRPr="00DF6E53">
              <w:rPr>
                <w:b/>
                <w:bCs/>
                <w:color w:val="FFFFFF" w:themeColor="background1"/>
              </w:rPr>
              <w:t>Lith. Group</w:t>
            </w:r>
          </w:p>
        </w:tc>
        <w:tc>
          <w:tcPr>
            <w:tcW w:w="1054" w:type="dxa"/>
            <w:vMerge/>
          </w:tcPr>
          <w:p w14:paraId="6B98FE14" w14:textId="77777777" w:rsidR="007646F9" w:rsidRPr="00DF6E53" w:rsidRDefault="007646F9" w:rsidP="003A5B5A">
            <w:pPr>
              <w:pStyle w:val="TableTextRight"/>
              <w:cnfStyle w:val="000000100000" w:firstRow="0" w:lastRow="0" w:firstColumn="0" w:lastColumn="0" w:oddVBand="0" w:evenVBand="0" w:oddHBand="1" w:evenHBand="0" w:firstRowFirstColumn="0" w:firstRowLastColumn="0" w:lastRowFirstColumn="0" w:lastRowLastColumn="0"/>
              <w:rPr>
                <w:color w:val="FFFFFF" w:themeColor="background1"/>
              </w:rPr>
            </w:pPr>
          </w:p>
        </w:tc>
        <w:tc>
          <w:tcPr>
            <w:tcW w:w="1047" w:type="dxa"/>
            <w:vMerge/>
          </w:tcPr>
          <w:p w14:paraId="67583F79" w14:textId="77777777" w:rsidR="007646F9" w:rsidRPr="00DF6E53" w:rsidRDefault="007646F9" w:rsidP="003A5B5A">
            <w:pPr>
              <w:pStyle w:val="TableTextRight"/>
              <w:cnfStyle w:val="000000100000" w:firstRow="0" w:lastRow="0" w:firstColumn="0" w:lastColumn="0" w:oddVBand="0" w:evenVBand="0" w:oddHBand="1" w:evenHBand="0" w:firstRowFirstColumn="0" w:firstRowLastColumn="0" w:lastRowFirstColumn="0" w:lastRowLastColumn="0"/>
              <w:rPr>
                <w:color w:val="FFFFFF" w:themeColor="background1"/>
              </w:rPr>
            </w:pPr>
          </w:p>
        </w:tc>
        <w:tc>
          <w:tcPr>
            <w:tcW w:w="1182" w:type="dxa"/>
            <w:vMerge/>
          </w:tcPr>
          <w:p w14:paraId="3F87F43A" w14:textId="77777777" w:rsidR="007646F9" w:rsidRPr="00DF6E53" w:rsidRDefault="007646F9" w:rsidP="003A5B5A">
            <w:pPr>
              <w:pStyle w:val="TableTextRight"/>
              <w:cnfStyle w:val="000000100000" w:firstRow="0" w:lastRow="0" w:firstColumn="0" w:lastColumn="0" w:oddVBand="0" w:evenVBand="0" w:oddHBand="1" w:evenHBand="0" w:firstRowFirstColumn="0" w:firstRowLastColumn="0" w:lastRowFirstColumn="0" w:lastRowLastColumn="0"/>
              <w:rPr>
                <w:color w:val="FFFFFF" w:themeColor="background1"/>
              </w:rPr>
            </w:pPr>
          </w:p>
        </w:tc>
        <w:tc>
          <w:tcPr>
            <w:tcW w:w="1070" w:type="dxa"/>
            <w:tcBorders>
              <w:top w:val="single" w:sz="8" w:space="0" w:color="FFFFFF" w:themeColor="background1"/>
              <w:bottom w:val="single" w:sz="8" w:space="0" w:color="FFFFFF" w:themeColor="background1"/>
            </w:tcBorders>
            <w:shd w:val="clear" w:color="auto" w:fill="146692"/>
          </w:tcPr>
          <w:p w14:paraId="5DB124CB" w14:textId="4FE442C4" w:rsidR="007646F9" w:rsidRPr="00DF6E53" w:rsidRDefault="007646F9" w:rsidP="003A5B5A">
            <w:pPr>
              <w:pStyle w:val="TableTextRight"/>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Pr>
                <w:color w:val="FFFFFF" w:themeColor="background1"/>
              </w:rPr>
              <w:t>Ca</w:t>
            </w:r>
          </w:p>
        </w:tc>
        <w:tc>
          <w:tcPr>
            <w:tcW w:w="1070" w:type="dxa"/>
            <w:tcBorders>
              <w:top w:val="single" w:sz="8" w:space="0" w:color="FFFFFF" w:themeColor="background1"/>
              <w:bottom w:val="single" w:sz="8" w:space="0" w:color="FFFFFF" w:themeColor="background1"/>
            </w:tcBorders>
            <w:shd w:val="clear" w:color="auto" w:fill="146692"/>
          </w:tcPr>
          <w:p w14:paraId="6FDD63C6" w14:textId="251774C3" w:rsidR="007646F9" w:rsidRPr="00DF6E53" w:rsidRDefault="007646F9" w:rsidP="003A5B5A">
            <w:pPr>
              <w:pStyle w:val="TableTextRight"/>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Pr>
                <w:color w:val="FFFFFF" w:themeColor="background1"/>
              </w:rPr>
              <w:t>Mg</w:t>
            </w:r>
          </w:p>
        </w:tc>
        <w:tc>
          <w:tcPr>
            <w:tcW w:w="1070" w:type="dxa"/>
            <w:tcBorders>
              <w:top w:val="single" w:sz="8" w:space="0" w:color="FFFFFF" w:themeColor="background1"/>
              <w:bottom w:val="single" w:sz="8" w:space="0" w:color="FFFFFF" w:themeColor="background1"/>
            </w:tcBorders>
            <w:shd w:val="clear" w:color="auto" w:fill="146692"/>
          </w:tcPr>
          <w:p w14:paraId="1B498F94" w14:textId="25D86216" w:rsidR="007646F9" w:rsidRPr="00DF6E53" w:rsidRDefault="007646F9" w:rsidP="003A5B5A">
            <w:pPr>
              <w:pStyle w:val="TableTextRight"/>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Pr>
                <w:color w:val="FFFFFF" w:themeColor="background1"/>
              </w:rPr>
              <w:t>Na</w:t>
            </w:r>
          </w:p>
        </w:tc>
        <w:tc>
          <w:tcPr>
            <w:tcW w:w="1071" w:type="dxa"/>
            <w:tcBorders>
              <w:top w:val="single" w:sz="8" w:space="0" w:color="FFFFFF" w:themeColor="background1"/>
              <w:bottom w:val="single" w:sz="8" w:space="0" w:color="FFFFFF" w:themeColor="background1"/>
            </w:tcBorders>
            <w:shd w:val="clear" w:color="auto" w:fill="146692"/>
          </w:tcPr>
          <w:p w14:paraId="7015E2ED" w14:textId="21B60216" w:rsidR="007646F9" w:rsidRPr="00DF6E53" w:rsidRDefault="007646F9" w:rsidP="003A5B5A">
            <w:pPr>
              <w:pStyle w:val="TableTextRight"/>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Pr>
                <w:color w:val="FFFFFF" w:themeColor="background1"/>
              </w:rPr>
              <w:t>K</w:t>
            </w:r>
          </w:p>
        </w:tc>
        <w:tc>
          <w:tcPr>
            <w:tcW w:w="1070" w:type="dxa"/>
            <w:tcBorders>
              <w:top w:val="single" w:sz="8" w:space="0" w:color="FFFFFF" w:themeColor="background1"/>
              <w:bottom w:val="single" w:sz="8" w:space="0" w:color="FFFFFF" w:themeColor="background1"/>
            </w:tcBorders>
            <w:shd w:val="clear" w:color="auto" w:fill="146692"/>
          </w:tcPr>
          <w:p w14:paraId="12AF86DA" w14:textId="77777777" w:rsidR="007646F9" w:rsidRPr="00DF6E53" w:rsidRDefault="007646F9" w:rsidP="003A5B5A">
            <w:pPr>
              <w:pStyle w:val="TableTextRight"/>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DF6E53">
              <w:rPr>
                <w:color w:val="FFFFFF" w:themeColor="background1"/>
              </w:rPr>
              <w:t>HCO</w:t>
            </w:r>
            <w:r w:rsidRPr="00DF6E53">
              <w:rPr>
                <w:color w:val="FFFFFF" w:themeColor="background1"/>
                <w:vertAlign w:val="subscript"/>
              </w:rPr>
              <w:t>3</w:t>
            </w:r>
          </w:p>
        </w:tc>
        <w:tc>
          <w:tcPr>
            <w:tcW w:w="1070" w:type="dxa"/>
            <w:tcBorders>
              <w:top w:val="single" w:sz="8" w:space="0" w:color="FFFFFF" w:themeColor="background1"/>
              <w:bottom w:val="single" w:sz="8" w:space="0" w:color="FFFFFF" w:themeColor="background1"/>
            </w:tcBorders>
            <w:shd w:val="clear" w:color="auto" w:fill="146692"/>
          </w:tcPr>
          <w:p w14:paraId="3C75C37D" w14:textId="5F6FD481" w:rsidR="007646F9" w:rsidRDefault="007646F9" w:rsidP="003A5B5A">
            <w:pPr>
              <w:pStyle w:val="TableTextRight"/>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Pr>
                <w:color w:val="FFFFFF" w:themeColor="background1"/>
              </w:rPr>
              <w:t>CO</w:t>
            </w:r>
            <w:r w:rsidRPr="00DF6E53">
              <w:rPr>
                <w:color w:val="FFFFFF" w:themeColor="background1"/>
                <w:vertAlign w:val="subscript"/>
              </w:rPr>
              <w:t>3</w:t>
            </w:r>
          </w:p>
        </w:tc>
        <w:tc>
          <w:tcPr>
            <w:tcW w:w="1070" w:type="dxa"/>
            <w:tcBorders>
              <w:top w:val="single" w:sz="8" w:space="0" w:color="FFFFFF" w:themeColor="background1"/>
              <w:bottom w:val="single" w:sz="8" w:space="0" w:color="FFFFFF" w:themeColor="background1"/>
            </w:tcBorders>
            <w:shd w:val="clear" w:color="auto" w:fill="146692"/>
          </w:tcPr>
          <w:p w14:paraId="72D50A45" w14:textId="6E9A9C94" w:rsidR="007646F9" w:rsidRPr="00DF6E53" w:rsidRDefault="007646F9" w:rsidP="003A5B5A">
            <w:pPr>
              <w:pStyle w:val="TableTextRight"/>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Pr>
                <w:color w:val="FFFFFF" w:themeColor="background1"/>
              </w:rPr>
              <w:t>Cl</w:t>
            </w:r>
          </w:p>
        </w:tc>
        <w:tc>
          <w:tcPr>
            <w:tcW w:w="1071" w:type="dxa"/>
            <w:tcBorders>
              <w:top w:val="single" w:sz="8" w:space="0" w:color="FFFFFF" w:themeColor="background1"/>
              <w:bottom w:val="single" w:sz="8" w:space="0" w:color="FFFFFF" w:themeColor="background1"/>
            </w:tcBorders>
            <w:shd w:val="clear" w:color="auto" w:fill="146692"/>
          </w:tcPr>
          <w:p w14:paraId="71F7F84B" w14:textId="78453C48" w:rsidR="007646F9" w:rsidRPr="00DF6E53" w:rsidRDefault="007646F9" w:rsidP="003A5B5A">
            <w:pPr>
              <w:pStyle w:val="TableTextRight"/>
              <w:jc w:val="center"/>
              <w:cnfStyle w:val="000000100000" w:firstRow="0" w:lastRow="0" w:firstColumn="0" w:lastColumn="0" w:oddVBand="0" w:evenVBand="0" w:oddHBand="1" w:evenHBand="0" w:firstRowFirstColumn="0" w:firstRowLastColumn="0" w:lastRowFirstColumn="0" w:lastRowLastColumn="0"/>
              <w:rPr>
                <w:color w:val="FFFFFF" w:themeColor="background1"/>
              </w:rPr>
            </w:pPr>
            <w:r w:rsidRPr="00B225A8">
              <w:rPr>
                <w:color w:val="FFFFFF" w:themeColor="background1"/>
              </w:rPr>
              <w:t>SO</w:t>
            </w:r>
            <w:r w:rsidRPr="00B225A8">
              <w:rPr>
                <w:color w:val="FFFFFF" w:themeColor="background1"/>
                <w:vertAlign w:val="subscript"/>
              </w:rPr>
              <w:t>4</w:t>
            </w:r>
          </w:p>
        </w:tc>
      </w:tr>
      <w:tr w:rsidR="007646F9" w:rsidRPr="00D36740" w14:paraId="56B08EEC" w14:textId="77777777" w:rsidTr="007E752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10" w:type="dxa"/>
            <w:tcBorders>
              <w:top w:val="single" w:sz="8" w:space="0" w:color="FFFFFF" w:themeColor="background1"/>
            </w:tcBorders>
          </w:tcPr>
          <w:p w14:paraId="1E7C944A" w14:textId="6B6A15AC" w:rsidR="007646F9" w:rsidRPr="00DF6E53" w:rsidRDefault="007646F9" w:rsidP="006B4B1F">
            <w:pPr>
              <w:pStyle w:val="TableTextRight"/>
              <w:rPr>
                <w:color w:val="FFFFFF" w:themeColor="background1"/>
              </w:rPr>
            </w:pPr>
          </w:p>
        </w:tc>
        <w:tc>
          <w:tcPr>
            <w:tcW w:w="1959" w:type="dxa"/>
            <w:tcBorders>
              <w:top w:val="single" w:sz="8" w:space="0" w:color="FFFFFF" w:themeColor="background1"/>
              <w:bottom w:val="single" w:sz="8" w:space="0" w:color="FFFFFF" w:themeColor="background1"/>
            </w:tcBorders>
            <w:vAlign w:val="center"/>
          </w:tcPr>
          <w:p w14:paraId="2C51A2F7" w14:textId="6B7E008E" w:rsidR="007646F9" w:rsidRPr="00DF6E53" w:rsidRDefault="007646F9" w:rsidP="00D36740">
            <w:pPr>
              <w:pStyle w:val="TableTextRight"/>
              <w:cnfStyle w:val="000000010000" w:firstRow="0" w:lastRow="0" w:firstColumn="0" w:lastColumn="0" w:oddVBand="0" w:evenVBand="0" w:oddHBand="0" w:evenHBand="1" w:firstRowFirstColumn="0" w:firstRowLastColumn="0" w:lastRowFirstColumn="0" w:lastRowLastColumn="0"/>
              <w:rPr>
                <w:b/>
              </w:rPr>
            </w:pPr>
            <w:r w:rsidRPr="00DF6E53">
              <w:rPr>
                <w:b/>
              </w:rPr>
              <w:t>Cenozoic</w:t>
            </w:r>
            <w:r>
              <w:rPr>
                <w:b/>
              </w:rPr>
              <w:t xml:space="preserve"> </w:t>
            </w:r>
            <w:r w:rsidRPr="00DF6E53">
              <w:t>All</w:t>
            </w:r>
          </w:p>
        </w:tc>
        <w:tc>
          <w:tcPr>
            <w:tcW w:w="1054" w:type="dxa"/>
            <w:tcBorders>
              <w:top w:val="single" w:sz="8" w:space="0" w:color="FFFFFF" w:themeColor="background1"/>
            </w:tcBorders>
            <w:vAlign w:val="center"/>
          </w:tcPr>
          <w:p w14:paraId="52E5AD87" w14:textId="276C467D" w:rsidR="007646F9" w:rsidRPr="00DF6E53" w:rsidRDefault="007646F9" w:rsidP="006B4B1F">
            <w:pPr>
              <w:pStyle w:val="TableTextRight"/>
              <w:jc w:val="center"/>
              <w:cnfStyle w:val="000000010000" w:firstRow="0" w:lastRow="0" w:firstColumn="0" w:lastColumn="0" w:oddVBand="0" w:evenVBand="0" w:oddHBand="0" w:evenHBand="1" w:firstRowFirstColumn="0" w:firstRowLastColumn="0" w:lastRowFirstColumn="0" w:lastRowLastColumn="0"/>
            </w:pPr>
            <w:r w:rsidRPr="00CF40AD">
              <w:t>1</w:t>
            </w:r>
          </w:p>
        </w:tc>
        <w:tc>
          <w:tcPr>
            <w:tcW w:w="1047" w:type="dxa"/>
            <w:tcBorders>
              <w:top w:val="single" w:sz="8" w:space="0" w:color="FFFFFF" w:themeColor="background1"/>
            </w:tcBorders>
            <w:vAlign w:val="center"/>
          </w:tcPr>
          <w:p w14:paraId="1BCB0B29" w14:textId="2BCE1D82" w:rsidR="007646F9" w:rsidRPr="00D36740" w:rsidRDefault="007646F9" w:rsidP="00DF6E53">
            <w:pPr>
              <w:pStyle w:val="TableTextRight"/>
              <w:jc w:val="center"/>
              <w:cnfStyle w:val="000000010000" w:firstRow="0" w:lastRow="0" w:firstColumn="0" w:lastColumn="0" w:oddVBand="0" w:evenVBand="0" w:oddHBand="0" w:evenHBand="1" w:firstRowFirstColumn="0" w:firstRowLastColumn="0" w:lastRowFirstColumn="0" w:lastRowLastColumn="0"/>
            </w:pPr>
            <w:r>
              <w:t>270</w:t>
            </w:r>
          </w:p>
        </w:tc>
        <w:tc>
          <w:tcPr>
            <w:tcW w:w="1182" w:type="dxa"/>
            <w:tcBorders>
              <w:top w:val="single" w:sz="8" w:space="0" w:color="FFFFFF" w:themeColor="background1"/>
            </w:tcBorders>
            <w:vAlign w:val="center"/>
          </w:tcPr>
          <w:p w14:paraId="2DCA2F73" w14:textId="4B5BA249" w:rsidR="007646F9" w:rsidRPr="00D36740" w:rsidRDefault="007646F9" w:rsidP="00DF6E53">
            <w:pPr>
              <w:pStyle w:val="TableTextRight"/>
              <w:jc w:val="center"/>
              <w:cnfStyle w:val="000000010000" w:firstRow="0" w:lastRow="0" w:firstColumn="0" w:lastColumn="0" w:oddVBand="0" w:evenVBand="0" w:oddHBand="0" w:evenHBand="1" w:firstRowFirstColumn="0" w:firstRowLastColumn="0" w:lastRowFirstColumn="0" w:lastRowLastColumn="0"/>
            </w:pPr>
            <w:r>
              <w:t>7.8</w:t>
            </w:r>
          </w:p>
        </w:tc>
        <w:tc>
          <w:tcPr>
            <w:tcW w:w="1070" w:type="dxa"/>
            <w:tcBorders>
              <w:top w:val="single" w:sz="8" w:space="0" w:color="FFFFFF" w:themeColor="background1"/>
            </w:tcBorders>
            <w:vAlign w:val="center"/>
          </w:tcPr>
          <w:p w14:paraId="336600CF" w14:textId="55CD5F6D" w:rsidR="007646F9" w:rsidRPr="00D36740" w:rsidRDefault="007646F9" w:rsidP="00DF6E53">
            <w:pPr>
              <w:pStyle w:val="TableTextRight"/>
              <w:jc w:val="center"/>
              <w:cnfStyle w:val="000000010000" w:firstRow="0" w:lastRow="0" w:firstColumn="0" w:lastColumn="0" w:oddVBand="0" w:evenVBand="0" w:oddHBand="0" w:evenHBand="1" w:firstRowFirstColumn="0" w:firstRowLastColumn="0" w:lastRowFirstColumn="0" w:lastRowLastColumn="0"/>
            </w:pPr>
            <w:r w:rsidRPr="008A1292">
              <w:t>34</w:t>
            </w:r>
          </w:p>
        </w:tc>
        <w:tc>
          <w:tcPr>
            <w:tcW w:w="1070" w:type="dxa"/>
            <w:tcBorders>
              <w:top w:val="single" w:sz="8" w:space="0" w:color="FFFFFF" w:themeColor="background1"/>
            </w:tcBorders>
            <w:vAlign w:val="center"/>
          </w:tcPr>
          <w:p w14:paraId="22881E56" w14:textId="28566163" w:rsidR="007646F9" w:rsidRPr="00D36740" w:rsidRDefault="007646F9" w:rsidP="00DF6E53">
            <w:pPr>
              <w:pStyle w:val="TableTextRight"/>
              <w:jc w:val="center"/>
              <w:cnfStyle w:val="000000010000" w:firstRow="0" w:lastRow="0" w:firstColumn="0" w:lastColumn="0" w:oddVBand="0" w:evenVBand="0" w:oddHBand="0" w:evenHBand="1" w:firstRowFirstColumn="0" w:firstRowLastColumn="0" w:lastRowFirstColumn="0" w:lastRowLastColumn="0"/>
            </w:pPr>
            <w:r w:rsidRPr="008A1292">
              <w:t>23</w:t>
            </w:r>
          </w:p>
        </w:tc>
        <w:tc>
          <w:tcPr>
            <w:tcW w:w="1070" w:type="dxa"/>
            <w:tcBorders>
              <w:top w:val="single" w:sz="8" w:space="0" w:color="FFFFFF" w:themeColor="background1"/>
            </w:tcBorders>
            <w:vAlign w:val="center"/>
          </w:tcPr>
          <w:p w14:paraId="41ED74C4" w14:textId="5DDD6C73" w:rsidR="007646F9" w:rsidRPr="00D36740" w:rsidRDefault="007646F9" w:rsidP="00DF6E53">
            <w:pPr>
              <w:pStyle w:val="TableTextRight"/>
              <w:jc w:val="center"/>
              <w:cnfStyle w:val="000000010000" w:firstRow="0" w:lastRow="0" w:firstColumn="0" w:lastColumn="0" w:oddVBand="0" w:evenVBand="0" w:oddHBand="0" w:evenHBand="1" w:firstRowFirstColumn="0" w:firstRowLastColumn="0" w:lastRowFirstColumn="0" w:lastRowLastColumn="0"/>
            </w:pPr>
            <w:r w:rsidRPr="008A1292">
              <w:t>30</w:t>
            </w:r>
          </w:p>
        </w:tc>
        <w:tc>
          <w:tcPr>
            <w:tcW w:w="1071" w:type="dxa"/>
            <w:tcBorders>
              <w:top w:val="single" w:sz="8" w:space="0" w:color="FFFFFF" w:themeColor="background1"/>
            </w:tcBorders>
            <w:vAlign w:val="center"/>
          </w:tcPr>
          <w:p w14:paraId="5E0028DF" w14:textId="2EC5698B" w:rsidR="007646F9" w:rsidRPr="00D36740" w:rsidRDefault="007646F9" w:rsidP="00DF6E53">
            <w:pPr>
              <w:pStyle w:val="TableTextRight"/>
              <w:jc w:val="center"/>
              <w:cnfStyle w:val="000000010000" w:firstRow="0" w:lastRow="0" w:firstColumn="0" w:lastColumn="0" w:oddVBand="0" w:evenVBand="0" w:oddHBand="0" w:evenHBand="1" w:firstRowFirstColumn="0" w:firstRowLastColumn="0" w:lastRowFirstColumn="0" w:lastRowLastColumn="0"/>
            </w:pPr>
            <w:r w:rsidRPr="008A1292">
              <w:t>5</w:t>
            </w:r>
          </w:p>
        </w:tc>
        <w:tc>
          <w:tcPr>
            <w:tcW w:w="1070" w:type="dxa"/>
            <w:tcBorders>
              <w:top w:val="single" w:sz="8" w:space="0" w:color="FFFFFF" w:themeColor="background1"/>
            </w:tcBorders>
            <w:vAlign w:val="center"/>
          </w:tcPr>
          <w:p w14:paraId="1E034A20" w14:textId="434E3A47" w:rsidR="007646F9" w:rsidRPr="00D36740" w:rsidRDefault="007646F9" w:rsidP="00DF6E53">
            <w:pPr>
              <w:pStyle w:val="TableTextRight"/>
              <w:jc w:val="center"/>
              <w:cnfStyle w:val="000000010000" w:firstRow="0" w:lastRow="0" w:firstColumn="0" w:lastColumn="0" w:oddVBand="0" w:evenVBand="0" w:oddHBand="0" w:evenHBand="1" w:firstRowFirstColumn="0" w:firstRowLastColumn="0" w:lastRowFirstColumn="0" w:lastRowLastColumn="0"/>
            </w:pPr>
            <w:r w:rsidRPr="00DF6E53">
              <w:t>220-585</w:t>
            </w:r>
          </w:p>
        </w:tc>
        <w:tc>
          <w:tcPr>
            <w:tcW w:w="1070" w:type="dxa"/>
            <w:tcBorders>
              <w:top w:val="single" w:sz="8" w:space="0" w:color="FFFFFF" w:themeColor="background1"/>
            </w:tcBorders>
            <w:vAlign w:val="center"/>
          </w:tcPr>
          <w:p w14:paraId="210DF7AC" w14:textId="00B372F1" w:rsidR="007646F9" w:rsidRPr="00CF40AD" w:rsidRDefault="007646F9" w:rsidP="006B4B1F">
            <w:pPr>
              <w:pStyle w:val="TableTextRight"/>
              <w:jc w:val="center"/>
              <w:cnfStyle w:val="000000010000" w:firstRow="0" w:lastRow="0" w:firstColumn="0" w:lastColumn="0" w:oddVBand="0" w:evenVBand="0" w:oddHBand="0" w:evenHBand="1" w:firstRowFirstColumn="0" w:firstRowLastColumn="0" w:lastRowFirstColumn="0" w:lastRowLastColumn="0"/>
            </w:pPr>
            <w:r w:rsidRPr="00CF40AD">
              <w:t>0</w:t>
            </w:r>
          </w:p>
        </w:tc>
        <w:tc>
          <w:tcPr>
            <w:tcW w:w="1070" w:type="dxa"/>
            <w:tcBorders>
              <w:top w:val="single" w:sz="8" w:space="0" w:color="FFFFFF" w:themeColor="background1"/>
            </w:tcBorders>
            <w:vAlign w:val="center"/>
          </w:tcPr>
          <w:p w14:paraId="41C142F9" w14:textId="6F04AA81" w:rsidR="007646F9" w:rsidRPr="00D36740" w:rsidRDefault="007646F9" w:rsidP="00DF6E53">
            <w:pPr>
              <w:pStyle w:val="TableTextRight"/>
              <w:jc w:val="center"/>
              <w:cnfStyle w:val="000000010000" w:firstRow="0" w:lastRow="0" w:firstColumn="0" w:lastColumn="0" w:oddVBand="0" w:evenVBand="0" w:oddHBand="0" w:evenHBand="1" w:firstRowFirstColumn="0" w:firstRowLastColumn="0" w:lastRowFirstColumn="0" w:lastRowLastColumn="0"/>
            </w:pPr>
            <w:r w:rsidRPr="00CF40AD">
              <w:t>41</w:t>
            </w:r>
          </w:p>
        </w:tc>
        <w:tc>
          <w:tcPr>
            <w:tcW w:w="1071" w:type="dxa"/>
            <w:tcBorders>
              <w:top w:val="single" w:sz="8" w:space="0" w:color="FFFFFF" w:themeColor="background1"/>
            </w:tcBorders>
            <w:vAlign w:val="center"/>
          </w:tcPr>
          <w:p w14:paraId="7C013DE6" w14:textId="30B002D9" w:rsidR="007646F9" w:rsidRPr="00D36740" w:rsidRDefault="007646F9" w:rsidP="00DF6E53">
            <w:pPr>
              <w:pStyle w:val="TableTextRight"/>
              <w:jc w:val="center"/>
              <w:cnfStyle w:val="000000010000" w:firstRow="0" w:lastRow="0" w:firstColumn="0" w:lastColumn="0" w:oddVBand="0" w:evenVBand="0" w:oddHBand="0" w:evenHBand="1" w:firstRowFirstColumn="0" w:firstRowLastColumn="0" w:lastRowFirstColumn="0" w:lastRowLastColumn="0"/>
            </w:pPr>
            <w:r w:rsidRPr="00CF40AD">
              <w:t>10</w:t>
            </w:r>
          </w:p>
        </w:tc>
      </w:tr>
      <w:tr w:rsidR="007646F9" w:rsidRPr="00D36740" w14:paraId="4B96FFE5" w14:textId="77777777" w:rsidTr="007E752E">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710" w:type="dxa"/>
            <w:vMerge w:val="restart"/>
            <w:noWrap/>
            <w:tcMar>
              <w:top w:w="0" w:type="dxa"/>
              <w:bottom w:w="0" w:type="dxa"/>
            </w:tcMar>
            <w:textDirection w:val="btLr"/>
            <w:tcFitText/>
          </w:tcPr>
          <w:p w14:paraId="5C17DACB" w14:textId="78BF2B72" w:rsidR="007646F9" w:rsidRPr="00DF6E53" w:rsidRDefault="007646F9" w:rsidP="007646F9">
            <w:pPr>
              <w:pStyle w:val="TableTextRight"/>
              <w:ind w:left="113" w:right="113"/>
              <w:jc w:val="center"/>
              <w:rPr>
                <w:color w:val="FFFFFF" w:themeColor="background1"/>
              </w:rPr>
            </w:pPr>
            <w:r w:rsidRPr="00D71ECF">
              <w:rPr>
                <w:color w:val="FFFFFF" w:themeColor="background1"/>
              </w:rPr>
              <w:t>Carpentaria Basin</w:t>
            </w:r>
          </w:p>
        </w:tc>
        <w:tc>
          <w:tcPr>
            <w:tcW w:w="1959" w:type="dxa"/>
            <w:tcBorders>
              <w:top w:val="single" w:sz="8" w:space="0" w:color="FFFFFF" w:themeColor="background1"/>
              <w:bottom w:val="single" w:sz="8" w:space="0" w:color="FFFFFF" w:themeColor="background1"/>
            </w:tcBorders>
            <w:vAlign w:val="center"/>
          </w:tcPr>
          <w:p w14:paraId="672252A0" w14:textId="77777777" w:rsidR="007646F9" w:rsidRPr="00DF6E53" w:rsidRDefault="007646F9" w:rsidP="00D36740">
            <w:pPr>
              <w:pStyle w:val="TableTextRight"/>
              <w:cnfStyle w:val="000000100000" w:firstRow="0" w:lastRow="0" w:firstColumn="0" w:lastColumn="0" w:oddVBand="0" w:evenVBand="0" w:oddHBand="1" w:evenHBand="0" w:firstRowFirstColumn="0" w:firstRowLastColumn="0" w:lastRowFirstColumn="0" w:lastRowLastColumn="0"/>
              <w:rPr>
                <w:b/>
              </w:rPr>
            </w:pPr>
            <w:r w:rsidRPr="00DF6E53">
              <w:rPr>
                <w:b/>
              </w:rPr>
              <w:t>Cretaceous</w:t>
            </w:r>
          </w:p>
          <w:p w14:paraId="1A318B72" w14:textId="0D62EC25" w:rsidR="007646F9" w:rsidRPr="00DF6E53" w:rsidRDefault="007646F9" w:rsidP="00DF6E53">
            <w:pPr>
              <w:pStyle w:val="BodyText"/>
              <w:tabs>
                <w:tab w:val="right" w:pos="0"/>
                <w:tab w:val="center" w:pos="1005"/>
              </w:tabs>
              <w:jc w:val="right"/>
              <w:cnfStyle w:val="000000100000" w:firstRow="0" w:lastRow="0" w:firstColumn="0" w:lastColumn="0" w:oddVBand="0" w:evenVBand="0" w:oddHBand="1" w:evenHBand="0" w:firstRowFirstColumn="0" w:firstRowLastColumn="0" w:lastRowFirstColumn="0" w:lastRowLastColumn="0"/>
            </w:pPr>
            <w:r>
              <w:tab/>
            </w:r>
            <w:r w:rsidR="00191006">
              <w:t>(</w:t>
            </w:r>
            <w:r>
              <w:t>Most r</w:t>
            </w:r>
            <w:r w:rsidRPr="00D36740">
              <w:t>ecent</w:t>
            </w:r>
            <w:r w:rsidR="00191006">
              <w:t>)</w:t>
            </w:r>
          </w:p>
        </w:tc>
        <w:tc>
          <w:tcPr>
            <w:tcW w:w="1054" w:type="dxa"/>
            <w:vAlign w:val="center"/>
          </w:tcPr>
          <w:p w14:paraId="79BF44E4" w14:textId="490A86BF" w:rsidR="007646F9" w:rsidRPr="00CF40AD"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CF40AD">
              <w:t>9</w:t>
            </w:r>
          </w:p>
        </w:tc>
        <w:tc>
          <w:tcPr>
            <w:tcW w:w="1047" w:type="dxa"/>
            <w:vAlign w:val="center"/>
          </w:tcPr>
          <w:p w14:paraId="39C2CCAC" w14:textId="1544E65C" w:rsidR="007646F9" w:rsidRPr="00DF6E53"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t>170</w:t>
            </w:r>
            <w:r w:rsidR="007E752E">
              <w:t>–</w:t>
            </w:r>
            <w:r>
              <w:t>8610 (1614)</w:t>
            </w:r>
          </w:p>
        </w:tc>
        <w:tc>
          <w:tcPr>
            <w:tcW w:w="1182" w:type="dxa"/>
            <w:vAlign w:val="center"/>
          </w:tcPr>
          <w:p w14:paraId="640C7EF0" w14:textId="4B82336B" w:rsidR="007646F9"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t>6.5</w:t>
            </w:r>
            <w:r w:rsidR="007E752E">
              <w:t>–</w:t>
            </w:r>
            <w:r>
              <w:t xml:space="preserve">8.4 </w:t>
            </w:r>
          </w:p>
          <w:p w14:paraId="0132C76B" w14:textId="13C79E3F" w:rsidR="007646F9" w:rsidRPr="00DF6E53"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t>(7.6)</w:t>
            </w:r>
          </w:p>
        </w:tc>
        <w:tc>
          <w:tcPr>
            <w:tcW w:w="1070" w:type="dxa"/>
            <w:vAlign w:val="center"/>
          </w:tcPr>
          <w:p w14:paraId="58C52660" w14:textId="401238F5" w:rsidR="007646F9"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B44F44">
              <w:t>13</w:t>
            </w:r>
            <w:r w:rsidR="007E752E">
              <w:t>–</w:t>
            </w:r>
            <w:r w:rsidRPr="00B44F44">
              <w:t xml:space="preserve">120 </w:t>
            </w:r>
          </w:p>
          <w:p w14:paraId="1418FAB0" w14:textId="62FE81C4" w:rsidR="007646F9" w:rsidRPr="00DF6E53"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B44F44">
              <w:t>(54)</w:t>
            </w:r>
          </w:p>
        </w:tc>
        <w:tc>
          <w:tcPr>
            <w:tcW w:w="1070" w:type="dxa"/>
            <w:vAlign w:val="center"/>
          </w:tcPr>
          <w:p w14:paraId="1D55E8DD" w14:textId="30653571" w:rsidR="007646F9" w:rsidRPr="00DF6E53"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B44F44">
              <w:t>8.3</w:t>
            </w:r>
            <w:r w:rsidR="007E752E">
              <w:t>–</w:t>
            </w:r>
            <w:r w:rsidRPr="00B44F44">
              <w:t>710 (119)</w:t>
            </w:r>
          </w:p>
        </w:tc>
        <w:tc>
          <w:tcPr>
            <w:tcW w:w="1070" w:type="dxa"/>
            <w:vAlign w:val="center"/>
          </w:tcPr>
          <w:p w14:paraId="03D32ABC" w14:textId="559EB995" w:rsidR="007646F9" w:rsidRPr="00DF6E53"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B44F44">
              <w:t>27.3</w:t>
            </w:r>
            <w:r w:rsidR="007E752E">
              <w:t>–</w:t>
            </w:r>
            <w:r w:rsidRPr="00B44F44">
              <w:t>2090 (353)</w:t>
            </w:r>
          </w:p>
        </w:tc>
        <w:tc>
          <w:tcPr>
            <w:tcW w:w="1071" w:type="dxa"/>
            <w:vAlign w:val="center"/>
          </w:tcPr>
          <w:p w14:paraId="10EAF82F" w14:textId="0F553972" w:rsidR="007646F9"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B44F44">
              <w:t>10</w:t>
            </w:r>
            <w:r w:rsidR="007E752E">
              <w:t>–</w:t>
            </w:r>
            <w:r w:rsidRPr="00B44F44">
              <w:t xml:space="preserve">110 </w:t>
            </w:r>
          </w:p>
          <w:p w14:paraId="571B3238" w14:textId="0C0E0538" w:rsidR="007646F9" w:rsidRPr="00DF6E53"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B44F44">
              <w:t>(26)</w:t>
            </w:r>
          </w:p>
        </w:tc>
        <w:tc>
          <w:tcPr>
            <w:tcW w:w="1070" w:type="dxa"/>
            <w:vAlign w:val="center"/>
          </w:tcPr>
          <w:p w14:paraId="49626E37" w14:textId="52153980" w:rsidR="007646F9" w:rsidRPr="00DF6E53"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B44F44">
              <w:t>114</w:t>
            </w:r>
            <w:r w:rsidR="007E752E">
              <w:t>–</w:t>
            </w:r>
            <w:r w:rsidRPr="00B44F44">
              <w:t>1021 (340)</w:t>
            </w:r>
          </w:p>
        </w:tc>
        <w:tc>
          <w:tcPr>
            <w:tcW w:w="1070" w:type="dxa"/>
            <w:vAlign w:val="center"/>
          </w:tcPr>
          <w:p w14:paraId="57C6EC65" w14:textId="58751D84" w:rsidR="007646F9"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B44F44">
              <w:t>0</w:t>
            </w:r>
            <w:r w:rsidR="007E752E">
              <w:t>–</w:t>
            </w:r>
            <w:r w:rsidRPr="00B44F44">
              <w:t xml:space="preserve">32 </w:t>
            </w:r>
          </w:p>
          <w:p w14:paraId="717C7AF7" w14:textId="22920B44" w:rsidR="007646F9" w:rsidRPr="00D36740"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B44F44">
              <w:t>(4)</w:t>
            </w:r>
          </w:p>
        </w:tc>
        <w:tc>
          <w:tcPr>
            <w:tcW w:w="1070" w:type="dxa"/>
            <w:vAlign w:val="center"/>
          </w:tcPr>
          <w:p w14:paraId="602B0A4C" w14:textId="7532C15E" w:rsidR="007646F9" w:rsidRPr="00DF6E53"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B44F44">
              <w:t>12.7</w:t>
            </w:r>
            <w:r w:rsidR="007E752E">
              <w:t>–</w:t>
            </w:r>
            <w:r w:rsidRPr="00B44F44">
              <w:t>2940 (488)</w:t>
            </w:r>
          </w:p>
        </w:tc>
        <w:tc>
          <w:tcPr>
            <w:tcW w:w="1071" w:type="dxa"/>
            <w:vAlign w:val="center"/>
          </w:tcPr>
          <w:p w14:paraId="6E36E909" w14:textId="33D73341" w:rsidR="007646F9" w:rsidRPr="00DF6E53"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B44F44">
              <w:t>5</w:t>
            </w:r>
            <w:r w:rsidR="007E752E">
              <w:t>–</w:t>
            </w:r>
            <w:r w:rsidRPr="00B44F44">
              <w:t>2380 (399)</w:t>
            </w:r>
          </w:p>
        </w:tc>
      </w:tr>
      <w:bookmarkEnd w:id="721"/>
      <w:tr w:rsidR="00C57F6A" w:rsidRPr="00D36740" w14:paraId="02BCC55A" w14:textId="77777777" w:rsidTr="007E752E">
        <w:trPr>
          <w:cnfStyle w:val="000000010000" w:firstRow="0" w:lastRow="0" w:firstColumn="0" w:lastColumn="0" w:oddVBand="0" w:evenVBand="0" w:oddHBand="0" w:evenHBand="1" w:firstRowFirstColumn="0" w:firstRowLastColumn="0" w:lastRowFirstColumn="0" w:lastRowLastColumn="0"/>
          <w:cantSplit/>
          <w:trHeight w:val="610"/>
        </w:trPr>
        <w:tc>
          <w:tcPr>
            <w:cnfStyle w:val="001000000000" w:firstRow="0" w:lastRow="0" w:firstColumn="1" w:lastColumn="0" w:oddVBand="0" w:evenVBand="0" w:oddHBand="0" w:evenHBand="0" w:firstRowFirstColumn="0" w:firstRowLastColumn="0" w:lastRowFirstColumn="0" w:lastRowLastColumn="0"/>
            <w:tcW w:w="710" w:type="dxa"/>
            <w:vMerge/>
            <w:textDirection w:val="btLr"/>
          </w:tcPr>
          <w:p w14:paraId="4E67E301" w14:textId="6D116441" w:rsidR="00C57F6A" w:rsidRPr="00DF6E53" w:rsidRDefault="00C57F6A" w:rsidP="00C57F6A">
            <w:pPr>
              <w:pStyle w:val="TableTextRight"/>
              <w:ind w:left="113" w:right="113"/>
              <w:jc w:val="center"/>
              <w:rPr>
                <w:color w:val="FFFFFF" w:themeColor="background1"/>
              </w:rPr>
            </w:pPr>
          </w:p>
        </w:tc>
        <w:tc>
          <w:tcPr>
            <w:tcW w:w="1959" w:type="dxa"/>
            <w:tcBorders>
              <w:top w:val="single" w:sz="8" w:space="0" w:color="FFFFFF" w:themeColor="background1"/>
              <w:bottom w:val="single" w:sz="8" w:space="0" w:color="FFFFFF" w:themeColor="background1"/>
            </w:tcBorders>
            <w:vAlign w:val="center"/>
          </w:tcPr>
          <w:p w14:paraId="027C6D17" w14:textId="2894B885" w:rsidR="00C57F6A" w:rsidRPr="00DF6E53" w:rsidRDefault="00C57F6A" w:rsidP="00DF6E53">
            <w:pPr>
              <w:pStyle w:val="BodyText"/>
              <w:jc w:val="right"/>
              <w:cnfStyle w:val="000000010000" w:firstRow="0" w:lastRow="0" w:firstColumn="0" w:lastColumn="0" w:oddVBand="0" w:evenVBand="0" w:oddHBand="0" w:evenHBand="1" w:firstRowFirstColumn="0" w:firstRowLastColumn="0" w:lastRowFirstColumn="0" w:lastRowLastColumn="0"/>
            </w:pPr>
            <w:r w:rsidRPr="00DF6E53">
              <w:t>All</w:t>
            </w:r>
          </w:p>
        </w:tc>
        <w:tc>
          <w:tcPr>
            <w:tcW w:w="1054" w:type="dxa"/>
            <w:vAlign w:val="center"/>
          </w:tcPr>
          <w:p w14:paraId="7A71C905" w14:textId="5A02D57A" w:rsidR="00C57F6A" w:rsidRPr="00DF6E53" w:rsidRDefault="00C57F6A" w:rsidP="00C57F6A">
            <w:pPr>
              <w:pStyle w:val="TableTextRight"/>
              <w:jc w:val="center"/>
              <w:cnfStyle w:val="000000010000" w:firstRow="0" w:lastRow="0" w:firstColumn="0" w:lastColumn="0" w:oddVBand="0" w:evenVBand="0" w:oddHBand="0" w:evenHBand="1" w:firstRowFirstColumn="0" w:firstRowLastColumn="0" w:lastRowFirstColumn="0" w:lastRowLastColumn="0"/>
            </w:pPr>
            <w:r>
              <w:t>16</w:t>
            </w:r>
          </w:p>
        </w:tc>
        <w:tc>
          <w:tcPr>
            <w:tcW w:w="1047" w:type="dxa"/>
            <w:vAlign w:val="center"/>
          </w:tcPr>
          <w:p w14:paraId="1259FB53" w14:textId="60F9268C" w:rsidR="00C57F6A" w:rsidRPr="00D36740" w:rsidRDefault="00C57F6A" w:rsidP="00D36740">
            <w:pPr>
              <w:pStyle w:val="TableText"/>
              <w:jc w:val="center"/>
              <w:cnfStyle w:val="000000010000" w:firstRow="0" w:lastRow="0" w:firstColumn="0" w:lastColumn="0" w:oddVBand="0" w:evenVBand="0" w:oddHBand="0" w:evenHBand="1" w:firstRowFirstColumn="0" w:firstRowLastColumn="0" w:lastRowFirstColumn="0" w:lastRowLastColumn="0"/>
            </w:pPr>
            <w:r w:rsidRPr="00B85433">
              <w:t>170</w:t>
            </w:r>
            <w:r w:rsidR="007E752E">
              <w:t>–</w:t>
            </w:r>
            <w:r w:rsidRPr="00B85433">
              <w:t>8610</w:t>
            </w:r>
          </w:p>
        </w:tc>
        <w:tc>
          <w:tcPr>
            <w:tcW w:w="1182" w:type="dxa"/>
            <w:vAlign w:val="center"/>
          </w:tcPr>
          <w:p w14:paraId="4A457DF8" w14:textId="68D882FE" w:rsidR="00C57F6A" w:rsidRPr="00D36740" w:rsidRDefault="00C57F6A" w:rsidP="00D36740">
            <w:pPr>
              <w:pStyle w:val="TableText"/>
              <w:jc w:val="center"/>
              <w:cnfStyle w:val="000000010000" w:firstRow="0" w:lastRow="0" w:firstColumn="0" w:lastColumn="0" w:oddVBand="0" w:evenVBand="0" w:oddHBand="0" w:evenHBand="1" w:firstRowFirstColumn="0" w:firstRowLastColumn="0" w:lastRowFirstColumn="0" w:lastRowLastColumn="0"/>
            </w:pPr>
            <w:r w:rsidRPr="00B85433">
              <w:t>6.5</w:t>
            </w:r>
            <w:r w:rsidR="007E752E">
              <w:t>–</w:t>
            </w:r>
            <w:r w:rsidRPr="00B85433">
              <w:t>8.4</w:t>
            </w:r>
          </w:p>
        </w:tc>
        <w:tc>
          <w:tcPr>
            <w:tcW w:w="1070" w:type="dxa"/>
            <w:vAlign w:val="center"/>
          </w:tcPr>
          <w:p w14:paraId="4C7A3DE8" w14:textId="0E814E75" w:rsidR="00C57F6A" w:rsidRPr="00D36740" w:rsidRDefault="00C57F6A" w:rsidP="00D36740">
            <w:pPr>
              <w:pStyle w:val="TableText"/>
              <w:jc w:val="center"/>
              <w:cnfStyle w:val="000000010000" w:firstRow="0" w:lastRow="0" w:firstColumn="0" w:lastColumn="0" w:oddVBand="0" w:evenVBand="0" w:oddHBand="0" w:evenHBand="1" w:firstRowFirstColumn="0" w:firstRowLastColumn="0" w:lastRowFirstColumn="0" w:lastRowLastColumn="0"/>
            </w:pPr>
            <w:r w:rsidRPr="00B85433">
              <w:t>12</w:t>
            </w:r>
            <w:r w:rsidR="007E752E">
              <w:t>–</w:t>
            </w:r>
            <w:r w:rsidRPr="00B85433">
              <w:t>222</w:t>
            </w:r>
          </w:p>
        </w:tc>
        <w:tc>
          <w:tcPr>
            <w:tcW w:w="1070" w:type="dxa"/>
            <w:vAlign w:val="center"/>
          </w:tcPr>
          <w:p w14:paraId="5A5C075D" w14:textId="550D9514" w:rsidR="00C57F6A" w:rsidRPr="00D36740" w:rsidRDefault="00C57F6A" w:rsidP="00C57F6A">
            <w:pPr>
              <w:pStyle w:val="TableText"/>
              <w:jc w:val="center"/>
              <w:cnfStyle w:val="000000010000" w:firstRow="0" w:lastRow="0" w:firstColumn="0" w:lastColumn="0" w:oddVBand="0" w:evenVBand="0" w:oddHBand="0" w:evenHBand="1" w:firstRowFirstColumn="0" w:firstRowLastColumn="0" w:lastRowFirstColumn="0" w:lastRowLastColumn="0"/>
            </w:pPr>
            <w:r w:rsidRPr="00B85433">
              <w:t>8.3</w:t>
            </w:r>
            <w:r w:rsidR="007E752E">
              <w:t>–</w:t>
            </w:r>
            <w:r w:rsidRPr="00B85433">
              <w:t>710</w:t>
            </w:r>
          </w:p>
        </w:tc>
        <w:tc>
          <w:tcPr>
            <w:tcW w:w="1070" w:type="dxa"/>
            <w:vAlign w:val="center"/>
          </w:tcPr>
          <w:p w14:paraId="0D022EB1" w14:textId="0AD5C066" w:rsidR="00C57F6A" w:rsidRPr="00D36740" w:rsidRDefault="00C57F6A" w:rsidP="00C57F6A">
            <w:pPr>
              <w:pStyle w:val="TableText"/>
              <w:jc w:val="center"/>
              <w:cnfStyle w:val="000000010000" w:firstRow="0" w:lastRow="0" w:firstColumn="0" w:lastColumn="0" w:oddVBand="0" w:evenVBand="0" w:oddHBand="0" w:evenHBand="1" w:firstRowFirstColumn="0" w:firstRowLastColumn="0" w:lastRowFirstColumn="0" w:lastRowLastColumn="0"/>
            </w:pPr>
            <w:r w:rsidRPr="00B85433">
              <w:t>27.3</w:t>
            </w:r>
            <w:r w:rsidR="007E752E">
              <w:t>–</w:t>
            </w:r>
            <w:r w:rsidRPr="00B85433">
              <w:t>2090</w:t>
            </w:r>
          </w:p>
        </w:tc>
        <w:tc>
          <w:tcPr>
            <w:tcW w:w="1071" w:type="dxa"/>
            <w:vAlign w:val="center"/>
          </w:tcPr>
          <w:p w14:paraId="725B16A1" w14:textId="08DD545F" w:rsidR="00C57F6A" w:rsidRPr="00D36740" w:rsidRDefault="00C57F6A" w:rsidP="00D36740">
            <w:pPr>
              <w:pStyle w:val="TableText"/>
              <w:jc w:val="center"/>
              <w:cnfStyle w:val="000000010000" w:firstRow="0" w:lastRow="0" w:firstColumn="0" w:lastColumn="0" w:oddVBand="0" w:evenVBand="0" w:oddHBand="0" w:evenHBand="1" w:firstRowFirstColumn="0" w:firstRowLastColumn="0" w:lastRowFirstColumn="0" w:lastRowLastColumn="0"/>
            </w:pPr>
            <w:r w:rsidRPr="00B85433">
              <w:t>10</w:t>
            </w:r>
            <w:r w:rsidR="007E752E">
              <w:t>–</w:t>
            </w:r>
            <w:r w:rsidRPr="00B85433">
              <w:t>110</w:t>
            </w:r>
          </w:p>
        </w:tc>
        <w:tc>
          <w:tcPr>
            <w:tcW w:w="1070" w:type="dxa"/>
            <w:vAlign w:val="center"/>
          </w:tcPr>
          <w:p w14:paraId="6DE9B540" w14:textId="7DBB0086" w:rsidR="00C57F6A" w:rsidRPr="00D36740" w:rsidRDefault="00C57F6A" w:rsidP="00C57F6A">
            <w:pPr>
              <w:pStyle w:val="TableText"/>
              <w:jc w:val="center"/>
              <w:cnfStyle w:val="000000010000" w:firstRow="0" w:lastRow="0" w:firstColumn="0" w:lastColumn="0" w:oddVBand="0" w:evenVBand="0" w:oddHBand="0" w:evenHBand="1" w:firstRowFirstColumn="0" w:firstRowLastColumn="0" w:lastRowFirstColumn="0" w:lastRowLastColumn="0"/>
            </w:pPr>
            <w:r w:rsidRPr="00B85433">
              <w:t>114</w:t>
            </w:r>
            <w:r w:rsidR="007E752E">
              <w:t>–</w:t>
            </w:r>
            <w:r w:rsidRPr="00B85433">
              <w:t>1424</w:t>
            </w:r>
          </w:p>
        </w:tc>
        <w:tc>
          <w:tcPr>
            <w:tcW w:w="1070" w:type="dxa"/>
            <w:vAlign w:val="center"/>
          </w:tcPr>
          <w:p w14:paraId="3D80EADE" w14:textId="77BDEC87" w:rsidR="00C57F6A" w:rsidRPr="00D36740" w:rsidRDefault="00C57F6A"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B85433">
              <w:t>0</w:t>
            </w:r>
            <w:r w:rsidR="007E752E">
              <w:t>–</w:t>
            </w:r>
            <w:r w:rsidRPr="00B85433">
              <w:t xml:space="preserve">32 </w:t>
            </w:r>
          </w:p>
        </w:tc>
        <w:tc>
          <w:tcPr>
            <w:tcW w:w="1070" w:type="dxa"/>
            <w:vAlign w:val="center"/>
          </w:tcPr>
          <w:p w14:paraId="2E16D4E3" w14:textId="40BF935D" w:rsidR="00C57F6A" w:rsidRPr="00D36740" w:rsidRDefault="00C57F6A" w:rsidP="00C57F6A">
            <w:pPr>
              <w:pStyle w:val="TableText"/>
              <w:jc w:val="center"/>
              <w:cnfStyle w:val="000000010000" w:firstRow="0" w:lastRow="0" w:firstColumn="0" w:lastColumn="0" w:oddVBand="0" w:evenVBand="0" w:oddHBand="0" w:evenHBand="1" w:firstRowFirstColumn="0" w:firstRowLastColumn="0" w:lastRowFirstColumn="0" w:lastRowLastColumn="0"/>
            </w:pPr>
            <w:r w:rsidRPr="00B85433">
              <w:t>12.7</w:t>
            </w:r>
            <w:r w:rsidR="007E752E">
              <w:t>–</w:t>
            </w:r>
            <w:r w:rsidRPr="00B85433">
              <w:t>2940</w:t>
            </w:r>
          </w:p>
        </w:tc>
        <w:tc>
          <w:tcPr>
            <w:tcW w:w="1071" w:type="dxa"/>
            <w:vAlign w:val="center"/>
          </w:tcPr>
          <w:p w14:paraId="2527CBA8" w14:textId="086A9D68" w:rsidR="00C57F6A" w:rsidRPr="00D36740" w:rsidRDefault="00C57F6A" w:rsidP="00C57F6A">
            <w:pPr>
              <w:pStyle w:val="TableText"/>
              <w:jc w:val="center"/>
              <w:cnfStyle w:val="000000010000" w:firstRow="0" w:lastRow="0" w:firstColumn="0" w:lastColumn="0" w:oddVBand="0" w:evenVBand="0" w:oddHBand="0" w:evenHBand="1" w:firstRowFirstColumn="0" w:firstRowLastColumn="0" w:lastRowFirstColumn="0" w:lastRowLastColumn="0"/>
            </w:pPr>
            <w:r w:rsidRPr="00B85433">
              <w:t>5</w:t>
            </w:r>
            <w:r w:rsidR="007E752E">
              <w:t>–</w:t>
            </w:r>
            <w:r w:rsidRPr="00B85433">
              <w:t>2380</w:t>
            </w:r>
          </w:p>
        </w:tc>
      </w:tr>
      <w:tr w:rsidR="007646F9" w:rsidRPr="00D36740" w14:paraId="73A84B7F" w14:textId="77777777" w:rsidTr="007E75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10" w:type="dxa"/>
            <w:vMerge w:val="restart"/>
            <w:textDirection w:val="btLr"/>
          </w:tcPr>
          <w:p w14:paraId="6DD0B6BD" w14:textId="396EAEE3" w:rsidR="007646F9" w:rsidRPr="00DF6E53" w:rsidRDefault="007646F9" w:rsidP="007646F9">
            <w:pPr>
              <w:pStyle w:val="TableTextRight"/>
              <w:ind w:left="113" w:right="113"/>
              <w:jc w:val="center"/>
              <w:rPr>
                <w:color w:val="FFFFFF" w:themeColor="background1"/>
              </w:rPr>
            </w:pPr>
            <w:r w:rsidRPr="00DF6E53">
              <w:rPr>
                <w:color w:val="FFFFFF" w:themeColor="background1"/>
              </w:rPr>
              <w:t xml:space="preserve">Daily, Wiso and Georgina </w:t>
            </w:r>
            <w:r w:rsidR="000D39FE">
              <w:rPr>
                <w:color w:val="FFFFFF" w:themeColor="background1"/>
              </w:rPr>
              <w:t>b</w:t>
            </w:r>
            <w:r w:rsidRPr="00DF6E53">
              <w:rPr>
                <w:color w:val="FFFFFF" w:themeColor="background1"/>
              </w:rPr>
              <w:t>asins</w:t>
            </w:r>
          </w:p>
          <w:p w14:paraId="4B05359A" w14:textId="77777777" w:rsidR="007646F9" w:rsidRPr="00DF6E53" w:rsidRDefault="007646F9" w:rsidP="007646F9">
            <w:pPr>
              <w:pStyle w:val="TableTextRight"/>
              <w:ind w:left="113" w:right="113"/>
              <w:jc w:val="center"/>
              <w:rPr>
                <w:color w:val="FFFFFF" w:themeColor="background1"/>
              </w:rPr>
            </w:pPr>
          </w:p>
        </w:tc>
        <w:tc>
          <w:tcPr>
            <w:tcW w:w="1959" w:type="dxa"/>
            <w:tcBorders>
              <w:top w:val="single" w:sz="8" w:space="0" w:color="FFFFFF" w:themeColor="background1"/>
              <w:bottom w:val="single" w:sz="8" w:space="0" w:color="FFFFFF" w:themeColor="background1"/>
            </w:tcBorders>
            <w:vAlign w:val="center"/>
          </w:tcPr>
          <w:p w14:paraId="2B1304C3" w14:textId="77777777" w:rsidR="007646F9" w:rsidRPr="00DF6E53" w:rsidRDefault="007646F9" w:rsidP="00DF6E53">
            <w:pPr>
              <w:pStyle w:val="TableText"/>
              <w:jc w:val="right"/>
              <w:cnfStyle w:val="000000100000" w:firstRow="0" w:lastRow="0" w:firstColumn="0" w:lastColumn="0" w:oddVBand="0" w:evenVBand="0" w:oddHBand="1" w:evenHBand="0" w:firstRowFirstColumn="0" w:firstRowLastColumn="0" w:lastRowFirstColumn="0" w:lastRowLastColumn="0"/>
              <w:rPr>
                <w:b/>
              </w:rPr>
            </w:pPr>
            <w:r w:rsidRPr="00DF6E53">
              <w:rPr>
                <w:b/>
              </w:rPr>
              <w:t>Upper CLA</w:t>
            </w:r>
          </w:p>
          <w:p w14:paraId="21E63D2C" w14:textId="3BF58B88" w:rsidR="007646F9" w:rsidRPr="00D36740" w:rsidRDefault="00191006" w:rsidP="00DF6E53">
            <w:pPr>
              <w:pStyle w:val="TableText"/>
              <w:jc w:val="right"/>
              <w:cnfStyle w:val="000000100000" w:firstRow="0" w:lastRow="0" w:firstColumn="0" w:lastColumn="0" w:oddVBand="0" w:evenVBand="0" w:oddHBand="1" w:evenHBand="0" w:firstRowFirstColumn="0" w:firstRowLastColumn="0" w:lastRowFirstColumn="0" w:lastRowLastColumn="0"/>
            </w:pPr>
            <w:r>
              <w:t>(</w:t>
            </w:r>
            <w:r w:rsidR="007646F9">
              <w:t>Most r</w:t>
            </w:r>
            <w:r w:rsidR="007646F9" w:rsidRPr="00D36740">
              <w:t>ecent</w:t>
            </w:r>
            <w:r>
              <w:t>)</w:t>
            </w:r>
          </w:p>
        </w:tc>
        <w:tc>
          <w:tcPr>
            <w:tcW w:w="1054" w:type="dxa"/>
            <w:vAlign w:val="center"/>
          </w:tcPr>
          <w:p w14:paraId="18C58DDD" w14:textId="6C399CBD" w:rsidR="007646F9" w:rsidRPr="00CF40AD"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CF40AD">
              <w:t>91</w:t>
            </w:r>
          </w:p>
        </w:tc>
        <w:tc>
          <w:tcPr>
            <w:tcW w:w="1047" w:type="dxa"/>
            <w:vAlign w:val="center"/>
          </w:tcPr>
          <w:p w14:paraId="6DE018B2" w14:textId="6552395E" w:rsidR="007646F9" w:rsidRPr="00DF6E53"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362CF8">
              <w:t>221</w:t>
            </w:r>
            <w:r w:rsidR="007E752E">
              <w:t>–</w:t>
            </w:r>
            <w:r w:rsidRPr="00362CF8">
              <w:t>2239 (922)</w:t>
            </w:r>
          </w:p>
        </w:tc>
        <w:tc>
          <w:tcPr>
            <w:tcW w:w="1182" w:type="dxa"/>
            <w:vAlign w:val="center"/>
          </w:tcPr>
          <w:p w14:paraId="461C6E78" w14:textId="6874BD4A" w:rsidR="007646F9"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362CF8">
              <w:t>6.2</w:t>
            </w:r>
            <w:r w:rsidR="007E752E">
              <w:t>–</w:t>
            </w:r>
            <w:r w:rsidRPr="00362CF8">
              <w:t xml:space="preserve">8.7 </w:t>
            </w:r>
          </w:p>
          <w:p w14:paraId="49205475" w14:textId="40F9B187" w:rsidR="007646F9" w:rsidRPr="00DF6E53"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362CF8">
              <w:t>(7.5)</w:t>
            </w:r>
          </w:p>
        </w:tc>
        <w:tc>
          <w:tcPr>
            <w:tcW w:w="1070" w:type="dxa"/>
            <w:vAlign w:val="center"/>
          </w:tcPr>
          <w:p w14:paraId="0EF634B8" w14:textId="1C6D86C5" w:rsidR="007646F9"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362CF8">
              <w:t>12</w:t>
            </w:r>
            <w:r w:rsidR="007E752E">
              <w:t>–</w:t>
            </w:r>
            <w:r w:rsidRPr="00362CF8">
              <w:t xml:space="preserve">259 </w:t>
            </w:r>
          </w:p>
          <w:p w14:paraId="7854E6A4" w14:textId="34A09162" w:rsidR="007646F9" w:rsidRPr="00DF6E53"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362CF8">
              <w:t>(88)</w:t>
            </w:r>
          </w:p>
        </w:tc>
        <w:tc>
          <w:tcPr>
            <w:tcW w:w="1070" w:type="dxa"/>
            <w:vAlign w:val="center"/>
          </w:tcPr>
          <w:p w14:paraId="087329EA" w14:textId="6A1C25F0" w:rsidR="007646F9"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362CF8">
              <w:t>26</w:t>
            </w:r>
            <w:r w:rsidR="007E752E">
              <w:t>–</w:t>
            </w:r>
            <w:r w:rsidRPr="00362CF8">
              <w:t xml:space="preserve">114 </w:t>
            </w:r>
          </w:p>
          <w:p w14:paraId="6C210F1F" w14:textId="79C7FE49" w:rsidR="007646F9" w:rsidRPr="00DF6E53"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362CF8">
              <w:t>(56)</w:t>
            </w:r>
          </w:p>
        </w:tc>
        <w:tc>
          <w:tcPr>
            <w:tcW w:w="1070" w:type="dxa"/>
            <w:vAlign w:val="center"/>
          </w:tcPr>
          <w:p w14:paraId="5E7AC122" w14:textId="03FFEAD5" w:rsidR="007646F9"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362CF8">
              <w:t>6</w:t>
            </w:r>
            <w:r w:rsidR="007E752E">
              <w:t>–</w:t>
            </w:r>
            <w:r w:rsidRPr="00362CF8">
              <w:t xml:space="preserve">331 </w:t>
            </w:r>
          </w:p>
          <w:p w14:paraId="4B4E07AE" w14:textId="1B887EF2" w:rsidR="007646F9" w:rsidRPr="00DF6E53"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362CF8">
              <w:t>(135)</w:t>
            </w:r>
          </w:p>
        </w:tc>
        <w:tc>
          <w:tcPr>
            <w:tcW w:w="1071" w:type="dxa"/>
            <w:vAlign w:val="center"/>
          </w:tcPr>
          <w:p w14:paraId="4937A702" w14:textId="22D37FD1" w:rsidR="007646F9"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362CF8">
              <w:t>3</w:t>
            </w:r>
            <w:r w:rsidR="007E752E">
              <w:t>–</w:t>
            </w:r>
            <w:r w:rsidRPr="00362CF8">
              <w:t xml:space="preserve">80 </w:t>
            </w:r>
          </w:p>
          <w:p w14:paraId="0B897BF3" w14:textId="0D030DDE" w:rsidR="007646F9" w:rsidRPr="00DF6E53"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362CF8">
              <w:t>(20)</w:t>
            </w:r>
          </w:p>
        </w:tc>
        <w:tc>
          <w:tcPr>
            <w:tcW w:w="1070" w:type="dxa"/>
            <w:vAlign w:val="center"/>
          </w:tcPr>
          <w:p w14:paraId="3464D5AC" w14:textId="2FBA39F3" w:rsidR="007646F9" w:rsidRPr="00DF6E53"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362CF8">
              <w:t>132</w:t>
            </w:r>
            <w:r w:rsidR="007E752E">
              <w:t>–</w:t>
            </w:r>
            <w:r w:rsidRPr="00362CF8">
              <w:t>525 (358)</w:t>
            </w:r>
          </w:p>
        </w:tc>
        <w:tc>
          <w:tcPr>
            <w:tcW w:w="1070" w:type="dxa"/>
            <w:vAlign w:val="center"/>
          </w:tcPr>
          <w:p w14:paraId="774DAD22" w14:textId="1072D015" w:rsidR="007646F9"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362CF8">
              <w:t>0</w:t>
            </w:r>
            <w:r w:rsidR="007E752E">
              <w:t>–</w:t>
            </w:r>
            <w:r w:rsidRPr="00362CF8">
              <w:t xml:space="preserve">0 </w:t>
            </w:r>
          </w:p>
          <w:p w14:paraId="31845635" w14:textId="4B542CF6" w:rsidR="007646F9" w:rsidRPr="00D36740"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362CF8">
              <w:t>(0)</w:t>
            </w:r>
          </w:p>
        </w:tc>
        <w:tc>
          <w:tcPr>
            <w:tcW w:w="1070" w:type="dxa"/>
            <w:vAlign w:val="center"/>
          </w:tcPr>
          <w:p w14:paraId="0808F399" w14:textId="31E715F6" w:rsidR="007646F9"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362CF8">
              <w:t>7</w:t>
            </w:r>
            <w:r w:rsidR="007E752E">
              <w:t>–</w:t>
            </w:r>
            <w:r w:rsidRPr="00362CF8">
              <w:t xml:space="preserve">539 </w:t>
            </w:r>
          </w:p>
          <w:p w14:paraId="1B65EA66" w14:textId="46AA22E1" w:rsidR="007646F9" w:rsidRPr="00DF6E53"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362CF8">
              <w:t>(191)</w:t>
            </w:r>
          </w:p>
        </w:tc>
        <w:tc>
          <w:tcPr>
            <w:tcW w:w="1071" w:type="dxa"/>
            <w:vAlign w:val="center"/>
          </w:tcPr>
          <w:p w14:paraId="2FDE0666" w14:textId="21D557D2" w:rsidR="007646F9" w:rsidRPr="00DF6E53"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362CF8">
              <w:t>0.5</w:t>
            </w:r>
            <w:r w:rsidR="007E752E">
              <w:t>–</w:t>
            </w:r>
            <w:r w:rsidRPr="00362CF8">
              <w:t>797 (207)</w:t>
            </w:r>
          </w:p>
        </w:tc>
      </w:tr>
      <w:tr w:rsidR="004065C1" w:rsidRPr="00D36740" w14:paraId="77D8F203" w14:textId="77777777" w:rsidTr="007E752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10" w:type="dxa"/>
            <w:vMerge/>
            <w:textDirection w:val="btLr"/>
          </w:tcPr>
          <w:p w14:paraId="37B4B322" w14:textId="77777777" w:rsidR="004065C1" w:rsidRPr="00DF6E53" w:rsidRDefault="004065C1" w:rsidP="004065C1">
            <w:pPr>
              <w:pStyle w:val="TableTextRight"/>
              <w:ind w:left="113" w:right="113"/>
              <w:jc w:val="center"/>
              <w:rPr>
                <w:color w:val="FFFFFF" w:themeColor="background1"/>
              </w:rPr>
            </w:pPr>
          </w:p>
        </w:tc>
        <w:tc>
          <w:tcPr>
            <w:tcW w:w="1959" w:type="dxa"/>
            <w:tcBorders>
              <w:top w:val="single" w:sz="8" w:space="0" w:color="FFFFFF" w:themeColor="background1"/>
              <w:bottom w:val="single" w:sz="8" w:space="0" w:color="FFFFFF" w:themeColor="background1"/>
            </w:tcBorders>
            <w:tcMar>
              <w:top w:w="0" w:type="dxa"/>
              <w:bottom w:w="0" w:type="dxa"/>
            </w:tcMar>
            <w:vAlign w:val="center"/>
          </w:tcPr>
          <w:p w14:paraId="2A48EEB4" w14:textId="7B522B15" w:rsidR="004065C1" w:rsidRPr="00D36740" w:rsidRDefault="004065C1" w:rsidP="00DF6E53">
            <w:pPr>
              <w:pStyle w:val="TableText"/>
              <w:jc w:val="right"/>
              <w:cnfStyle w:val="000000010000" w:firstRow="0" w:lastRow="0" w:firstColumn="0" w:lastColumn="0" w:oddVBand="0" w:evenVBand="0" w:oddHBand="0" w:evenHBand="1" w:firstRowFirstColumn="0" w:firstRowLastColumn="0" w:lastRowFirstColumn="0" w:lastRowLastColumn="0"/>
            </w:pPr>
            <w:r w:rsidRPr="00D36740">
              <w:t>All</w:t>
            </w:r>
          </w:p>
        </w:tc>
        <w:tc>
          <w:tcPr>
            <w:tcW w:w="1054" w:type="dxa"/>
            <w:tcMar>
              <w:top w:w="0" w:type="dxa"/>
              <w:bottom w:w="0" w:type="dxa"/>
            </w:tcMar>
            <w:vAlign w:val="center"/>
          </w:tcPr>
          <w:p w14:paraId="4AFA3094" w14:textId="280B6EDD" w:rsidR="004065C1" w:rsidRPr="00CF40AD" w:rsidRDefault="004065C1" w:rsidP="004065C1">
            <w:pPr>
              <w:pStyle w:val="TableTextRight"/>
              <w:jc w:val="center"/>
              <w:cnfStyle w:val="000000010000" w:firstRow="0" w:lastRow="0" w:firstColumn="0" w:lastColumn="0" w:oddVBand="0" w:evenVBand="0" w:oddHBand="0" w:evenHBand="1" w:firstRowFirstColumn="0" w:firstRowLastColumn="0" w:lastRowFirstColumn="0" w:lastRowLastColumn="0"/>
            </w:pPr>
            <w:r w:rsidRPr="00CF40AD">
              <w:t>215</w:t>
            </w:r>
          </w:p>
        </w:tc>
        <w:tc>
          <w:tcPr>
            <w:tcW w:w="1047" w:type="dxa"/>
            <w:tcMar>
              <w:top w:w="0" w:type="dxa"/>
              <w:bottom w:w="0" w:type="dxa"/>
            </w:tcMar>
            <w:vAlign w:val="center"/>
          </w:tcPr>
          <w:p w14:paraId="7B2678A6" w14:textId="78F16ACE" w:rsidR="004065C1" w:rsidRPr="00DF6E53" w:rsidRDefault="004065C1"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6D75FB">
              <w:t>221</w:t>
            </w:r>
            <w:r w:rsidR="007E752E">
              <w:t>–</w:t>
            </w:r>
            <w:r w:rsidRPr="006D75FB">
              <w:t xml:space="preserve">3020 </w:t>
            </w:r>
          </w:p>
        </w:tc>
        <w:tc>
          <w:tcPr>
            <w:tcW w:w="1182" w:type="dxa"/>
            <w:tcMar>
              <w:top w:w="0" w:type="dxa"/>
              <w:bottom w:w="0" w:type="dxa"/>
            </w:tcMar>
            <w:vAlign w:val="center"/>
          </w:tcPr>
          <w:p w14:paraId="0DEF852C" w14:textId="07FBF917" w:rsidR="004065C1" w:rsidRPr="00DF6E53" w:rsidRDefault="004065C1"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6D75FB">
              <w:t>6.2</w:t>
            </w:r>
            <w:r w:rsidR="007E752E">
              <w:t>–</w:t>
            </w:r>
            <w:r w:rsidRPr="006D75FB">
              <w:t xml:space="preserve">8.7 </w:t>
            </w:r>
          </w:p>
        </w:tc>
        <w:tc>
          <w:tcPr>
            <w:tcW w:w="1070" w:type="dxa"/>
            <w:tcMar>
              <w:top w:w="0" w:type="dxa"/>
              <w:bottom w:w="0" w:type="dxa"/>
            </w:tcMar>
            <w:vAlign w:val="center"/>
          </w:tcPr>
          <w:p w14:paraId="38D4AF0B" w14:textId="2A39119B" w:rsidR="004065C1" w:rsidRPr="00DF6E53" w:rsidRDefault="004065C1"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6D75FB">
              <w:t>12</w:t>
            </w:r>
            <w:r w:rsidR="007E752E">
              <w:t>–</w:t>
            </w:r>
            <w:r w:rsidRPr="006D75FB">
              <w:t xml:space="preserve">441 </w:t>
            </w:r>
          </w:p>
        </w:tc>
        <w:tc>
          <w:tcPr>
            <w:tcW w:w="1070" w:type="dxa"/>
            <w:tcMar>
              <w:top w:w="0" w:type="dxa"/>
              <w:bottom w:w="0" w:type="dxa"/>
            </w:tcMar>
            <w:vAlign w:val="center"/>
          </w:tcPr>
          <w:p w14:paraId="524C0C77" w14:textId="03572844" w:rsidR="004065C1" w:rsidRPr="00DF6E53" w:rsidRDefault="004065C1"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6D75FB">
              <w:t>25</w:t>
            </w:r>
            <w:r w:rsidR="007E752E">
              <w:t>–</w:t>
            </w:r>
            <w:r w:rsidRPr="006D75FB">
              <w:t>185</w:t>
            </w:r>
          </w:p>
        </w:tc>
        <w:tc>
          <w:tcPr>
            <w:tcW w:w="1070" w:type="dxa"/>
            <w:tcMar>
              <w:top w:w="0" w:type="dxa"/>
              <w:bottom w:w="0" w:type="dxa"/>
            </w:tcMar>
            <w:vAlign w:val="center"/>
          </w:tcPr>
          <w:p w14:paraId="4A871868" w14:textId="5C527815" w:rsidR="004065C1" w:rsidRPr="00DF6E53" w:rsidRDefault="004065C1"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6D75FB">
              <w:t>6</w:t>
            </w:r>
            <w:r w:rsidR="007E752E">
              <w:t>–</w:t>
            </w:r>
            <w:r w:rsidRPr="006D75FB">
              <w:t>412</w:t>
            </w:r>
          </w:p>
        </w:tc>
        <w:tc>
          <w:tcPr>
            <w:tcW w:w="1071" w:type="dxa"/>
            <w:tcMar>
              <w:top w:w="0" w:type="dxa"/>
              <w:bottom w:w="0" w:type="dxa"/>
            </w:tcMar>
            <w:vAlign w:val="center"/>
          </w:tcPr>
          <w:p w14:paraId="3BC02C31" w14:textId="5C29C96D" w:rsidR="004065C1" w:rsidRPr="00DF6E53" w:rsidRDefault="004065C1"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6D75FB">
              <w:t>3</w:t>
            </w:r>
            <w:r w:rsidR="007E752E">
              <w:t>–</w:t>
            </w:r>
            <w:r w:rsidRPr="006D75FB">
              <w:t>221</w:t>
            </w:r>
          </w:p>
        </w:tc>
        <w:tc>
          <w:tcPr>
            <w:tcW w:w="1070" w:type="dxa"/>
            <w:tcMar>
              <w:top w:w="0" w:type="dxa"/>
              <w:bottom w:w="0" w:type="dxa"/>
            </w:tcMar>
            <w:vAlign w:val="center"/>
          </w:tcPr>
          <w:p w14:paraId="566C288B" w14:textId="0D50887A" w:rsidR="004065C1" w:rsidRPr="00DF6E53" w:rsidRDefault="004065C1"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6D75FB">
              <w:t>86</w:t>
            </w:r>
            <w:r w:rsidR="007E752E">
              <w:t>–</w:t>
            </w:r>
            <w:r w:rsidRPr="006D75FB">
              <w:t>536</w:t>
            </w:r>
          </w:p>
        </w:tc>
        <w:tc>
          <w:tcPr>
            <w:tcW w:w="1070" w:type="dxa"/>
            <w:tcMar>
              <w:top w:w="0" w:type="dxa"/>
              <w:bottom w:w="0" w:type="dxa"/>
            </w:tcMar>
            <w:vAlign w:val="center"/>
          </w:tcPr>
          <w:p w14:paraId="58875DBB" w14:textId="208A90FE" w:rsidR="004065C1" w:rsidRPr="00D36740" w:rsidRDefault="004065C1"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6D75FB">
              <w:t>0</w:t>
            </w:r>
            <w:r w:rsidR="007E752E">
              <w:t>–</w:t>
            </w:r>
            <w:r w:rsidRPr="006D75FB">
              <w:t>0</w:t>
            </w:r>
          </w:p>
        </w:tc>
        <w:tc>
          <w:tcPr>
            <w:tcW w:w="1070" w:type="dxa"/>
            <w:tcMar>
              <w:top w:w="0" w:type="dxa"/>
              <w:bottom w:w="0" w:type="dxa"/>
            </w:tcMar>
            <w:vAlign w:val="center"/>
          </w:tcPr>
          <w:p w14:paraId="0E5C470C" w14:textId="6829DA91" w:rsidR="004065C1" w:rsidRPr="00DF6E53" w:rsidRDefault="004065C1"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6D75FB">
              <w:t>6</w:t>
            </w:r>
            <w:r w:rsidR="007E752E">
              <w:t>–</w:t>
            </w:r>
            <w:r w:rsidRPr="006D75FB">
              <w:t>570</w:t>
            </w:r>
          </w:p>
        </w:tc>
        <w:tc>
          <w:tcPr>
            <w:tcW w:w="1071" w:type="dxa"/>
            <w:tcMar>
              <w:top w:w="0" w:type="dxa"/>
              <w:bottom w:w="0" w:type="dxa"/>
            </w:tcMar>
            <w:vAlign w:val="center"/>
          </w:tcPr>
          <w:p w14:paraId="051E5614" w14:textId="40D68DD2" w:rsidR="004065C1" w:rsidRPr="00DF6E53" w:rsidRDefault="004065C1"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6D75FB">
              <w:t>0.5</w:t>
            </w:r>
            <w:r w:rsidR="007E752E">
              <w:t>–</w:t>
            </w:r>
            <w:r w:rsidRPr="006D75FB">
              <w:t>1514</w:t>
            </w:r>
          </w:p>
        </w:tc>
      </w:tr>
      <w:tr w:rsidR="007646F9" w:rsidRPr="00D36740" w14:paraId="3580E355" w14:textId="77777777" w:rsidTr="007E752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10" w:type="dxa"/>
            <w:vMerge/>
            <w:textDirection w:val="btLr"/>
          </w:tcPr>
          <w:p w14:paraId="6CA10A5F" w14:textId="77777777" w:rsidR="007646F9" w:rsidRPr="00DF6E53" w:rsidRDefault="007646F9" w:rsidP="007646F9">
            <w:pPr>
              <w:pStyle w:val="TableTextRight"/>
              <w:ind w:left="113" w:right="113"/>
              <w:jc w:val="center"/>
              <w:rPr>
                <w:color w:val="FFFFFF" w:themeColor="background1"/>
              </w:rPr>
            </w:pPr>
          </w:p>
        </w:tc>
        <w:tc>
          <w:tcPr>
            <w:tcW w:w="1959" w:type="dxa"/>
            <w:tcBorders>
              <w:top w:val="single" w:sz="8" w:space="0" w:color="FFFFFF" w:themeColor="background1"/>
              <w:bottom w:val="single" w:sz="8" w:space="0" w:color="FFFFFF" w:themeColor="background1"/>
            </w:tcBorders>
            <w:vAlign w:val="center"/>
          </w:tcPr>
          <w:p w14:paraId="51D33E39" w14:textId="2D5BFC72" w:rsidR="007646F9" w:rsidRPr="00DF6E53" w:rsidRDefault="007646F9" w:rsidP="00DF6E53">
            <w:pPr>
              <w:pStyle w:val="TableText"/>
              <w:jc w:val="right"/>
              <w:cnfStyle w:val="000000100000" w:firstRow="0" w:lastRow="0" w:firstColumn="0" w:lastColumn="0" w:oddVBand="0" w:evenVBand="0" w:oddHBand="1" w:evenHBand="0" w:firstRowFirstColumn="0" w:firstRowLastColumn="0" w:lastRowFirstColumn="0" w:lastRowLastColumn="0"/>
              <w:rPr>
                <w:b/>
              </w:rPr>
            </w:pPr>
            <w:r w:rsidRPr="00DF6E53">
              <w:rPr>
                <w:b/>
              </w:rPr>
              <w:t>Lower CLA</w:t>
            </w:r>
          </w:p>
          <w:p w14:paraId="7917CE74" w14:textId="5A2750BE" w:rsidR="007646F9" w:rsidRPr="00D36740" w:rsidRDefault="00191006" w:rsidP="00DF6E53">
            <w:pPr>
              <w:pStyle w:val="TableText"/>
              <w:jc w:val="right"/>
              <w:cnfStyle w:val="000000100000" w:firstRow="0" w:lastRow="0" w:firstColumn="0" w:lastColumn="0" w:oddVBand="0" w:evenVBand="0" w:oddHBand="1" w:evenHBand="0" w:firstRowFirstColumn="0" w:firstRowLastColumn="0" w:lastRowFirstColumn="0" w:lastRowLastColumn="0"/>
            </w:pPr>
            <w:r>
              <w:t>(</w:t>
            </w:r>
            <w:r w:rsidR="007646F9">
              <w:t>Most r</w:t>
            </w:r>
            <w:r w:rsidR="007646F9" w:rsidRPr="00D36740">
              <w:t>ecent</w:t>
            </w:r>
            <w:r>
              <w:t>)</w:t>
            </w:r>
          </w:p>
        </w:tc>
        <w:tc>
          <w:tcPr>
            <w:tcW w:w="1054" w:type="dxa"/>
            <w:vAlign w:val="center"/>
          </w:tcPr>
          <w:p w14:paraId="2158205E" w14:textId="4495FD63" w:rsidR="007646F9" w:rsidRPr="00CF40AD" w:rsidRDefault="007646F9" w:rsidP="00D36740">
            <w:pPr>
              <w:pStyle w:val="TableTextRight"/>
              <w:jc w:val="center"/>
              <w:cnfStyle w:val="000000100000" w:firstRow="0" w:lastRow="0" w:firstColumn="0" w:lastColumn="0" w:oddVBand="0" w:evenVBand="0" w:oddHBand="1" w:evenHBand="0" w:firstRowFirstColumn="0" w:firstRowLastColumn="0" w:lastRowFirstColumn="0" w:lastRowLastColumn="0"/>
            </w:pPr>
            <w:r w:rsidRPr="00CF40AD">
              <w:t>229</w:t>
            </w:r>
          </w:p>
        </w:tc>
        <w:tc>
          <w:tcPr>
            <w:tcW w:w="1047" w:type="dxa"/>
            <w:vAlign w:val="center"/>
          </w:tcPr>
          <w:p w14:paraId="4CDE8319" w14:textId="283D00A4" w:rsidR="007646F9" w:rsidRPr="00DF6E53"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231622">
              <w:t>93</w:t>
            </w:r>
            <w:r w:rsidR="007E752E">
              <w:t>–</w:t>
            </w:r>
            <w:r w:rsidRPr="00231622">
              <w:t>1990 (820)</w:t>
            </w:r>
          </w:p>
        </w:tc>
        <w:tc>
          <w:tcPr>
            <w:tcW w:w="1182" w:type="dxa"/>
            <w:vAlign w:val="center"/>
          </w:tcPr>
          <w:p w14:paraId="4F1F4CAD" w14:textId="02354971" w:rsidR="007646F9"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231622">
              <w:t>6</w:t>
            </w:r>
            <w:r w:rsidR="007E752E">
              <w:t>–</w:t>
            </w:r>
            <w:r w:rsidRPr="00231622">
              <w:t xml:space="preserve">9.52 </w:t>
            </w:r>
          </w:p>
          <w:p w14:paraId="0F5844D4" w14:textId="6B5FA3E4" w:rsidR="007646F9" w:rsidRPr="00DF6E53"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231622">
              <w:t>(7.4)</w:t>
            </w:r>
          </w:p>
        </w:tc>
        <w:tc>
          <w:tcPr>
            <w:tcW w:w="1070" w:type="dxa"/>
            <w:vAlign w:val="center"/>
          </w:tcPr>
          <w:p w14:paraId="5A9D724A" w14:textId="0EAF938F" w:rsidR="007646F9"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231622">
              <w:t>1</w:t>
            </w:r>
            <w:r w:rsidR="007E752E">
              <w:t>–</w:t>
            </w:r>
            <w:r w:rsidRPr="00231622">
              <w:t xml:space="preserve">204 </w:t>
            </w:r>
          </w:p>
          <w:p w14:paraId="48553E53" w14:textId="620AFD1F" w:rsidR="007646F9" w:rsidRPr="00DF6E53"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231622">
              <w:t>(94)</w:t>
            </w:r>
          </w:p>
        </w:tc>
        <w:tc>
          <w:tcPr>
            <w:tcW w:w="1070" w:type="dxa"/>
            <w:vAlign w:val="center"/>
          </w:tcPr>
          <w:p w14:paraId="7729927B" w14:textId="16997045" w:rsidR="007646F9"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231622">
              <w:t>1</w:t>
            </w:r>
            <w:r w:rsidR="007E752E">
              <w:t>–</w:t>
            </w:r>
            <w:r w:rsidRPr="00231622">
              <w:t xml:space="preserve">124 </w:t>
            </w:r>
          </w:p>
          <w:p w14:paraId="0944D0AB" w14:textId="7F9AF803" w:rsidR="007646F9" w:rsidRPr="00DF6E53"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231622">
              <w:t>(51)</w:t>
            </w:r>
          </w:p>
        </w:tc>
        <w:tc>
          <w:tcPr>
            <w:tcW w:w="1070" w:type="dxa"/>
            <w:vAlign w:val="center"/>
          </w:tcPr>
          <w:p w14:paraId="72CDBD23" w14:textId="3EDC2A7A" w:rsidR="007646F9"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231622">
              <w:t>1</w:t>
            </w:r>
            <w:r w:rsidR="007E752E">
              <w:t>–</w:t>
            </w:r>
            <w:r w:rsidRPr="00231622">
              <w:t xml:space="preserve">438 </w:t>
            </w:r>
          </w:p>
          <w:p w14:paraId="3005F3C8" w14:textId="107BA74C" w:rsidR="007646F9" w:rsidRPr="00DF6E53"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231622">
              <w:t>(115)</w:t>
            </w:r>
          </w:p>
        </w:tc>
        <w:tc>
          <w:tcPr>
            <w:tcW w:w="1071" w:type="dxa"/>
            <w:vAlign w:val="center"/>
          </w:tcPr>
          <w:p w14:paraId="7096B693" w14:textId="4C6437B0" w:rsidR="007646F9"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231622">
              <w:t>1</w:t>
            </w:r>
            <w:r w:rsidR="007E752E">
              <w:t>–</w:t>
            </w:r>
            <w:r w:rsidRPr="00231622">
              <w:t xml:space="preserve">76 </w:t>
            </w:r>
          </w:p>
          <w:p w14:paraId="6F661A51" w14:textId="011DD590" w:rsidR="007646F9" w:rsidRPr="00DF6E53"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231622">
              <w:t>(21)</w:t>
            </w:r>
          </w:p>
        </w:tc>
        <w:tc>
          <w:tcPr>
            <w:tcW w:w="1070" w:type="dxa"/>
            <w:vAlign w:val="center"/>
          </w:tcPr>
          <w:p w14:paraId="5186A819" w14:textId="6DD654B7" w:rsidR="007646F9"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231622">
              <w:t>5</w:t>
            </w:r>
            <w:r w:rsidR="007E752E">
              <w:t>–</w:t>
            </w:r>
            <w:r w:rsidRPr="00231622">
              <w:t xml:space="preserve">764 </w:t>
            </w:r>
          </w:p>
          <w:p w14:paraId="3B0C8D63" w14:textId="2E0D5BC7" w:rsidR="007646F9" w:rsidRPr="00DF6E53"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231622">
              <w:t>(473)</w:t>
            </w:r>
          </w:p>
        </w:tc>
        <w:tc>
          <w:tcPr>
            <w:tcW w:w="1070" w:type="dxa"/>
            <w:vAlign w:val="center"/>
          </w:tcPr>
          <w:p w14:paraId="50027954" w14:textId="27C949F1" w:rsidR="007646F9"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231622">
              <w:t>0</w:t>
            </w:r>
            <w:r w:rsidR="007E752E">
              <w:t>–</w:t>
            </w:r>
            <w:r w:rsidRPr="00231622">
              <w:t xml:space="preserve">81 </w:t>
            </w:r>
          </w:p>
          <w:p w14:paraId="5283DD9B" w14:textId="2C86F219" w:rsidR="007646F9" w:rsidRPr="00D36740"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231622">
              <w:t>(0)</w:t>
            </w:r>
          </w:p>
        </w:tc>
        <w:tc>
          <w:tcPr>
            <w:tcW w:w="1070" w:type="dxa"/>
            <w:vAlign w:val="center"/>
          </w:tcPr>
          <w:p w14:paraId="70F5DD6E" w14:textId="5F90C89C" w:rsidR="007646F9"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231622">
              <w:t>2</w:t>
            </w:r>
            <w:r w:rsidR="007E752E">
              <w:t>–</w:t>
            </w:r>
            <w:r w:rsidRPr="00231622">
              <w:t xml:space="preserve">620 </w:t>
            </w:r>
          </w:p>
          <w:p w14:paraId="6B98E175" w14:textId="306D6CDB" w:rsidR="007646F9" w:rsidRPr="00DF6E53"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231622">
              <w:t>(146)</w:t>
            </w:r>
          </w:p>
        </w:tc>
        <w:tc>
          <w:tcPr>
            <w:tcW w:w="1071" w:type="dxa"/>
            <w:vAlign w:val="center"/>
          </w:tcPr>
          <w:p w14:paraId="630E452E" w14:textId="0252E605" w:rsidR="007646F9" w:rsidRPr="00DF6E53" w:rsidRDefault="007646F9" w:rsidP="007646F9">
            <w:pPr>
              <w:pStyle w:val="TableTextRight"/>
              <w:jc w:val="center"/>
              <w:cnfStyle w:val="000000100000" w:firstRow="0" w:lastRow="0" w:firstColumn="0" w:lastColumn="0" w:oddVBand="0" w:evenVBand="0" w:oddHBand="1" w:evenHBand="0" w:firstRowFirstColumn="0" w:firstRowLastColumn="0" w:lastRowFirstColumn="0" w:lastRowLastColumn="0"/>
            </w:pPr>
            <w:r w:rsidRPr="00231622">
              <w:t>0.5</w:t>
            </w:r>
            <w:r w:rsidR="007E752E">
              <w:t>–</w:t>
            </w:r>
            <w:r w:rsidRPr="00231622">
              <w:t>650 (134)</w:t>
            </w:r>
          </w:p>
        </w:tc>
      </w:tr>
      <w:tr w:rsidR="004065C1" w:rsidRPr="00D36740" w14:paraId="15C74276" w14:textId="77777777" w:rsidTr="007E752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10" w:type="dxa"/>
            <w:vMerge/>
            <w:textDirection w:val="btLr"/>
          </w:tcPr>
          <w:p w14:paraId="2DDC5D28" w14:textId="77777777" w:rsidR="004065C1" w:rsidRPr="00DF6E53" w:rsidRDefault="004065C1" w:rsidP="004065C1">
            <w:pPr>
              <w:pStyle w:val="TableTextRight"/>
              <w:ind w:left="113" w:right="113"/>
              <w:jc w:val="center"/>
              <w:rPr>
                <w:color w:val="FFFFFF" w:themeColor="background1"/>
              </w:rPr>
            </w:pPr>
          </w:p>
        </w:tc>
        <w:tc>
          <w:tcPr>
            <w:tcW w:w="1959" w:type="dxa"/>
            <w:tcBorders>
              <w:top w:val="single" w:sz="8" w:space="0" w:color="FFFFFF" w:themeColor="background1"/>
              <w:bottom w:val="single" w:sz="8" w:space="0" w:color="FFFFFF" w:themeColor="background1"/>
            </w:tcBorders>
            <w:vAlign w:val="center"/>
          </w:tcPr>
          <w:p w14:paraId="79EE9C46" w14:textId="08F581B2" w:rsidR="004065C1" w:rsidRPr="00D36740" w:rsidRDefault="004065C1" w:rsidP="00DF6E53">
            <w:pPr>
              <w:pStyle w:val="TableText"/>
              <w:jc w:val="right"/>
              <w:cnfStyle w:val="000000010000" w:firstRow="0" w:lastRow="0" w:firstColumn="0" w:lastColumn="0" w:oddVBand="0" w:evenVBand="0" w:oddHBand="0" w:evenHBand="1" w:firstRowFirstColumn="0" w:firstRowLastColumn="0" w:lastRowFirstColumn="0" w:lastRowLastColumn="0"/>
            </w:pPr>
            <w:r w:rsidRPr="00D36740">
              <w:t>All</w:t>
            </w:r>
          </w:p>
        </w:tc>
        <w:tc>
          <w:tcPr>
            <w:tcW w:w="1054" w:type="dxa"/>
            <w:vAlign w:val="center"/>
          </w:tcPr>
          <w:p w14:paraId="51EE13FA" w14:textId="717FCAC3" w:rsidR="004065C1" w:rsidRPr="00CF40AD" w:rsidRDefault="004065C1" w:rsidP="004065C1">
            <w:pPr>
              <w:pStyle w:val="TableTextRight"/>
              <w:jc w:val="center"/>
              <w:cnfStyle w:val="000000010000" w:firstRow="0" w:lastRow="0" w:firstColumn="0" w:lastColumn="0" w:oddVBand="0" w:evenVBand="0" w:oddHBand="0" w:evenHBand="1" w:firstRowFirstColumn="0" w:firstRowLastColumn="0" w:lastRowFirstColumn="0" w:lastRowLastColumn="0"/>
            </w:pPr>
            <w:r w:rsidRPr="00CF40AD">
              <w:t>427</w:t>
            </w:r>
          </w:p>
        </w:tc>
        <w:tc>
          <w:tcPr>
            <w:tcW w:w="1047" w:type="dxa"/>
            <w:vAlign w:val="center"/>
          </w:tcPr>
          <w:p w14:paraId="3581430D" w14:textId="2AAE2BDB" w:rsidR="004065C1" w:rsidRPr="00DF6E53" w:rsidRDefault="004065C1"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874E74">
              <w:t>93</w:t>
            </w:r>
            <w:r w:rsidR="007E752E">
              <w:t>–</w:t>
            </w:r>
            <w:r w:rsidRPr="00874E74">
              <w:t>3881</w:t>
            </w:r>
          </w:p>
        </w:tc>
        <w:tc>
          <w:tcPr>
            <w:tcW w:w="1182" w:type="dxa"/>
            <w:vAlign w:val="center"/>
          </w:tcPr>
          <w:p w14:paraId="3AF60C69" w14:textId="10573385" w:rsidR="004065C1" w:rsidRPr="00DF6E53" w:rsidRDefault="004065C1"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874E74">
              <w:t>6</w:t>
            </w:r>
            <w:r w:rsidR="007E752E">
              <w:t>–</w:t>
            </w:r>
            <w:r w:rsidRPr="00874E74">
              <w:t>9.52</w:t>
            </w:r>
          </w:p>
        </w:tc>
        <w:tc>
          <w:tcPr>
            <w:tcW w:w="1070" w:type="dxa"/>
            <w:vAlign w:val="center"/>
          </w:tcPr>
          <w:p w14:paraId="0C46E4F3" w14:textId="5FE90694" w:rsidR="004065C1" w:rsidRPr="00DF6E53" w:rsidRDefault="004065C1"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874E74">
              <w:t>1</w:t>
            </w:r>
            <w:r w:rsidR="007E752E">
              <w:t>–</w:t>
            </w:r>
            <w:r w:rsidRPr="00874E74">
              <w:t>400</w:t>
            </w:r>
          </w:p>
        </w:tc>
        <w:tc>
          <w:tcPr>
            <w:tcW w:w="1070" w:type="dxa"/>
            <w:vAlign w:val="center"/>
          </w:tcPr>
          <w:p w14:paraId="16C9F8B9" w14:textId="46AD47C0" w:rsidR="004065C1" w:rsidRPr="00DF6E53" w:rsidRDefault="004065C1"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874E74">
              <w:t>0.5</w:t>
            </w:r>
            <w:r w:rsidR="007E752E">
              <w:t>–</w:t>
            </w:r>
            <w:r w:rsidRPr="00874E74">
              <w:t>155</w:t>
            </w:r>
          </w:p>
        </w:tc>
        <w:tc>
          <w:tcPr>
            <w:tcW w:w="1070" w:type="dxa"/>
            <w:vAlign w:val="center"/>
          </w:tcPr>
          <w:p w14:paraId="5D579EC2" w14:textId="5479C639" w:rsidR="004065C1" w:rsidRPr="00DF6E53" w:rsidRDefault="004065C1"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874E74">
              <w:t>1</w:t>
            </w:r>
            <w:r w:rsidR="007E752E">
              <w:t>–</w:t>
            </w:r>
            <w:r w:rsidRPr="00874E74">
              <w:t>575</w:t>
            </w:r>
          </w:p>
        </w:tc>
        <w:tc>
          <w:tcPr>
            <w:tcW w:w="1071" w:type="dxa"/>
            <w:vAlign w:val="center"/>
          </w:tcPr>
          <w:p w14:paraId="0572523F" w14:textId="1E53D639" w:rsidR="004065C1" w:rsidRPr="00DF6E53" w:rsidRDefault="004065C1"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874E74">
              <w:t>0.5</w:t>
            </w:r>
            <w:r w:rsidR="007E752E">
              <w:t>–</w:t>
            </w:r>
            <w:r w:rsidRPr="00874E74">
              <w:t>76</w:t>
            </w:r>
          </w:p>
        </w:tc>
        <w:tc>
          <w:tcPr>
            <w:tcW w:w="1070" w:type="dxa"/>
            <w:vAlign w:val="center"/>
          </w:tcPr>
          <w:p w14:paraId="0DC9DF3B" w14:textId="7FE7B21D" w:rsidR="004065C1" w:rsidRPr="00DF6E53" w:rsidRDefault="004065C1"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874E74">
              <w:t>5</w:t>
            </w:r>
            <w:r w:rsidR="007E752E">
              <w:t>–</w:t>
            </w:r>
            <w:r w:rsidRPr="00874E74">
              <w:t>764</w:t>
            </w:r>
          </w:p>
        </w:tc>
        <w:tc>
          <w:tcPr>
            <w:tcW w:w="1070" w:type="dxa"/>
            <w:vAlign w:val="center"/>
          </w:tcPr>
          <w:p w14:paraId="4C4B7A1E" w14:textId="10D102AB" w:rsidR="004065C1" w:rsidRPr="00D36740" w:rsidRDefault="004065C1"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874E74">
              <w:t>0</w:t>
            </w:r>
            <w:r w:rsidR="007E752E">
              <w:t>–</w:t>
            </w:r>
            <w:r w:rsidRPr="00874E74">
              <w:t>81</w:t>
            </w:r>
          </w:p>
        </w:tc>
        <w:tc>
          <w:tcPr>
            <w:tcW w:w="1070" w:type="dxa"/>
            <w:vAlign w:val="center"/>
          </w:tcPr>
          <w:p w14:paraId="14859195" w14:textId="30433816" w:rsidR="004065C1" w:rsidRPr="00DF6E53" w:rsidRDefault="004065C1"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874E74">
              <w:t>2</w:t>
            </w:r>
            <w:r w:rsidR="007E752E">
              <w:t>–</w:t>
            </w:r>
            <w:r w:rsidRPr="00874E74">
              <w:t>1080</w:t>
            </w:r>
          </w:p>
        </w:tc>
        <w:tc>
          <w:tcPr>
            <w:tcW w:w="1071" w:type="dxa"/>
            <w:vAlign w:val="center"/>
          </w:tcPr>
          <w:p w14:paraId="632ECEFA" w14:textId="5FFF1D1B" w:rsidR="004065C1" w:rsidRPr="00DF6E53" w:rsidRDefault="004065C1"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874E74">
              <w:t>0</w:t>
            </w:r>
            <w:r w:rsidR="007E752E">
              <w:t>–</w:t>
            </w:r>
            <w:r w:rsidRPr="00874E74">
              <w:t>1140</w:t>
            </w:r>
          </w:p>
        </w:tc>
      </w:tr>
      <w:tr w:rsidR="00C57F6A" w:rsidRPr="00D36740" w14:paraId="789E548D" w14:textId="77777777" w:rsidTr="007E752E">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710" w:type="dxa"/>
            <w:vMerge w:val="restart"/>
            <w:textDirection w:val="btLr"/>
          </w:tcPr>
          <w:p w14:paraId="37B6F534" w14:textId="3BBD4170" w:rsidR="00C57F6A" w:rsidRPr="00DF6E53" w:rsidRDefault="00C57F6A" w:rsidP="00C57F6A">
            <w:pPr>
              <w:pStyle w:val="TableTextRight"/>
              <w:ind w:left="113" w:right="113"/>
              <w:jc w:val="center"/>
              <w:rPr>
                <w:color w:val="FFFFFF" w:themeColor="background1"/>
              </w:rPr>
            </w:pPr>
            <w:r w:rsidRPr="00DF6E53">
              <w:rPr>
                <w:color w:val="FFFFFF" w:themeColor="background1"/>
              </w:rPr>
              <w:t>Unnamed</w:t>
            </w:r>
          </w:p>
        </w:tc>
        <w:tc>
          <w:tcPr>
            <w:tcW w:w="1959" w:type="dxa"/>
            <w:tcBorders>
              <w:top w:val="single" w:sz="8" w:space="0" w:color="FFFFFF" w:themeColor="background1"/>
              <w:bottom w:val="single" w:sz="8" w:space="0" w:color="FFFFFF" w:themeColor="background1"/>
            </w:tcBorders>
            <w:vAlign w:val="center"/>
          </w:tcPr>
          <w:p w14:paraId="1489E84F" w14:textId="77777777" w:rsidR="004065C1" w:rsidRDefault="00C57F6A" w:rsidP="00D36740">
            <w:pPr>
              <w:pStyle w:val="TableTextRight"/>
              <w:cnfStyle w:val="000000100000" w:firstRow="0" w:lastRow="0" w:firstColumn="0" w:lastColumn="0" w:oddVBand="0" w:evenVBand="0" w:oddHBand="1" w:evenHBand="0" w:firstRowFirstColumn="0" w:firstRowLastColumn="0" w:lastRowFirstColumn="0" w:lastRowLastColumn="0"/>
              <w:rPr>
                <w:b/>
              </w:rPr>
            </w:pPr>
            <w:r w:rsidRPr="00DF6E53">
              <w:rPr>
                <w:b/>
              </w:rPr>
              <w:t xml:space="preserve">Antrim </w:t>
            </w:r>
            <w:r w:rsidR="004065C1">
              <w:rPr>
                <w:b/>
              </w:rPr>
              <w:t>PV</w:t>
            </w:r>
            <w:r w:rsidRPr="00DF6E53">
              <w:rPr>
                <w:b/>
              </w:rPr>
              <w:t xml:space="preserve"> </w:t>
            </w:r>
          </w:p>
          <w:p w14:paraId="00E9945A" w14:textId="06EB1B8A" w:rsidR="00C57F6A" w:rsidRPr="00DF6E53" w:rsidRDefault="00191006" w:rsidP="00D36740">
            <w:pPr>
              <w:pStyle w:val="TableTextRight"/>
              <w:cnfStyle w:val="000000100000" w:firstRow="0" w:lastRow="0" w:firstColumn="0" w:lastColumn="0" w:oddVBand="0" w:evenVBand="0" w:oddHBand="1" w:evenHBand="0" w:firstRowFirstColumn="0" w:firstRowLastColumn="0" w:lastRowFirstColumn="0" w:lastRowLastColumn="0"/>
              <w:rPr>
                <w:b/>
              </w:rPr>
            </w:pPr>
            <w:r>
              <w:t>(</w:t>
            </w:r>
            <w:r w:rsidR="00C57F6A" w:rsidRPr="00DF6E53">
              <w:t>Most recent</w:t>
            </w:r>
            <w:r>
              <w:t>)</w:t>
            </w:r>
          </w:p>
        </w:tc>
        <w:tc>
          <w:tcPr>
            <w:tcW w:w="1054" w:type="dxa"/>
            <w:vAlign w:val="center"/>
          </w:tcPr>
          <w:p w14:paraId="1BECE69D" w14:textId="4B069CCA" w:rsidR="00C57F6A" w:rsidRPr="00CF40AD"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CF40AD">
              <w:t>18</w:t>
            </w:r>
          </w:p>
        </w:tc>
        <w:tc>
          <w:tcPr>
            <w:tcW w:w="1047" w:type="dxa"/>
            <w:vAlign w:val="center"/>
          </w:tcPr>
          <w:p w14:paraId="6A57C510" w14:textId="4FF01569" w:rsidR="00C57F6A" w:rsidRPr="00DF6E53"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1F6D9F">
              <w:t>210</w:t>
            </w:r>
            <w:r w:rsidR="007E752E">
              <w:t>–</w:t>
            </w:r>
            <w:r w:rsidRPr="001F6D9F">
              <w:t>872 (496)</w:t>
            </w:r>
          </w:p>
        </w:tc>
        <w:tc>
          <w:tcPr>
            <w:tcW w:w="1182" w:type="dxa"/>
            <w:vAlign w:val="center"/>
          </w:tcPr>
          <w:p w14:paraId="573806DF" w14:textId="0BEF96E5" w:rsidR="00C57F6A"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1F6D9F">
              <w:t>6.5</w:t>
            </w:r>
            <w:r w:rsidR="007E752E">
              <w:t>–</w:t>
            </w:r>
            <w:r w:rsidRPr="001F6D9F">
              <w:t xml:space="preserve">8.6 </w:t>
            </w:r>
          </w:p>
          <w:p w14:paraId="442FECB6" w14:textId="436D67E8" w:rsidR="00C57F6A" w:rsidRPr="00DF6E53"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1F6D9F">
              <w:t>(7.5)</w:t>
            </w:r>
          </w:p>
        </w:tc>
        <w:tc>
          <w:tcPr>
            <w:tcW w:w="1070" w:type="dxa"/>
            <w:vAlign w:val="center"/>
          </w:tcPr>
          <w:p w14:paraId="5F6C4445" w14:textId="73386362" w:rsidR="00C57F6A"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1F6D9F">
              <w:t>8</w:t>
            </w:r>
            <w:r w:rsidR="007E752E">
              <w:t>–</w:t>
            </w:r>
            <w:r w:rsidRPr="001F6D9F">
              <w:t xml:space="preserve">138 </w:t>
            </w:r>
          </w:p>
          <w:p w14:paraId="7D98E7DE" w14:textId="730D4711" w:rsidR="00C57F6A" w:rsidRPr="00DF6E53"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1F6D9F">
              <w:t>(61)</w:t>
            </w:r>
          </w:p>
        </w:tc>
        <w:tc>
          <w:tcPr>
            <w:tcW w:w="1070" w:type="dxa"/>
            <w:vAlign w:val="center"/>
          </w:tcPr>
          <w:p w14:paraId="436ACDFB" w14:textId="28300946" w:rsidR="00C57F6A"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1F6D9F">
              <w:t>2</w:t>
            </w:r>
            <w:r w:rsidR="007E752E">
              <w:t>–</w:t>
            </w:r>
            <w:r w:rsidRPr="001F6D9F">
              <w:t xml:space="preserve">92 </w:t>
            </w:r>
          </w:p>
          <w:p w14:paraId="6E04231C" w14:textId="32ECD9C3" w:rsidR="00C57F6A" w:rsidRPr="00DF6E53"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1F6D9F">
              <w:t>(30)</w:t>
            </w:r>
          </w:p>
        </w:tc>
        <w:tc>
          <w:tcPr>
            <w:tcW w:w="1070" w:type="dxa"/>
            <w:vAlign w:val="center"/>
          </w:tcPr>
          <w:p w14:paraId="6A25D7E0" w14:textId="1762017D" w:rsidR="00C57F6A"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1F6D9F">
              <w:t>6</w:t>
            </w:r>
            <w:r w:rsidR="007E752E">
              <w:t>–</w:t>
            </w:r>
            <w:r w:rsidRPr="001F6D9F">
              <w:t xml:space="preserve">243 </w:t>
            </w:r>
          </w:p>
          <w:p w14:paraId="2FC3E5EE" w14:textId="6326FF87" w:rsidR="00C57F6A" w:rsidRPr="00DF6E53"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1F6D9F">
              <w:t>(72)</w:t>
            </w:r>
          </w:p>
        </w:tc>
        <w:tc>
          <w:tcPr>
            <w:tcW w:w="1071" w:type="dxa"/>
            <w:vAlign w:val="center"/>
          </w:tcPr>
          <w:p w14:paraId="1659047C" w14:textId="0DB3A9CE" w:rsidR="00C57F6A"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1F6D9F">
              <w:t>1</w:t>
            </w:r>
            <w:r w:rsidR="007E752E">
              <w:t>–</w:t>
            </w:r>
            <w:r w:rsidRPr="001F6D9F">
              <w:t xml:space="preserve">16 </w:t>
            </w:r>
          </w:p>
          <w:p w14:paraId="09589F93" w14:textId="354E427A" w:rsidR="00C57F6A" w:rsidRPr="00DF6E53"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1F6D9F">
              <w:t>(5)</w:t>
            </w:r>
          </w:p>
        </w:tc>
        <w:tc>
          <w:tcPr>
            <w:tcW w:w="1070" w:type="dxa"/>
            <w:vAlign w:val="center"/>
          </w:tcPr>
          <w:p w14:paraId="27EE8227" w14:textId="7EFFA804" w:rsidR="00C57F6A" w:rsidRPr="00DF6E53"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1F6D9F">
              <w:t>149</w:t>
            </w:r>
            <w:r w:rsidR="007E752E">
              <w:t>–</w:t>
            </w:r>
            <w:r w:rsidRPr="001F6D9F">
              <w:t>695 (366)</w:t>
            </w:r>
          </w:p>
        </w:tc>
        <w:tc>
          <w:tcPr>
            <w:tcW w:w="1070" w:type="dxa"/>
            <w:vAlign w:val="center"/>
          </w:tcPr>
          <w:p w14:paraId="3E7C98F3" w14:textId="65238A0E" w:rsidR="00C57F6A"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1F6D9F">
              <w:t>0</w:t>
            </w:r>
            <w:r w:rsidR="007E752E">
              <w:t>–</w:t>
            </w:r>
            <w:r w:rsidRPr="001F6D9F">
              <w:t xml:space="preserve">5 </w:t>
            </w:r>
          </w:p>
          <w:p w14:paraId="57AB69E1" w14:textId="3AEA02DD" w:rsidR="00C57F6A" w:rsidRPr="00D36740"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1F6D9F">
              <w:t>(0)</w:t>
            </w:r>
          </w:p>
        </w:tc>
        <w:tc>
          <w:tcPr>
            <w:tcW w:w="1070" w:type="dxa"/>
            <w:vAlign w:val="center"/>
          </w:tcPr>
          <w:p w14:paraId="016F2D71" w14:textId="5F176D5E" w:rsidR="00C57F6A"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1F6D9F">
              <w:t>4</w:t>
            </w:r>
            <w:r w:rsidR="007E752E">
              <w:t>–</w:t>
            </w:r>
            <w:r w:rsidRPr="001F6D9F">
              <w:t xml:space="preserve">327 </w:t>
            </w:r>
          </w:p>
          <w:p w14:paraId="0403CB0B" w14:textId="38E34231" w:rsidR="00C57F6A" w:rsidRPr="00DF6E53"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1F6D9F">
              <w:t>(73)</w:t>
            </w:r>
          </w:p>
        </w:tc>
        <w:tc>
          <w:tcPr>
            <w:tcW w:w="1071" w:type="dxa"/>
            <w:vAlign w:val="center"/>
          </w:tcPr>
          <w:p w14:paraId="2091134E" w14:textId="767CD804" w:rsidR="00C57F6A" w:rsidRPr="00DF6E53"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1F6D9F">
              <w:t>0.5</w:t>
            </w:r>
            <w:r w:rsidR="007E752E">
              <w:t>–</w:t>
            </w:r>
            <w:r w:rsidRPr="001F6D9F">
              <w:t>164 (40)</w:t>
            </w:r>
          </w:p>
        </w:tc>
      </w:tr>
      <w:tr w:rsidR="00B63468" w:rsidRPr="00D36740" w14:paraId="186D347F" w14:textId="77777777" w:rsidTr="007E752E">
        <w:trPr>
          <w:cnfStyle w:val="000000010000" w:firstRow="0" w:lastRow="0" w:firstColumn="0" w:lastColumn="0" w:oddVBand="0" w:evenVBand="0" w:oddHBand="0" w:evenHBand="1"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710" w:type="dxa"/>
            <w:vMerge/>
            <w:textDirection w:val="btLr"/>
          </w:tcPr>
          <w:p w14:paraId="45D94690" w14:textId="7ADE1FC1" w:rsidR="00B63468" w:rsidRPr="00DF6E53" w:rsidRDefault="00B63468" w:rsidP="00B63468">
            <w:pPr>
              <w:pStyle w:val="TableTextRight"/>
              <w:ind w:left="113" w:right="113"/>
              <w:jc w:val="center"/>
              <w:rPr>
                <w:color w:val="FFFFFF" w:themeColor="background1"/>
              </w:rPr>
            </w:pPr>
          </w:p>
        </w:tc>
        <w:tc>
          <w:tcPr>
            <w:tcW w:w="1959" w:type="dxa"/>
            <w:tcBorders>
              <w:top w:val="single" w:sz="8" w:space="0" w:color="FFFFFF" w:themeColor="background1"/>
              <w:bottom w:val="single" w:sz="8" w:space="0" w:color="FFFFFF" w:themeColor="background1"/>
            </w:tcBorders>
            <w:vAlign w:val="center"/>
          </w:tcPr>
          <w:p w14:paraId="3B74EC1D" w14:textId="359A6295" w:rsidR="00B63468" w:rsidRPr="00DF6E53" w:rsidRDefault="00B63468" w:rsidP="00D36740">
            <w:pPr>
              <w:pStyle w:val="TableTextRight"/>
              <w:cnfStyle w:val="000000010000" w:firstRow="0" w:lastRow="0" w:firstColumn="0" w:lastColumn="0" w:oddVBand="0" w:evenVBand="0" w:oddHBand="0" w:evenHBand="1" w:firstRowFirstColumn="0" w:firstRowLastColumn="0" w:lastRowFirstColumn="0" w:lastRowLastColumn="0"/>
            </w:pPr>
            <w:r w:rsidRPr="00DF6E53">
              <w:t>All</w:t>
            </w:r>
          </w:p>
        </w:tc>
        <w:tc>
          <w:tcPr>
            <w:tcW w:w="1054" w:type="dxa"/>
            <w:vAlign w:val="center"/>
          </w:tcPr>
          <w:p w14:paraId="0F92DA4C" w14:textId="4A9F785A" w:rsidR="00B63468" w:rsidRPr="00CF40AD" w:rsidRDefault="00B63468" w:rsidP="00B63468">
            <w:pPr>
              <w:pStyle w:val="TableTextRight"/>
              <w:jc w:val="center"/>
              <w:cnfStyle w:val="000000010000" w:firstRow="0" w:lastRow="0" w:firstColumn="0" w:lastColumn="0" w:oddVBand="0" w:evenVBand="0" w:oddHBand="0" w:evenHBand="1" w:firstRowFirstColumn="0" w:firstRowLastColumn="0" w:lastRowFirstColumn="0" w:lastRowLastColumn="0"/>
            </w:pPr>
            <w:r w:rsidRPr="00CF40AD">
              <w:t>34</w:t>
            </w:r>
          </w:p>
        </w:tc>
        <w:tc>
          <w:tcPr>
            <w:tcW w:w="1047" w:type="dxa"/>
            <w:vAlign w:val="center"/>
          </w:tcPr>
          <w:p w14:paraId="0FCD4D36" w14:textId="408598C1" w:rsidR="00B63468" w:rsidRPr="00DF6E53" w:rsidRDefault="00B63468"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3410F2">
              <w:t>210</w:t>
            </w:r>
            <w:r w:rsidR="007E752E">
              <w:t>–</w:t>
            </w:r>
            <w:r w:rsidRPr="003410F2">
              <w:t>1359</w:t>
            </w:r>
          </w:p>
        </w:tc>
        <w:tc>
          <w:tcPr>
            <w:tcW w:w="1182" w:type="dxa"/>
            <w:vAlign w:val="center"/>
          </w:tcPr>
          <w:p w14:paraId="5217BB8D" w14:textId="2E0D126A" w:rsidR="00B63468" w:rsidRPr="00DF6E53" w:rsidRDefault="00B63468"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3410F2">
              <w:t>6.3</w:t>
            </w:r>
            <w:r w:rsidR="007E752E">
              <w:t>–</w:t>
            </w:r>
            <w:r w:rsidRPr="003410F2">
              <w:t>8.6</w:t>
            </w:r>
          </w:p>
        </w:tc>
        <w:tc>
          <w:tcPr>
            <w:tcW w:w="1070" w:type="dxa"/>
            <w:vAlign w:val="center"/>
          </w:tcPr>
          <w:p w14:paraId="7382ED22" w14:textId="2958E7C6" w:rsidR="00B63468" w:rsidRPr="00DF6E53" w:rsidRDefault="00B63468"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3410F2">
              <w:t>8</w:t>
            </w:r>
            <w:r w:rsidR="007E752E">
              <w:t>–</w:t>
            </w:r>
            <w:r w:rsidRPr="003410F2">
              <w:t>138</w:t>
            </w:r>
          </w:p>
        </w:tc>
        <w:tc>
          <w:tcPr>
            <w:tcW w:w="1070" w:type="dxa"/>
            <w:vAlign w:val="center"/>
          </w:tcPr>
          <w:p w14:paraId="00D01430" w14:textId="09AF6298" w:rsidR="00B63468" w:rsidRPr="00DF6E53" w:rsidRDefault="00B63468"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3410F2">
              <w:t>2</w:t>
            </w:r>
            <w:r w:rsidR="007E752E">
              <w:t>–</w:t>
            </w:r>
            <w:r w:rsidRPr="003410F2">
              <w:t>94</w:t>
            </w:r>
          </w:p>
        </w:tc>
        <w:tc>
          <w:tcPr>
            <w:tcW w:w="1070" w:type="dxa"/>
            <w:vAlign w:val="center"/>
          </w:tcPr>
          <w:p w14:paraId="49A31907" w14:textId="22227976" w:rsidR="00B63468" w:rsidRPr="00DF6E53" w:rsidRDefault="00B63468"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3410F2">
              <w:t>6</w:t>
            </w:r>
            <w:r w:rsidR="007E752E">
              <w:t>–</w:t>
            </w:r>
            <w:r w:rsidRPr="003410F2">
              <w:t>472</w:t>
            </w:r>
          </w:p>
        </w:tc>
        <w:tc>
          <w:tcPr>
            <w:tcW w:w="1071" w:type="dxa"/>
            <w:vAlign w:val="center"/>
          </w:tcPr>
          <w:p w14:paraId="1104061A" w14:textId="2595CE2C" w:rsidR="00B63468" w:rsidRPr="00DF6E53" w:rsidRDefault="00B63468"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3410F2">
              <w:t>1</w:t>
            </w:r>
            <w:r w:rsidR="007E752E">
              <w:t>–</w:t>
            </w:r>
            <w:r w:rsidRPr="003410F2">
              <w:t>16</w:t>
            </w:r>
          </w:p>
        </w:tc>
        <w:tc>
          <w:tcPr>
            <w:tcW w:w="1070" w:type="dxa"/>
            <w:vAlign w:val="center"/>
          </w:tcPr>
          <w:p w14:paraId="626AC93E" w14:textId="14C4C1B7" w:rsidR="00B63468" w:rsidRPr="00DF6E53" w:rsidRDefault="00B63468"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3410F2">
              <w:t>149</w:t>
            </w:r>
            <w:r w:rsidR="007E752E">
              <w:t>–</w:t>
            </w:r>
            <w:r w:rsidRPr="003410F2">
              <w:t>695</w:t>
            </w:r>
          </w:p>
        </w:tc>
        <w:tc>
          <w:tcPr>
            <w:tcW w:w="1070" w:type="dxa"/>
            <w:vAlign w:val="center"/>
          </w:tcPr>
          <w:p w14:paraId="5BFF2BC1" w14:textId="6DE0B76E" w:rsidR="00B63468" w:rsidRPr="00D36740" w:rsidRDefault="00B63468"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3410F2">
              <w:t>0</w:t>
            </w:r>
            <w:r w:rsidR="007E752E">
              <w:t>–</w:t>
            </w:r>
            <w:r w:rsidRPr="003410F2">
              <w:t>5</w:t>
            </w:r>
          </w:p>
        </w:tc>
        <w:tc>
          <w:tcPr>
            <w:tcW w:w="1070" w:type="dxa"/>
            <w:vAlign w:val="center"/>
          </w:tcPr>
          <w:p w14:paraId="35B73966" w14:textId="28275116" w:rsidR="00B63468" w:rsidRPr="00DF6E53" w:rsidRDefault="00B63468"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3410F2">
              <w:t>4</w:t>
            </w:r>
            <w:r w:rsidR="007E752E">
              <w:t>–</w:t>
            </w:r>
            <w:r w:rsidRPr="003410F2">
              <w:t>660</w:t>
            </w:r>
          </w:p>
        </w:tc>
        <w:tc>
          <w:tcPr>
            <w:tcW w:w="1071" w:type="dxa"/>
            <w:vAlign w:val="center"/>
          </w:tcPr>
          <w:p w14:paraId="5121CAC8" w14:textId="0D7E321A" w:rsidR="00B63468" w:rsidRPr="00DF6E53" w:rsidRDefault="00B63468"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3410F2">
              <w:t>0.5</w:t>
            </w:r>
            <w:r w:rsidR="007E752E">
              <w:t>–</w:t>
            </w:r>
            <w:r w:rsidRPr="003410F2">
              <w:t>176</w:t>
            </w:r>
          </w:p>
        </w:tc>
      </w:tr>
      <w:tr w:rsidR="00C57F6A" w:rsidRPr="00D36740" w14:paraId="02ED4DBB" w14:textId="77777777" w:rsidTr="007E752E">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710" w:type="dxa"/>
            <w:vMerge/>
            <w:textDirection w:val="btLr"/>
          </w:tcPr>
          <w:p w14:paraId="692BD4FE" w14:textId="0D247341" w:rsidR="00C57F6A" w:rsidRPr="00DF6E53" w:rsidRDefault="00C57F6A" w:rsidP="00C57F6A">
            <w:pPr>
              <w:pStyle w:val="TableTextRight"/>
              <w:ind w:left="113" w:right="113"/>
              <w:jc w:val="center"/>
              <w:rPr>
                <w:color w:val="FFFFFF" w:themeColor="background1"/>
              </w:rPr>
            </w:pPr>
          </w:p>
        </w:tc>
        <w:tc>
          <w:tcPr>
            <w:tcW w:w="1959" w:type="dxa"/>
            <w:tcBorders>
              <w:top w:val="single" w:sz="8" w:space="0" w:color="FFFFFF" w:themeColor="background1"/>
              <w:bottom w:val="single" w:sz="8" w:space="0" w:color="FFFFFF" w:themeColor="background1"/>
            </w:tcBorders>
            <w:vAlign w:val="center"/>
          </w:tcPr>
          <w:p w14:paraId="79282283" w14:textId="3706D998" w:rsidR="00C57F6A" w:rsidRPr="00DF6E53" w:rsidRDefault="00C57F6A" w:rsidP="00D36740">
            <w:pPr>
              <w:pStyle w:val="TableTextRight"/>
              <w:cnfStyle w:val="000000100000" w:firstRow="0" w:lastRow="0" w:firstColumn="0" w:lastColumn="0" w:oddVBand="0" w:evenVBand="0" w:oddHBand="1" w:evenHBand="0" w:firstRowFirstColumn="0" w:firstRowLastColumn="0" w:lastRowFirstColumn="0" w:lastRowLastColumn="0"/>
              <w:rPr>
                <w:b/>
              </w:rPr>
            </w:pPr>
            <w:r w:rsidRPr="00DF6E53">
              <w:rPr>
                <w:b/>
              </w:rPr>
              <w:t>Bukalara Sandstone</w:t>
            </w:r>
          </w:p>
          <w:p w14:paraId="51970198" w14:textId="56240B24" w:rsidR="00C57F6A" w:rsidRPr="00DF6E53" w:rsidRDefault="00191006" w:rsidP="00DF6E53">
            <w:pPr>
              <w:pStyle w:val="BodyText"/>
              <w:jc w:val="right"/>
              <w:cnfStyle w:val="000000100000" w:firstRow="0" w:lastRow="0" w:firstColumn="0" w:lastColumn="0" w:oddVBand="0" w:evenVBand="0" w:oddHBand="1" w:evenHBand="0" w:firstRowFirstColumn="0" w:firstRowLastColumn="0" w:lastRowFirstColumn="0" w:lastRowLastColumn="0"/>
            </w:pPr>
            <w:r>
              <w:t>(</w:t>
            </w:r>
            <w:r w:rsidR="00C57F6A">
              <w:t>Most r</w:t>
            </w:r>
            <w:r w:rsidR="00C57F6A" w:rsidRPr="00D36740">
              <w:t>ecent</w:t>
            </w:r>
            <w:r>
              <w:t>)</w:t>
            </w:r>
          </w:p>
        </w:tc>
        <w:tc>
          <w:tcPr>
            <w:tcW w:w="1054" w:type="dxa"/>
            <w:vAlign w:val="center"/>
          </w:tcPr>
          <w:p w14:paraId="2924FE96" w14:textId="27C7173C" w:rsidR="00C57F6A" w:rsidRPr="00DF6E53"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t>12</w:t>
            </w:r>
          </w:p>
        </w:tc>
        <w:tc>
          <w:tcPr>
            <w:tcW w:w="1047" w:type="dxa"/>
            <w:vAlign w:val="center"/>
          </w:tcPr>
          <w:p w14:paraId="4F8EFEE3" w14:textId="55AA8E16" w:rsidR="00C57F6A" w:rsidRPr="00D36740" w:rsidRDefault="00C57F6A" w:rsidP="00C57F6A">
            <w:pPr>
              <w:pStyle w:val="TableText"/>
              <w:jc w:val="center"/>
              <w:cnfStyle w:val="000000100000" w:firstRow="0" w:lastRow="0" w:firstColumn="0" w:lastColumn="0" w:oddVBand="0" w:evenVBand="0" w:oddHBand="1" w:evenHBand="0" w:firstRowFirstColumn="0" w:firstRowLastColumn="0" w:lastRowFirstColumn="0" w:lastRowLastColumn="0"/>
            </w:pPr>
            <w:r w:rsidRPr="009E6B22">
              <w:t>73</w:t>
            </w:r>
            <w:r w:rsidR="007E752E">
              <w:t>–</w:t>
            </w:r>
            <w:r w:rsidRPr="009E6B22">
              <w:t>1510 (577)</w:t>
            </w:r>
          </w:p>
        </w:tc>
        <w:tc>
          <w:tcPr>
            <w:tcW w:w="1182" w:type="dxa"/>
            <w:vAlign w:val="center"/>
          </w:tcPr>
          <w:p w14:paraId="0A342CC1" w14:textId="77777777" w:rsidR="00C57F6A" w:rsidRDefault="00C57F6A" w:rsidP="00C57F6A">
            <w:pPr>
              <w:pStyle w:val="TableText"/>
              <w:jc w:val="center"/>
              <w:cnfStyle w:val="000000100000" w:firstRow="0" w:lastRow="0" w:firstColumn="0" w:lastColumn="0" w:oddVBand="0" w:evenVBand="0" w:oddHBand="1" w:evenHBand="0" w:firstRowFirstColumn="0" w:firstRowLastColumn="0" w:lastRowFirstColumn="0" w:lastRowLastColumn="0"/>
            </w:pPr>
            <w:r w:rsidRPr="009E6B22">
              <w:t xml:space="preserve">6.3-7.9 </w:t>
            </w:r>
          </w:p>
          <w:p w14:paraId="7985A586" w14:textId="5BD15EF1" w:rsidR="00C57F6A" w:rsidRPr="00D36740" w:rsidRDefault="00C57F6A" w:rsidP="00C57F6A">
            <w:pPr>
              <w:pStyle w:val="TableText"/>
              <w:jc w:val="center"/>
              <w:cnfStyle w:val="000000100000" w:firstRow="0" w:lastRow="0" w:firstColumn="0" w:lastColumn="0" w:oddVBand="0" w:evenVBand="0" w:oddHBand="1" w:evenHBand="0" w:firstRowFirstColumn="0" w:firstRowLastColumn="0" w:lastRowFirstColumn="0" w:lastRowLastColumn="0"/>
            </w:pPr>
            <w:r w:rsidRPr="009E6B22">
              <w:t>(7.3)</w:t>
            </w:r>
          </w:p>
        </w:tc>
        <w:tc>
          <w:tcPr>
            <w:tcW w:w="1070" w:type="dxa"/>
            <w:vAlign w:val="center"/>
          </w:tcPr>
          <w:p w14:paraId="1684A786" w14:textId="2D275937" w:rsidR="00C57F6A" w:rsidRDefault="00C57F6A" w:rsidP="00C57F6A">
            <w:pPr>
              <w:pStyle w:val="TableText"/>
              <w:jc w:val="center"/>
              <w:cnfStyle w:val="000000100000" w:firstRow="0" w:lastRow="0" w:firstColumn="0" w:lastColumn="0" w:oddVBand="0" w:evenVBand="0" w:oddHBand="1" w:evenHBand="0" w:firstRowFirstColumn="0" w:firstRowLastColumn="0" w:lastRowFirstColumn="0" w:lastRowLastColumn="0"/>
            </w:pPr>
            <w:r w:rsidRPr="009E6B22">
              <w:t>3</w:t>
            </w:r>
            <w:r w:rsidR="007E752E">
              <w:t>–</w:t>
            </w:r>
            <w:r w:rsidRPr="009E6B22">
              <w:t xml:space="preserve">120 </w:t>
            </w:r>
          </w:p>
          <w:p w14:paraId="0E3848DF" w14:textId="419F4772" w:rsidR="00C57F6A" w:rsidRPr="00D36740" w:rsidRDefault="00C57F6A" w:rsidP="00C57F6A">
            <w:pPr>
              <w:pStyle w:val="TableText"/>
              <w:jc w:val="center"/>
              <w:cnfStyle w:val="000000100000" w:firstRow="0" w:lastRow="0" w:firstColumn="0" w:lastColumn="0" w:oddVBand="0" w:evenVBand="0" w:oddHBand="1" w:evenHBand="0" w:firstRowFirstColumn="0" w:firstRowLastColumn="0" w:lastRowFirstColumn="0" w:lastRowLastColumn="0"/>
            </w:pPr>
            <w:r w:rsidRPr="009E6B22">
              <w:t>(54)</w:t>
            </w:r>
          </w:p>
        </w:tc>
        <w:tc>
          <w:tcPr>
            <w:tcW w:w="1070" w:type="dxa"/>
            <w:vAlign w:val="center"/>
          </w:tcPr>
          <w:p w14:paraId="1F3CE1D2" w14:textId="23A29239" w:rsidR="00C57F6A" w:rsidRDefault="00C57F6A" w:rsidP="00C57F6A">
            <w:pPr>
              <w:pStyle w:val="TableText"/>
              <w:jc w:val="center"/>
              <w:cnfStyle w:val="000000100000" w:firstRow="0" w:lastRow="0" w:firstColumn="0" w:lastColumn="0" w:oddVBand="0" w:evenVBand="0" w:oddHBand="1" w:evenHBand="0" w:firstRowFirstColumn="0" w:firstRowLastColumn="0" w:lastRowFirstColumn="0" w:lastRowLastColumn="0"/>
            </w:pPr>
            <w:r w:rsidRPr="009E6B22">
              <w:t>2</w:t>
            </w:r>
            <w:r w:rsidR="007E752E">
              <w:t>–</w:t>
            </w:r>
            <w:r w:rsidRPr="009E6B22">
              <w:t xml:space="preserve">98 </w:t>
            </w:r>
          </w:p>
          <w:p w14:paraId="41B2E655" w14:textId="5C1B529B" w:rsidR="00C57F6A" w:rsidRPr="00D36740" w:rsidRDefault="00C57F6A" w:rsidP="00C57F6A">
            <w:pPr>
              <w:pStyle w:val="TableText"/>
              <w:jc w:val="center"/>
              <w:cnfStyle w:val="000000100000" w:firstRow="0" w:lastRow="0" w:firstColumn="0" w:lastColumn="0" w:oddVBand="0" w:evenVBand="0" w:oddHBand="1" w:evenHBand="0" w:firstRowFirstColumn="0" w:firstRowLastColumn="0" w:lastRowFirstColumn="0" w:lastRowLastColumn="0"/>
            </w:pPr>
            <w:r w:rsidRPr="009E6B22">
              <w:t>(33)</w:t>
            </w:r>
          </w:p>
        </w:tc>
        <w:tc>
          <w:tcPr>
            <w:tcW w:w="1070" w:type="dxa"/>
            <w:vAlign w:val="center"/>
          </w:tcPr>
          <w:p w14:paraId="3462384E" w14:textId="5F61EF4D" w:rsidR="00C57F6A" w:rsidRDefault="00C57F6A" w:rsidP="00C57F6A">
            <w:pPr>
              <w:pStyle w:val="TableText"/>
              <w:jc w:val="center"/>
              <w:cnfStyle w:val="000000100000" w:firstRow="0" w:lastRow="0" w:firstColumn="0" w:lastColumn="0" w:oddVBand="0" w:evenVBand="0" w:oddHBand="1" w:evenHBand="0" w:firstRowFirstColumn="0" w:firstRowLastColumn="0" w:lastRowFirstColumn="0" w:lastRowLastColumn="0"/>
            </w:pPr>
            <w:r w:rsidRPr="009E6B22">
              <w:t>14</w:t>
            </w:r>
            <w:r w:rsidR="007E752E">
              <w:t>–</w:t>
            </w:r>
            <w:r w:rsidRPr="009E6B22">
              <w:t xml:space="preserve">224 </w:t>
            </w:r>
          </w:p>
          <w:p w14:paraId="04E80268" w14:textId="5B7BB882" w:rsidR="00C57F6A" w:rsidRPr="00D36740" w:rsidRDefault="00C57F6A" w:rsidP="00C57F6A">
            <w:pPr>
              <w:pStyle w:val="TableText"/>
              <w:jc w:val="center"/>
              <w:cnfStyle w:val="000000100000" w:firstRow="0" w:lastRow="0" w:firstColumn="0" w:lastColumn="0" w:oddVBand="0" w:evenVBand="0" w:oddHBand="1" w:evenHBand="0" w:firstRowFirstColumn="0" w:firstRowLastColumn="0" w:lastRowFirstColumn="0" w:lastRowLastColumn="0"/>
            </w:pPr>
            <w:r w:rsidRPr="009E6B22">
              <w:t>(84)</w:t>
            </w:r>
          </w:p>
        </w:tc>
        <w:tc>
          <w:tcPr>
            <w:tcW w:w="1071" w:type="dxa"/>
            <w:vAlign w:val="center"/>
          </w:tcPr>
          <w:p w14:paraId="6469A13E" w14:textId="2C822BCF" w:rsidR="00C57F6A" w:rsidRDefault="00C57F6A" w:rsidP="00C57F6A">
            <w:pPr>
              <w:pStyle w:val="TableText"/>
              <w:jc w:val="center"/>
              <w:cnfStyle w:val="000000100000" w:firstRow="0" w:lastRow="0" w:firstColumn="0" w:lastColumn="0" w:oddVBand="0" w:evenVBand="0" w:oddHBand="1" w:evenHBand="0" w:firstRowFirstColumn="0" w:firstRowLastColumn="0" w:lastRowFirstColumn="0" w:lastRowLastColumn="0"/>
            </w:pPr>
            <w:r w:rsidRPr="009E6B22">
              <w:t>3</w:t>
            </w:r>
            <w:r w:rsidR="007E752E">
              <w:t>–</w:t>
            </w:r>
            <w:r w:rsidRPr="009E6B22">
              <w:t xml:space="preserve">36 </w:t>
            </w:r>
          </w:p>
          <w:p w14:paraId="46A645DE" w14:textId="6E4EE9BB" w:rsidR="00C57F6A" w:rsidRPr="00D36740" w:rsidRDefault="00C57F6A" w:rsidP="00C57F6A">
            <w:pPr>
              <w:pStyle w:val="TableText"/>
              <w:jc w:val="center"/>
              <w:cnfStyle w:val="000000100000" w:firstRow="0" w:lastRow="0" w:firstColumn="0" w:lastColumn="0" w:oddVBand="0" w:evenVBand="0" w:oddHBand="1" w:evenHBand="0" w:firstRowFirstColumn="0" w:firstRowLastColumn="0" w:lastRowFirstColumn="0" w:lastRowLastColumn="0"/>
            </w:pPr>
            <w:r w:rsidRPr="009E6B22">
              <w:t>(16)</w:t>
            </w:r>
          </w:p>
        </w:tc>
        <w:tc>
          <w:tcPr>
            <w:tcW w:w="1070" w:type="dxa"/>
            <w:vAlign w:val="center"/>
          </w:tcPr>
          <w:p w14:paraId="0772C45B" w14:textId="769595AA" w:rsidR="00C57F6A" w:rsidRPr="00D36740" w:rsidRDefault="00C57F6A" w:rsidP="00C57F6A">
            <w:pPr>
              <w:pStyle w:val="TableText"/>
              <w:jc w:val="center"/>
              <w:cnfStyle w:val="000000100000" w:firstRow="0" w:lastRow="0" w:firstColumn="0" w:lastColumn="0" w:oddVBand="0" w:evenVBand="0" w:oddHBand="1" w:evenHBand="0" w:firstRowFirstColumn="0" w:firstRowLastColumn="0" w:lastRowFirstColumn="0" w:lastRowLastColumn="0"/>
            </w:pPr>
            <w:r w:rsidRPr="009E6B22">
              <w:t>38</w:t>
            </w:r>
            <w:r w:rsidR="007E752E">
              <w:t>–</w:t>
            </w:r>
            <w:r w:rsidRPr="009E6B22">
              <w:t>447 (238)</w:t>
            </w:r>
          </w:p>
        </w:tc>
        <w:tc>
          <w:tcPr>
            <w:tcW w:w="1070" w:type="dxa"/>
            <w:vAlign w:val="center"/>
          </w:tcPr>
          <w:p w14:paraId="270E8260" w14:textId="57F8D76B" w:rsidR="00C57F6A"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9E6B22">
              <w:t>0</w:t>
            </w:r>
            <w:r w:rsidR="007E752E">
              <w:t>–</w:t>
            </w:r>
            <w:r w:rsidRPr="009E6B22">
              <w:t xml:space="preserve">0 </w:t>
            </w:r>
          </w:p>
          <w:p w14:paraId="312E938E" w14:textId="384E187F" w:rsidR="00C57F6A" w:rsidRPr="00D36740"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9E6B22">
              <w:t>(0)</w:t>
            </w:r>
          </w:p>
        </w:tc>
        <w:tc>
          <w:tcPr>
            <w:tcW w:w="1070" w:type="dxa"/>
            <w:vAlign w:val="center"/>
          </w:tcPr>
          <w:p w14:paraId="299A5A39" w14:textId="6122D30A" w:rsidR="00C57F6A" w:rsidRPr="00D36740" w:rsidRDefault="00C57F6A" w:rsidP="00C57F6A">
            <w:pPr>
              <w:pStyle w:val="TableText"/>
              <w:jc w:val="center"/>
              <w:cnfStyle w:val="000000100000" w:firstRow="0" w:lastRow="0" w:firstColumn="0" w:lastColumn="0" w:oddVBand="0" w:evenVBand="0" w:oddHBand="1" w:evenHBand="0" w:firstRowFirstColumn="0" w:firstRowLastColumn="0" w:lastRowFirstColumn="0" w:lastRowLastColumn="0"/>
            </w:pPr>
            <w:r w:rsidRPr="009E6B22">
              <w:t>10</w:t>
            </w:r>
            <w:r w:rsidR="007E752E">
              <w:t>–</w:t>
            </w:r>
            <w:r w:rsidRPr="009E6B22">
              <w:t>340 (107)</w:t>
            </w:r>
          </w:p>
        </w:tc>
        <w:tc>
          <w:tcPr>
            <w:tcW w:w="1071" w:type="dxa"/>
            <w:vAlign w:val="center"/>
          </w:tcPr>
          <w:p w14:paraId="0506A56F" w14:textId="4150F09A" w:rsidR="00C57F6A" w:rsidRDefault="00C57F6A" w:rsidP="00C57F6A">
            <w:pPr>
              <w:pStyle w:val="TableText"/>
              <w:jc w:val="center"/>
              <w:cnfStyle w:val="000000100000" w:firstRow="0" w:lastRow="0" w:firstColumn="0" w:lastColumn="0" w:oddVBand="0" w:evenVBand="0" w:oddHBand="1" w:evenHBand="0" w:firstRowFirstColumn="0" w:firstRowLastColumn="0" w:lastRowFirstColumn="0" w:lastRowLastColumn="0"/>
            </w:pPr>
            <w:r w:rsidRPr="009E6B22">
              <w:t>8</w:t>
            </w:r>
            <w:r w:rsidR="007E752E">
              <w:t>–</w:t>
            </w:r>
            <w:r w:rsidRPr="009E6B22">
              <w:t xml:space="preserve">665 </w:t>
            </w:r>
          </w:p>
          <w:p w14:paraId="60D26804" w14:textId="73E721C0" w:rsidR="00C57F6A" w:rsidRPr="00D36740" w:rsidRDefault="00C57F6A" w:rsidP="00C57F6A">
            <w:pPr>
              <w:pStyle w:val="TableText"/>
              <w:jc w:val="center"/>
              <w:cnfStyle w:val="000000100000" w:firstRow="0" w:lastRow="0" w:firstColumn="0" w:lastColumn="0" w:oddVBand="0" w:evenVBand="0" w:oddHBand="1" w:evenHBand="0" w:firstRowFirstColumn="0" w:firstRowLastColumn="0" w:lastRowFirstColumn="0" w:lastRowLastColumn="0"/>
            </w:pPr>
            <w:r w:rsidRPr="009E6B22">
              <w:t>(141)</w:t>
            </w:r>
          </w:p>
        </w:tc>
      </w:tr>
      <w:tr w:rsidR="00B63468" w:rsidRPr="00D36740" w14:paraId="16B93362" w14:textId="77777777" w:rsidTr="007E752E">
        <w:trPr>
          <w:cnfStyle w:val="000000010000" w:firstRow="0" w:lastRow="0" w:firstColumn="0" w:lastColumn="0" w:oddVBand="0" w:evenVBand="0" w:oddHBand="0" w:evenHBand="1"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710" w:type="dxa"/>
            <w:vMerge/>
            <w:tcBorders>
              <w:bottom w:val="nil"/>
            </w:tcBorders>
            <w:textDirection w:val="btLr"/>
          </w:tcPr>
          <w:p w14:paraId="58B6350F" w14:textId="77777777" w:rsidR="00B63468" w:rsidRPr="00DF6E53" w:rsidRDefault="00B63468" w:rsidP="00B63468">
            <w:pPr>
              <w:pStyle w:val="TableTextRight"/>
              <w:ind w:left="113" w:right="113"/>
              <w:jc w:val="center"/>
              <w:rPr>
                <w:color w:val="FFFFFF" w:themeColor="background1"/>
              </w:rPr>
            </w:pPr>
          </w:p>
        </w:tc>
        <w:tc>
          <w:tcPr>
            <w:tcW w:w="1959" w:type="dxa"/>
            <w:tcBorders>
              <w:top w:val="single" w:sz="8" w:space="0" w:color="FFFFFF" w:themeColor="background1"/>
              <w:bottom w:val="nil"/>
            </w:tcBorders>
            <w:vAlign w:val="center"/>
          </w:tcPr>
          <w:p w14:paraId="611E732A" w14:textId="27A5C710" w:rsidR="00B63468" w:rsidRPr="00DF6E53" w:rsidRDefault="00B63468" w:rsidP="00D36740">
            <w:pPr>
              <w:pStyle w:val="TableTextRight"/>
              <w:cnfStyle w:val="000000010000" w:firstRow="0" w:lastRow="0" w:firstColumn="0" w:lastColumn="0" w:oddVBand="0" w:evenVBand="0" w:oddHBand="0" w:evenHBand="1" w:firstRowFirstColumn="0" w:firstRowLastColumn="0" w:lastRowFirstColumn="0" w:lastRowLastColumn="0"/>
            </w:pPr>
            <w:r w:rsidRPr="00DF6E53">
              <w:t>All</w:t>
            </w:r>
          </w:p>
        </w:tc>
        <w:tc>
          <w:tcPr>
            <w:tcW w:w="1054" w:type="dxa"/>
            <w:vAlign w:val="center"/>
          </w:tcPr>
          <w:p w14:paraId="6834EF9E" w14:textId="6B4FF5E3" w:rsidR="00B63468" w:rsidRPr="00CF40AD" w:rsidRDefault="00B63468" w:rsidP="00B63468">
            <w:pPr>
              <w:pStyle w:val="TableTextRight"/>
              <w:jc w:val="center"/>
              <w:cnfStyle w:val="000000010000" w:firstRow="0" w:lastRow="0" w:firstColumn="0" w:lastColumn="0" w:oddVBand="0" w:evenVBand="0" w:oddHBand="0" w:evenHBand="1" w:firstRowFirstColumn="0" w:firstRowLastColumn="0" w:lastRowFirstColumn="0" w:lastRowLastColumn="0"/>
            </w:pPr>
            <w:r w:rsidRPr="00CF40AD">
              <w:t>14</w:t>
            </w:r>
          </w:p>
        </w:tc>
        <w:tc>
          <w:tcPr>
            <w:tcW w:w="1047" w:type="dxa"/>
            <w:vAlign w:val="center"/>
          </w:tcPr>
          <w:p w14:paraId="51D966AD" w14:textId="4ED5D748" w:rsidR="00B63468" w:rsidRPr="00DF6E53" w:rsidRDefault="00B63468"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1309F9">
              <w:t>73</w:t>
            </w:r>
            <w:r w:rsidR="007E752E">
              <w:t>–</w:t>
            </w:r>
            <w:r w:rsidRPr="001309F9">
              <w:t>1510</w:t>
            </w:r>
          </w:p>
        </w:tc>
        <w:tc>
          <w:tcPr>
            <w:tcW w:w="1182" w:type="dxa"/>
            <w:vAlign w:val="center"/>
          </w:tcPr>
          <w:p w14:paraId="1C44D25E" w14:textId="03BC3D20" w:rsidR="00B63468" w:rsidRPr="00DF6E53" w:rsidRDefault="00B63468"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1309F9">
              <w:t>6.3-7.9</w:t>
            </w:r>
          </w:p>
        </w:tc>
        <w:tc>
          <w:tcPr>
            <w:tcW w:w="1070" w:type="dxa"/>
            <w:vAlign w:val="center"/>
          </w:tcPr>
          <w:p w14:paraId="1747199F" w14:textId="5DDF7552" w:rsidR="00B63468" w:rsidRPr="00DF6E53" w:rsidRDefault="00B63468"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1309F9">
              <w:t>3</w:t>
            </w:r>
            <w:r w:rsidR="007E752E">
              <w:t>–</w:t>
            </w:r>
            <w:r w:rsidRPr="001309F9">
              <w:t>120</w:t>
            </w:r>
          </w:p>
        </w:tc>
        <w:tc>
          <w:tcPr>
            <w:tcW w:w="1070" w:type="dxa"/>
            <w:vAlign w:val="center"/>
          </w:tcPr>
          <w:p w14:paraId="1DAEA874" w14:textId="5BB459F2" w:rsidR="00B63468" w:rsidRPr="00DF6E53" w:rsidRDefault="00B63468"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1309F9">
              <w:t>2</w:t>
            </w:r>
            <w:r w:rsidR="007E752E">
              <w:t>–</w:t>
            </w:r>
            <w:r w:rsidRPr="001309F9">
              <w:t>98</w:t>
            </w:r>
          </w:p>
        </w:tc>
        <w:tc>
          <w:tcPr>
            <w:tcW w:w="1070" w:type="dxa"/>
            <w:vAlign w:val="center"/>
          </w:tcPr>
          <w:p w14:paraId="50812CC0" w14:textId="60B5B1BA" w:rsidR="00B63468" w:rsidRPr="00DF6E53" w:rsidRDefault="00B63468"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1309F9">
              <w:t>14</w:t>
            </w:r>
            <w:r w:rsidR="007E752E">
              <w:t>–</w:t>
            </w:r>
            <w:r w:rsidRPr="001309F9">
              <w:t>224</w:t>
            </w:r>
          </w:p>
        </w:tc>
        <w:tc>
          <w:tcPr>
            <w:tcW w:w="1071" w:type="dxa"/>
            <w:vAlign w:val="center"/>
          </w:tcPr>
          <w:p w14:paraId="069EADF3" w14:textId="7792051D" w:rsidR="00B63468" w:rsidRPr="00DF6E53" w:rsidRDefault="00B63468"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1309F9">
              <w:t>3</w:t>
            </w:r>
            <w:r w:rsidR="007E752E">
              <w:t>–</w:t>
            </w:r>
            <w:r w:rsidRPr="001309F9">
              <w:t>36</w:t>
            </w:r>
          </w:p>
        </w:tc>
        <w:tc>
          <w:tcPr>
            <w:tcW w:w="1070" w:type="dxa"/>
            <w:vAlign w:val="center"/>
          </w:tcPr>
          <w:p w14:paraId="108401D8" w14:textId="06AE647C" w:rsidR="00B63468" w:rsidRPr="00DF6E53" w:rsidRDefault="00B63468"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1309F9">
              <w:t>38</w:t>
            </w:r>
            <w:r w:rsidR="007E752E">
              <w:t>–</w:t>
            </w:r>
            <w:r w:rsidRPr="001309F9">
              <w:t>447</w:t>
            </w:r>
          </w:p>
        </w:tc>
        <w:tc>
          <w:tcPr>
            <w:tcW w:w="1070" w:type="dxa"/>
            <w:vAlign w:val="center"/>
          </w:tcPr>
          <w:p w14:paraId="74F70DBA" w14:textId="0531EE01" w:rsidR="00B63468" w:rsidRPr="00D36740" w:rsidRDefault="00B63468"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1309F9">
              <w:t>0</w:t>
            </w:r>
            <w:r w:rsidR="007E752E">
              <w:t>–</w:t>
            </w:r>
            <w:r w:rsidRPr="001309F9">
              <w:t>0</w:t>
            </w:r>
          </w:p>
        </w:tc>
        <w:tc>
          <w:tcPr>
            <w:tcW w:w="1070" w:type="dxa"/>
            <w:vAlign w:val="center"/>
          </w:tcPr>
          <w:p w14:paraId="334788A5" w14:textId="07BEFCDD" w:rsidR="00B63468" w:rsidRPr="00DF6E53" w:rsidRDefault="00B63468"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1309F9">
              <w:t>10</w:t>
            </w:r>
            <w:r w:rsidR="007E752E">
              <w:t>–</w:t>
            </w:r>
            <w:r w:rsidRPr="001309F9">
              <w:t>340</w:t>
            </w:r>
          </w:p>
        </w:tc>
        <w:tc>
          <w:tcPr>
            <w:tcW w:w="1071" w:type="dxa"/>
            <w:vAlign w:val="center"/>
          </w:tcPr>
          <w:p w14:paraId="5A51FF3A" w14:textId="1B1A461A" w:rsidR="00B63468" w:rsidRPr="00DF6E53" w:rsidRDefault="00B63468" w:rsidP="00D36740">
            <w:pPr>
              <w:pStyle w:val="TableTextRight"/>
              <w:jc w:val="center"/>
              <w:cnfStyle w:val="000000010000" w:firstRow="0" w:lastRow="0" w:firstColumn="0" w:lastColumn="0" w:oddVBand="0" w:evenVBand="0" w:oddHBand="0" w:evenHBand="1" w:firstRowFirstColumn="0" w:firstRowLastColumn="0" w:lastRowFirstColumn="0" w:lastRowLastColumn="0"/>
            </w:pPr>
            <w:r w:rsidRPr="001309F9">
              <w:t>7</w:t>
            </w:r>
            <w:r w:rsidR="007E752E">
              <w:t>–</w:t>
            </w:r>
            <w:r w:rsidRPr="001309F9">
              <w:t>665</w:t>
            </w:r>
          </w:p>
        </w:tc>
      </w:tr>
      <w:tr w:rsidR="00C57F6A" w:rsidRPr="00D36740" w14:paraId="5E82B85E" w14:textId="77777777" w:rsidTr="007E752E">
        <w:trPr>
          <w:cnfStyle w:val="000000100000" w:firstRow="0" w:lastRow="0" w:firstColumn="0" w:lastColumn="0" w:oddVBand="0" w:evenVBand="0" w:oddHBand="1"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710" w:type="dxa"/>
            <w:vMerge w:val="restart"/>
            <w:tcBorders>
              <w:top w:val="single" w:sz="8" w:space="0" w:color="FFFFFF" w:themeColor="background1"/>
            </w:tcBorders>
            <w:tcMar>
              <w:top w:w="0" w:type="dxa"/>
              <w:bottom w:w="0" w:type="dxa"/>
            </w:tcMar>
            <w:textDirection w:val="btLr"/>
          </w:tcPr>
          <w:p w14:paraId="5EF7EFB4" w14:textId="39B270CB" w:rsidR="00C57F6A" w:rsidRPr="00DF6E53" w:rsidRDefault="00C57F6A" w:rsidP="00C57F6A">
            <w:pPr>
              <w:pStyle w:val="TableTextRight"/>
              <w:ind w:left="113" w:right="113"/>
              <w:jc w:val="center"/>
              <w:rPr>
                <w:color w:val="FFFFFF" w:themeColor="background1"/>
              </w:rPr>
            </w:pPr>
            <w:r w:rsidRPr="00DF6E53">
              <w:rPr>
                <w:color w:val="FFFFFF" w:themeColor="background1"/>
              </w:rPr>
              <w:t>McArthur Basin</w:t>
            </w:r>
          </w:p>
        </w:tc>
        <w:tc>
          <w:tcPr>
            <w:tcW w:w="1959" w:type="dxa"/>
            <w:tcBorders>
              <w:top w:val="single" w:sz="8" w:space="0" w:color="FFFFFF" w:themeColor="background1"/>
              <w:bottom w:val="nil"/>
            </w:tcBorders>
            <w:tcMar>
              <w:top w:w="0" w:type="dxa"/>
              <w:bottom w:w="0" w:type="dxa"/>
            </w:tcMar>
            <w:vAlign w:val="center"/>
          </w:tcPr>
          <w:p w14:paraId="68B3C732" w14:textId="2EC36295" w:rsidR="00C57F6A" w:rsidRPr="00DF6E53" w:rsidRDefault="00C57F6A" w:rsidP="00D36740">
            <w:pPr>
              <w:pStyle w:val="TableTextRight"/>
              <w:cnfStyle w:val="000000100000" w:firstRow="0" w:lastRow="0" w:firstColumn="0" w:lastColumn="0" w:oddVBand="0" w:evenVBand="0" w:oddHBand="1" w:evenHBand="0" w:firstRowFirstColumn="0" w:firstRowLastColumn="0" w:lastRowFirstColumn="0" w:lastRowLastColumn="0"/>
              <w:rPr>
                <w:b/>
              </w:rPr>
            </w:pPr>
            <w:r w:rsidRPr="00DF6E53">
              <w:rPr>
                <w:b/>
              </w:rPr>
              <w:t>Roper G</w:t>
            </w:r>
            <w:r w:rsidR="00E713E9">
              <w:rPr>
                <w:b/>
              </w:rPr>
              <w:t>rou</w:t>
            </w:r>
            <w:r w:rsidRPr="00DF6E53">
              <w:rPr>
                <w:b/>
              </w:rPr>
              <w:t>p</w:t>
            </w:r>
            <w:r>
              <w:rPr>
                <w:b/>
              </w:rPr>
              <w:t>/</w:t>
            </w:r>
            <w:r w:rsidRPr="00D36740">
              <w:rPr>
                <w:b/>
              </w:rPr>
              <w:t>P</w:t>
            </w:r>
            <w:r>
              <w:rPr>
                <w:b/>
              </w:rPr>
              <w:t>roterozoic</w:t>
            </w:r>
            <w:r w:rsidRPr="00DF6E53">
              <w:rPr>
                <w:b/>
              </w:rPr>
              <w:t xml:space="preserve"> </w:t>
            </w:r>
            <w:r w:rsidR="00191006">
              <w:rPr>
                <w:b/>
              </w:rPr>
              <w:t>(</w:t>
            </w:r>
            <w:r w:rsidR="00E2274F">
              <w:t>M</w:t>
            </w:r>
            <w:r w:rsidRPr="00DF6E53">
              <w:t>ost recent</w:t>
            </w:r>
            <w:r w:rsidR="00191006">
              <w:t>)</w:t>
            </w:r>
          </w:p>
        </w:tc>
        <w:tc>
          <w:tcPr>
            <w:tcW w:w="1054" w:type="dxa"/>
            <w:vAlign w:val="center"/>
          </w:tcPr>
          <w:p w14:paraId="53EDBE33" w14:textId="2293D0D8" w:rsidR="00C57F6A" w:rsidRPr="00CF40AD"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CF40AD">
              <w:t>23</w:t>
            </w:r>
          </w:p>
        </w:tc>
        <w:tc>
          <w:tcPr>
            <w:tcW w:w="1047" w:type="dxa"/>
            <w:vAlign w:val="center"/>
          </w:tcPr>
          <w:p w14:paraId="62A6A017" w14:textId="289FE241" w:rsidR="00C57F6A" w:rsidRPr="00DF6E53"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591DB8">
              <w:t>30</w:t>
            </w:r>
            <w:r w:rsidR="007E752E">
              <w:t>–</w:t>
            </w:r>
            <w:r w:rsidRPr="00591DB8">
              <w:t>1410 (339)</w:t>
            </w:r>
          </w:p>
        </w:tc>
        <w:tc>
          <w:tcPr>
            <w:tcW w:w="1182" w:type="dxa"/>
            <w:vAlign w:val="center"/>
          </w:tcPr>
          <w:p w14:paraId="08C7940D" w14:textId="77777777" w:rsidR="00C57F6A"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591DB8">
              <w:t xml:space="preserve">5.5-8.5 </w:t>
            </w:r>
          </w:p>
          <w:p w14:paraId="2D586BF9" w14:textId="421A5F52" w:rsidR="00C57F6A" w:rsidRPr="00DF6E53"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591DB8">
              <w:t>(7.2)</w:t>
            </w:r>
          </w:p>
        </w:tc>
        <w:tc>
          <w:tcPr>
            <w:tcW w:w="1070" w:type="dxa"/>
            <w:vAlign w:val="center"/>
          </w:tcPr>
          <w:p w14:paraId="1A8FEEB6" w14:textId="2C3DEC42" w:rsidR="00C57F6A"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591DB8">
              <w:t>1</w:t>
            </w:r>
            <w:r w:rsidR="007E752E">
              <w:t>–</w:t>
            </w:r>
            <w:r w:rsidRPr="00591DB8">
              <w:t xml:space="preserve">93 </w:t>
            </w:r>
          </w:p>
          <w:p w14:paraId="3432EC3A" w14:textId="5F0D4153" w:rsidR="00C57F6A" w:rsidRPr="00DF6E53"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591DB8">
              <w:t>(36)</w:t>
            </w:r>
          </w:p>
        </w:tc>
        <w:tc>
          <w:tcPr>
            <w:tcW w:w="1070" w:type="dxa"/>
            <w:vAlign w:val="center"/>
          </w:tcPr>
          <w:p w14:paraId="0CE64D96" w14:textId="42F82EAC" w:rsidR="00C57F6A"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591DB8">
              <w:t>1</w:t>
            </w:r>
            <w:r w:rsidR="007E752E">
              <w:t>–</w:t>
            </w:r>
            <w:r w:rsidRPr="00591DB8">
              <w:t xml:space="preserve">100 </w:t>
            </w:r>
          </w:p>
          <w:p w14:paraId="209D2C76" w14:textId="20A8F5B1" w:rsidR="00C57F6A" w:rsidRPr="00DF6E53"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591DB8">
              <w:t>(31)</w:t>
            </w:r>
          </w:p>
        </w:tc>
        <w:tc>
          <w:tcPr>
            <w:tcW w:w="1070" w:type="dxa"/>
            <w:vAlign w:val="center"/>
          </w:tcPr>
          <w:p w14:paraId="49AB1489" w14:textId="03D75609" w:rsidR="00C57F6A"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591DB8">
              <w:t>2</w:t>
            </w:r>
            <w:r w:rsidR="007E752E">
              <w:t>–</w:t>
            </w:r>
            <w:r w:rsidRPr="00591DB8">
              <w:t xml:space="preserve">376 </w:t>
            </w:r>
          </w:p>
          <w:p w14:paraId="48BF77F8" w14:textId="1315E2D1" w:rsidR="00C57F6A" w:rsidRPr="00DF6E53"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591DB8">
              <w:t>(33)</w:t>
            </w:r>
          </w:p>
        </w:tc>
        <w:tc>
          <w:tcPr>
            <w:tcW w:w="1071" w:type="dxa"/>
            <w:vAlign w:val="center"/>
          </w:tcPr>
          <w:p w14:paraId="7FF2B51E" w14:textId="38EE4FDE" w:rsidR="00C57F6A"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591DB8">
              <w:t>1</w:t>
            </w:r>
            <w:r w:rsidR="007E752E">
              <w:t>–</w:t>
            </w:r>
            <w:r w:rsidRPr="00591DB8">
              <w:t xml:space="preserve">32 </w:t>
            </w:r>
          </w:p>
          <w:p w14:paraId="746A3B69" w14:textId="18C95C9D" w:rsidR="00C57F6A" w:rsidRPr="00DF6E53"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591DB8">
              <w:t>(10)</w:t>
            </w:r>
          </w:p>
        </w:tc>
        <w:tc>
          <w:tcPr>
            <w:tcW w:w="1070" w:type="dxa"/>
            <w:vAlign w:val="center"/>
          </w:tcPr>
          <w:p w14:paraId="2A760E93" w14:textId="7DF447FB" w:rsidR="00C57F6A" w:rsidRPr="00DF6E53"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591DB8">
              <w:t>12</w:t>
            </w:r>
            <w:r w:rsidR="007E752E">
              <w:t>–</w:t>
            </w:r>
            <w:r w:rsidRPr="00591DB8">
              <w:t>576 (253)</w:t>
            </w:r>
          </w:p>
        </w:tc>
        <w:tc>
          <w:tcPr>
            <w:tcW w:w="1070" w:type="dxa"/>
            <w:vAlign w:val="center"/>
          </w:tcPr>
          <w:p w14:paraId="73AB3BFF" w14:textId="57B26C6C" w:rsidR="00C57F6A"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591DB8">
              <w:t>0</w:t>
            </w:r>
            <w:r w:rsidR="007E752E">
              <w:t>–</w:t>
            </w:r>
            <w:r w:rsidRPr="00591DB8">
              <w:t xml:space="preserve">0 </w:t>
            </w:r>
          </w:p>
          <w:p w14:paraId="0B266B64" w14:textId="2F553A53" w:rsidR="00C57F6A" w:rsidRPr="00D36740"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591DB8">
              <w:t>(0)</w:t>
            </w:r>
          </w:p>
        </w:tc>
        <w:tc>
          <w:tcPr>
            <w:tcW w:w="1070" w:type="dxa"/>
            <w:vAlign w:val="center"/>
          </w:tcPr>
          <w:p w14:paraId="0E19F8BE" w14:textId="2E9AC211" w:rsidR="00C57F6A" w:rsidRPr="00DF6E53"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591DB8">
              <w:t>2</w:t>
            </w:r>
            <w:r w:rsidR="007E752E">
              <w:t>–</w:t>
            </w:r>
            <w:r w:rsidRPr="00591DB8">
              <w:t>427 (40)</w:t>
            </w:r>
          </w:p>
        </w:tc>
        <w:tc>
          <w:tcPr>
            <w:tcW w:w="1071" w:type="dxa"/>
            <w:vAlign w:val="center"/>
          </w:tcPr>
          <w:p w14:paraId="1568549D" w14:textId="2B2268C2" w:rsidR="00C57F6A" w:rsidRPr="00DF6E53" w:rsidRDefault="00C57F6A" w:rsidP="00C57F6A">
            <w:pPr>
              <w:pStyle w:val="TableTextRight"/>
              <w:jc w:val="center"/>
              <w:cnfStyle w:val="000000100000" w:firstRow="0" w:lastRow="0" w:firstColumn="0" w:lastColumn="0" w:oddVBand="0" w:evenVBand="0" w:oddHBand="1" w:evenHBand="0" w:firstRowFirstColumn="0" w:firstRowLastColumn="0" w:lastRowFirstColumn="0" w:lastRowLastColumn="0"/>
            </w:pPr>
            <w:r w:rsidRPr="00591DB8">
              <w:t>1</w:t>
            </w:r>
            <w:r w:rsidR="007E752E">
              <w:t>–</w:t>
            </w:r>
            <w:r w:rsidRPr="00591DB8">
              <w:t>325 (40)</w:t>
            </w:r>
          </w:p>
        </w:tc>
      </w:tr>
      <w:tr w:rsidR="00B63468" w:rsidRPr="00D36740" w14:paraId="7C33E50C" w14:textId="77777777" w:rsidTr="007E752E">
        <w:trPr>
          <w:cnfStyle w:val="000000010000" w:firstRow="0" w:lastRow="0" w:firstColumn="0" w:lastColumn="0" w:oddVBand="0" w:evenVBand="0" w:oddHBand="0" w:evenHBand="1" w:firstRowFirstColumn="0" w:firstRowLastColumn="0" w:lastRowFirstColumn="0" w:lastRowLastColumn="0"/>
          <w:cantSplit/>
          <w:trHeight w:val="476"/>
        </w:trPr>
        <w:tc>
          <w:tcPr>
            <w:cnfStyle w:val="001000000000" w:firstRow="0" w:lastRow="0" w:firstColumn="1" w:lastColumn="0" w:oddVBand="0" w:evenVBand="0" w:oddHBand="0" w:evenHBand="0" w:firstRowFirstColumn="0" w:firstRowLastColumn="0" w:lastRowFirstColumn="0" w:lastRowLastColumn="0"/>
            <w:tcW w:w="710" w:type="dxa"/>
            <w:vMerge/>
            <w:tcBorders>
              <w:bottom w:val="nil"/>
            </w:tcBorders>
            <w:textDirection w:val="btLr"/>
          </w:tcPr>
          <w:p w14:paraId="64CB9E1A" w14:textId="61DEC182" w:rsidR="00B63468" w:rsidRPr="00DF6E53" w:rsidRDefault="00B63468" w:rsidP="00B63468">
            <w:pPr>
              <w:pStyle w:val="TableTextRight"/>
              <w:ind w:left="113" w:right="113"/>
              <w:jc w:val="center"/>
              <w:rPr>
                <w:color w:val="FFFFFF" w:themeColor="background1"/>
              </w:rPr>
            </w:pPr>
          </w:p>
        </w:tc>
        <w:tc>
          <w:tcPr>
            <w:tcW w:w="1959" w:type="dxa"/>
            <w:tcBorders>
              <w:top w:val="single" w:sz="8" w:space="0" w:color="FFFFFF" w:themeColor="background1"/>
              <w:bottom w:val="nil"/>
            </w:tcBorders>
            <w:vAlign w:val="center"/>
          </w:tcPr>
          <w:p w14:paraId="494824F3" w14:textId="208A754C" w:rsidR="00B63468" w:rsidRPr="00DF6E53" w:rsidRDefault="00B63468" w:rsidP="00D36740">
            <w:pPr>
              <w:pStyle w:val="TableTextRight"/>
              <w:cnfStyle w:val="000000010000" w:firstRow="0" w:lastRow="0" w:firstColumn="0" w:lastColumn="0" w:oddVBand="0" w:evenVBand="0" w:oddHBand="0" w:evenHBand="1" w:firstRowFirstColumn="0" w:firstRowLastColumn="0" w:lastRowFirstColumn="0" w:lastRowLastColumn="0"/>
            </w:pPr>
            <w:r w:rsidRPr="00DF6E53">
              <w:t>All</w:t>
            </w:r>
          </w:p>
        </w:tc>
        <w:tc>
          <w:tcPr>
            <w:tcW w:w="1054" w:type="dxa"/>
            <w:vAlign w:val="center"/>
          </w:tcPr>
          <w:p w14:paraId="6FBE5112" w14:textId="4CC529C2" w:rsidR="00B63468" w:rsidRPr="00DF6E53" w:rsidRDefault="00B63468" w:rsidP="00B63468">
            <w:pPr>
              <w:pStyle w:val="TableTextRight"/>
              <w:jc w:val="center"/>
              <w:cnfStyle w:val="000000010000" w:firstRow="0" w:lastRow="0" w:firstColumn="0" w:lastColumn="0" w:oddVBand="0" w:evenVBand="0" w:oddHBand="0" w:evenHBand="1" w:firstRowFirstColumn="0" w:firstRowLastColumn="0" w:lastRowFirstColumn="0" w:lastRowLastColumn="0"/>
            </w:pPr>
            <w:r>
              <w:t>44</w:t>
            </w:r>
          </w:p>
        </w:tc>
        <w:tc>
          <w:tcPr>
            <w:tcW w:w="1047" w:type="dxa"/>
            <w:vAlign w:val="center"/>
          </w:tcPr>
          <w:p w14:paraId="6FDD00B4" w14:textId="0F6E29CB" w:rsidR="00B63468" w:rsidRPr="00D36740" w:rsidRDefault="00B63468" w:rsidP="00D36740">
            <w:pPr>
              <w:pStyle w:val="TableText"/>
              <w:jc w:val="center"/>
              <w:cnfStyle w:val="000000010000" w:firstRow="0" w:lastRow="0" w:firstColumn="0" w:lastColumn="0" w:oddVBand="0" w:evenVBand="0" w:oddHBand="0" w:evenHBand="1" w:firstRowFirstColumn="0" w:firstRowLastColumn="0" w:lastRowFirstColumn="0" w:lastRowLastColumn="0"/>
            </w:pPr>
            <w:r w:rsidRPr="00FD0A58">
              <w:t>30</w:t>
            </w:r>
            <w:r w:rsidR="007E752E">
              <w:t>–</w:t>
            </w:r>
            <w:r w:rsidRPr="00FD0A58">
              <w:t>1410</w:t>
            </w:r>
          </w:p>
        </w:tc>
        <w:tc>
          <w:tcPr>
            <w:tcW w:w="1182" w:type="dxa"/>
            <w:vAlign w:val="center"/>
          </w:tcPr>
          <w:p w14:paraId="63E21C73" w14:textId="4E19660C" w:rsidR="00B63468" w:rsidRPr="00D36740" w:rsidRDefault="00B63468" w:rsidP="00D36740">
            <w:pPr>
              <w:pStyle w:val="TableText"/>
              <w:jc w:val="center"/>
              <w:cnfStyle w:val="000000010000" w:firstRow="0" w:lastRow="0" w:firstColumn="0" w:lastColumn="0" w:oddVBand="0" w:evenVBand="0" w:oddHBand="0" w:evenHBand="1" w:firstRowFirstColumn="0" w:firstRowLastColumn="0" w:lastRowFirstColumn="0" w:lastRowLastColumn="0"/>
            </w:pPr>
            <w:r w:rsidRPr="00FD0A58">
              <w:t>5.5-9</w:t>
            </w:r>
            <w:r>
              <w:t>.0</w:t>
            </w:r>
          </w:p>
        </w:tc>
        <w:tc>
          <w:tcPr>
            <w:tcW w:w="1070" w:type="dxa"/>
            <w:vAlign w:val="center"/>
          </w:tcPr>
          <w:p w14:paraId="2C8C2EC0" w14:textId="7EE8F7FA" w:rsidR="00B63468" w:rsidRPr="00D36740" w:rsidRDefault="00B63468" w:rsidP="00D36740">
            <w:pPr>
              <w:pStyle w:val="TableText"/>
              <w:jc w:val="center"/>
              <w:cnfStyle w:val="000000010000" w:firstRow="0" w:lastRow="0" w:firstColumn="0" w:lastColumn="0" w:oddVBand="0" w:evenVBand="0" w:oddHBand="0" w:evenHBand="1" w:firstRowFirstColumn="0" w:firstRowLastColumn="0" w:lastRowFirstColumn="0" w:lastRowLastColumn="0"/>
            </w:pPr>
            <w:r w:rsidRPr="00FD0A58">
              <w:t>1</w:t>
            </w:r>
            <w:r w:rsidR="007E752E">
              <w:t>–</w:t>
            </w:r>
            <w:r w:rsidRPr="00FD0A58">
              <w:t>97</w:t>
            </w:r>
          </w:p>
        </w:tc>
        <w:tc>
          <w:tcPr>
            <w:tcW w:w="1070" w:type="dxa"/>
            <w:vAlign w:val="center"/>
          </w:tcPr>
          <w:p w14:paraId="70751870" w14:textId="48876996" w:rsidR="00B63468" w:rsidRPr="00D36740" w:rsidRDefault="00B63468" w:rsidP="00D36740">
            <w:pPr>
              <w:pStyle w:val="TableText"/>
              <w:jc w:val="center"/>
              <w:cnfStyle w:val="000000010000" w:firstRow="0" w:lastRow="0" w:firstColumn="0" w:lastColumn="0" w:oddVBand="0" w:evenVBand="0" w:oddHBand="0" w:evenHBand="1" w:firstRowFirstColumn="0" w:firstRowLastColumn="0" w:lastRowFirstColumn="0" w:lastRowLastColumn="0"/>
            </w:pPr>
            <w:r w:rsidRPr="00FD0A58">
              <w:t>1</w:t>
            </w:r>
            <w:r w:rsidR="007E752E">
              <w:t>–</w:t>
            </w:r>
            <w:r w:rsidRPr="00FD0A58">
              <w:t>100</w:t>
            </w:r>
          </w:p>
        </w:tc>
        <w:tc>
          <w:tcPr>
            <w:tcW w:w="1070" w:type="dxa"/>
            <w:vAlign w:val="center"/>
          </w:tcPr>
          <w:p w14:paraId="07BFF7EC" w14:textId="5A00C98C" w:rsidR="00B63468" w:rsidRPr="00D36740" w:rsidRDefault="00B63468" w:rsidP="00D36740">
            <w:pPr>
              <w:pStyle w:val="TableText"/>
              <w:jc w:val="center"/>
              <w:cnfStyle w:val="000000010000" w:firstRow="0" w:lastRow="0" w:firstColumn="0" w:lastColumn="0" w:oddVBand="0" w:evenVBand="0" w:oddHBand="0" w:evenHBand="1" w:firstRowFirstColumn="0" w:firstRowLastColumn="0" w:lastRowFirstColumn="0" w:lastRowLastColumn="0"/>
            </w:pPr>
            <w:r w:rsidRPr="00FD0A58">
              <w:t>2</w:t>
            </w:r>
            <w:r w:rsidR="007E752E">
              <w:t>–</w:t>
            </w:r>
            <w:r w:rsidRPr="00FD0A58">
              <w:t>376</w:t>
            </w:r>
          </w:p>
        </w:tc>
        <w:tc>
          <w:tcPr>
            <w:tcW w:w="1071" w:type="dxa"/>
            <w:vAlign w:val="center"/>
          </w:tcPr>
          <w:p w14:paraId="37E2913F" w14:textId="0F3E1C2A" w:rsidR="00B63468" w:rsidRPr="00D36740" w:rsidRDefault="00B63468" w:rsidP="00D36740">
            <w:pPr>
              <w:pStyle w:val="TableText"/>
              <w:jc w:val="center"/>
              <w:cnfStyle w:val="000000010000" w:firstRow="0" w:lastRow="0" w:firstColumn="0" w:lastColumn="0" w:oddVBand="0" w:evenVBand="0" w:oddHBand="0" w:evenHBand="1" w:firstRowFirstColumn="0" w:firstRowLastColumn="0" w:lastRowFirstColumn="0" w:lastRowLastColumn="0"/>
            </w:pPr>
            <w:r w:rsidRPr="00FD0A58">
              <w:t>1</w:t>
            </w:r>
            <w:r w:rsidR="007E752E">
              <w:t>–</w:t>
            </w:r>
            <w:r w:rsidRPr="00FD0A58">
              <w:t>32</w:t>
            </w:r>
          </w:p>
        </w:tc>
        <w:tc>
          <w:tcPr>
            <w:tcW w:w="1070" w:type="dxa"/>
            <w:vAlign w:val="center"/>
          </w:tcPr>
          <w:p w14:paraId="125FF816" w14:textId="480CF240" w:rsidR="00B63468" w:rsidRPr="00D36740" w:rsidRDefault="00B63468" w:rsidP="00D36740">
            <w:pPr>
              <w:pStyle w:val="TableText"/>
              <w:jc w:val="center"/>
              <w:cnfStyle w:val="000000010000" w:firstRow="0" w:lastRow="0" w:firstColumn="0" w:lastColumn="0" w:oddVBand="0" w:evenVBand="0" w:oddHBand="0" w:evenHBand="1" w:firstRowFirstColumn="0" w:firstRowLastColumn="0" w:lastRowFirstColumn="0" w:lastRowLastColumn="0"/>
            </w:pPr>
            <w:r w:rsidRPr="00FD0A58">
              <w:t>12</w:t>
            </w:r>
            <w:r w:rsidR="007E752E">
              <w:t>–</w:t>
            </w:r>
            <w:r w:rsidRPr="00FD0A58">
              <w:t>576</w:t>
            </w:r>
          </w:p>
        </w:tc>
        <w:tc>
          <w:tcPr>
            <w:tcW w:w="1070" w:type="dxa"/>
            <w:vAlign w:val="center"/>
          </w:tcPr>
          <w:p w14:paraId="3A8340FF" w14:textId="511CBFBC" w:rsidR="00B63468" w:rsidRPr="00D36740" w:rsidRDefault="00B63468" w:rsidP="00D36740">
            <w:pPr>
              <w:pStyle w:val="TableText"/>
              <w:jc w:val="center"/>
              <w:cnfStyle w:val="000000010000" w:firstRow="0" w:lastRow="0" w:firstColumn="0" w:lastColumn="0" w:oddVBand="0" w:evenVBand="0" w:oddHBand="0" w:evenHBand="1" w:firstRowFirstColumn="0" w:firstRowLastColumn="0" w:lastRowFirstColumn="0" w:lastRowLastColumn="0"/>
            </w:pPr>
            <w:r w:rsidRPr="00FD0A58">
              <w:t>0</w:t>
            </w:r>
            <w:r w:rsidR="007E752E">
              <w:t>–</w:t>
            </w:r>
            <w:r w:rsidRPr="00FD0A58">
              <w:t>28</w:t>
            </w:r>
          </w:p>
        </w:tc>
        <w:tc>
          <w:tcPr>
            <w:tcW w:w="1070" w:type="dxa"/>
            <w:vAlign w:val="center"/>
          </w:tcPr>
          <w:p w14:paraId="218D2D7F" w14:textId="3EE97C44" w:rsidR="00B63468" w:rsidRPr="00D36740" w:rsidRDefault="00B63468" w:rsidP="00D36740">
            <w:pPr>
              <w:pStyle w:val="TableText"/>
              <w:jc w:val="center"/>
              <w:cnfStyle w:val="000000010000" w:firstRow="0" w:lastRow="0" w:firstColumn="0" w:lastColumn="0" w:oddVBand="0" w:evenVBand="0" w:oddHBand="0" w:evenHBand="1" w:firstRowFirstColumn="0" w:firstRowLastColumn="0" w:lastRowFirstColumn="0" w:lastRowLastColumn="0"/>
            </w:pPr>
            <w:r w:rsidRPr="00FD0A58">
              <w:t>2</w:t>
            </w:r>
            <w:r w:rsidR="007E752E">
              <w:t>–</w:t>
            </w:r>
            <w:r w:rsidRPr="00FD0A58">
              <w:t>427</w:t>
            </w:r>
          </w:p>
        </w:tc>
        <w:tc>
          <w:tcPr>
            <w:tcW w:w="1071" w:type="dxa"/>
            <w:vAlign w:val="center"/>
          </w:tcPr>
          <w:p w14:paraId="54D14AEA" w14:textId="768AFCE7" w:rsidR="00B63468" w:rsidRPr="00D36740" w:rsidRDefault="00B63468" w:rsidP="00D36740">
            <w:pPr>
              <w:pStyle w:val="TableText"/>
              <w:jc w:val="center"/>
              <w:cnfStyle w:val="000000010000" w:firstRow="0" w:lastRow="0" w:firstColumn="0" w:lastColumn="0" w:oddVBand="0" w:evenVBand="0" w:oddHBand="0" w:evenHBand="1" w:firstRowFirstColumn="0" w:firstRowLastColumn="0" w:lastRowFirstColumn="0" w:lastRowLastColumn="0"/>
            </w:pPr>
            <w:r w:rsidRPr="00FD0A58">
              <w:t>0.5</w:t>
            </w:r>
            <w:r w:rsidR="007E752E">
              <w:t>–</w:t>
            </w:r>
            <w:r w:rsidRPr="00FD0A58">
              <w:t>325</w:t>
            </w:r>
          </w:p>
        </w:tc>
      </w:tr>
    </w:tbl>
    <w:p w14:paraId="3765050F" w14:textId="62A253CA" w:rsidR="003A5B5A" w:rsidRDefault="00FE54F3" w:rsidP="00E2259E">
      <w:pPr>
        <w:pStyle w:val="BodyText"/>
        <w:sectPr w:rsidR="003A5B5A" w:rsidSect="00DF6E53">
          <w:headerReference w:type="default" r:id="rId90"/>
          <w:footerReference w:type="default" r:id="rId91"/>
          <w:pgSz w:w="16838" w:h="11906" w:orient="landscape" w:code="9"/>
          <w:pgMar w:top="1134" w:right="1247" w:bottom="1134" w:left="1134" w:header="510" w:footer="624" w:gutter="0"/>
          <w:cols w:space="284"/>
          <w:docGrid w:linePitch="360"/>
        </w:sectPr>
      </w:pPr>
      <w:r w:rsidRPr="00FE54F3">
        <w:rPr>
          <w:rStyle w:val="SourceornoteforTableorFigureChar"/>
        </w:rPr>
        <w:t xml:space="preserve">Data: </w:t>
      </w:r>
      <w:r w:rsidRPr="00FE54F3">
        <w:rPr>
          <w:rStyle w:val="SourceornoteforTableorFigureChar"/>
        </w:rPr>
        <w:fldChar w:fldCharType="begin"/>
      </w:r>
      <w:r w:rsidR="008F30E0">
        <w:rPr>
          <w:rStyle w:val="SourceornoteforTableorFigureChar"/>
        </w:rPr>
        <w:instrText xml:space="preserve"> ADDIN EN.CITE &lt;EndNote&gt;&lt;Cite AuthorYear="1"&gt;&lt;Author&gt;Geological and Bioregional Assessment Program&lt;/Author&gt;&lt;Year&gt;2019&lt;/Year&gt;&lt;RecNum&gt;886&lt;/RecNum&gt;&lt;DisplayText&gt;Geological and Bioregional Assessment Program (2019h)&lt;/DisplayText&gt;&lt;record&gt;&lt;rec-number&gt;886&lt;/rec-number&gt;&lt;foreign-keys&gt;&lt;key app="EN" db-id="wdf9tzzdhw2saee559kv0vezt0wfsta0zedv" timestamp="1553830844"&gt;886&lt;/key&gt;&lt;/foreign-keys&gt;&lt;ref-type name="Dataset"&gt;59&lt;/ref-type&gt;&lt;contributors&gt;&lt;authors&gt;&lt;author&gt;Geological and Bioregional Assessment Program,&lt;/author&gt;&lt;/authors&gt;&lt;secondary-authors&gt;&lt;author&gt;Geoscience Australia,&lt;/author&gt;&lt;/secondary-authors&gt;&lt;/contributors&gt;&lt;titles&gt;&lt;title&gt;Groundwater chemistry in the Beetaloo GBA groundwater bore data extraction area&lt;/title&gt;&lt;/titles&gt;&lt;dates&gt;&lt;year&gt;2019&lt;/year&gt;&lt;/dates&gt;&lt;label&gt;A0654187-3282-4DB6-B5A4-668A897D4D79&lt;/label&gt;&lt;urls&gt;&lt;related-urls&gt;&lt;url&gt;https://repo.bioregionalassessments.gov.au/metadata/A0654187-3282-4DB6-B5A4-668A897D4D79&lt;/url&gt;&lt;/related-urls&gt;&lt;/urls&gt;&lt;remote-database-name&gt;Beetaloo_GBA_Hydrochemistry.xlsx&lt;/remote-database-name&gt;&lt;language&gt;English&lt;/language&gt;&lt;access-date&gt;03 April 2019&lt;/access-date&gt;&lt;/record&gt;&lt;/Cite&gt;&lt;/EndNote&gt;</w:instrText>
      </w:r>
      <w:r w:rsidRPr="00FE54F3">
        <w:rPr>
          <w:rStyle w:val="SourceornoteforTableorFigureChar"/>
        </w:rPr>
        <w:fldChar w:fldCharType="separate"/>
      </w:r>
      <w:r w:rsidR="008F30E0">
        <w:rPr>
          <w:rStyle w:val="SourceornoteforTableorFigureChar"/>
          <w:noProof/>
        </w:rPr>
        <w:t>Geological and Bioregional Assessment Program (2019h)</w:t>
      </w:r>
      <w:r w:rsidRPr="00FE54F3">
        <w:rPr>
          <w:rStyle w:val="SourceornoteforTableorFigureChar"/>
        </w:rPr>
        <w:fldChar w:fldCharType="end"/>
      </w:r>
    </w:p>
    <w:p w14:paraId="441764C3" w14:textId="0A564FDC" w:rsidR="00736B3E" w:rsidRDefault="00736B3E" w:rsidP="00C00F6D">
      <w:pPr>
        <w:pStyle w:val="Heading4"/>
      </w:pPr>
      <w:bookmarkStart w:id="722" w:name="_Toc271984"/>
      <w:bookmarkStart w:id="723" w:name="_Ref14787243"/>
      <w:bookmarkStart w:id="724" w:name="_Ref535495438"/>
      <w:bookmarkEnd w:id="717"/>
      <w:bookmarkEnd w:id="718"/>
      <w:r>
        <w:t xml:space="preserve">Hierachical </w:t>
      </w:r>
      <w:r w:rsidR="00D71ECF">
        <w:t>c</w:t>
      </w:r>
      <w:r>
        <w:t xml:space="preserve">luster </w:t>
      </w:r>
      <w:r w:rsidR="00D71ECF">
        <w:t>a</w:t>
      </w:r>
      <w:r>
        <w:t>nalysis</w:t>
      </w:r>
    </w:p>
    <w:p w14:paraId="2D2BFDE1" w14:textId="66DF8420" w:rsidR="00736B3E" w:rsidRDefault="00736B3E" w:rsidP="00736B3E">
      <w:pPr>
        <w:pStyle w:val="BodyText"/>
      </w:pPr>
      <w:r>
        <w:t xml:space="preserve">Hierarchical </w:t>
      </w:r>
      <w:r w:rsidR="00D71ECF">
        <w:t>cl</w:t>
      </w:r>
      <w:r>
        <w:t xml:space="preserve">uster </w:t>
      </w:r>
      <w:r w:rsidR="00D71ECF">
        <w:t>a</w:t>
      </w:r>
      <w:r>
        <w:t>nalysis (HCA) is a method that allows the incorporation of any user-defined combination of chemical and physical constituents including non-numerical parameters and allow</w:t>
      </w:r>
      <w:r w:rsidR="007E2329">
        <w:t>s</w:t>
      </w:r>
      <w:r>
        <w:t xml:space="preserve"> the incorporation of any number of variables </w:t>
      </w:r>
      <w:r>
        <w:fldChar w:fldCharType="begin"/>
      </w:r>
      <w:r w:rsidR="00F76E0D">
        <w:instrText xml:space="preserve"> ADDIN EN.CITE &lt;EndNote&gt;&lt;Cite&gt;&lt;Author&gt;Güler&lt;/Author&gt;&lt;Year&gt;2002&lt;/Year&gt;&lt;RecNum&gt;1357&lt;/RecNum&gt;&lt;DisplayText&gt;(Güler et al., 2002)&lt;/DisplayText&gt;&lt;record&gt;&lt;rec-number&gt;1357&lt;/rec-number&gt;&lt;foreign-keys&gt;&lt;key app="EN" db-id="wdf9tzzdhw2saee559kv0vezt0wfsta0zedv" timestamp="1574637887"&gt;1357&lt;/key&gt;&lt;/foreign-keys&gt;&lt;ref-type name="Journal Article"&gt;17&lt;/ref-type&gt;&lt;contributors&gt;&lt;authors&gt;&lt;author&gt;Güler, C.&lt;/author&gt;&lt;author&gt;Thyne, G. D.&lt;/author&gt;&lt;author&gt;McCray, J. E.&lt;/author&gt;&lt;author&gt;Turner, A. K.&lt;/author&gt;&lt;/authors&gt;&lt;/contributors&gt;&lt;titles&gt;&lt;title&gt;Evaluation of graphical and multivariate statistical methods for classification of water chemistry data&lt;/title&gt;&lt;secondary-title&gt;Hydrogeology Journal&lt;/secondary-title&gt;&lt;/titles&gt;&lt;periodical&gt;&lt;full-title&gt;Hydrogeology Journal&lt;/full-title&gt;&lt;/periodical&gt;&lt;pages&gt;455-474&lt;/pages&gt;&lt;volume&gt;4&lt;/volume&gt;&lt;dates&gt;&lt;year&gt;2002&lt;/year&gt;&lt;/dates&gt;&lt;urls&gt;&lt;/urls&gt;&lt;/record&gt;&lt;/Cite&gt;&lt;/EndNote&gt;</w:instrText>
      </w:r>
      <w:r>
        <w:fldChar w:fldCharType="separate"/>
      </w:r>
      <w:r w:rsidR="0090016F" w:rsidRPr="002DF632">
        <w:rPr>
          <w:noProof/>
        </w:rPr>
        <w:t>(Güler et al., 2002)</w:t>
      </w:r>
      <w:r>
        <w:fldChar w:fldCharType="end"/>
      </w:r>
      <w:r>
        <w:t>. HCA is now routinely used in groundwater hydrochemical studies to understand the physical and chemical processes that control groundwater e</w:t>
      </w:r>
      <w:r w:rsidR="0090016F">
        <w:t xml:space="preserve">volution (e.g. </w:t>
      </w:r>
      <w:r>
        <w:fldChar w:fldCharType="begin"/>
      </w:r>
      <w:r w:rsidR="00F76E0D">
        <w:instrText xml:space="preserve"> ADDIN EN.CITE &lt;EndNote&gt;&lt;Cite AuthorYear="1"&gt;&lt;Author&gt;Güler&lt;/Author&gt;&lt;Year&gt;2002&lt;/Year&gt;&lt;RecNum&gt;1357&lt;/RecNum&gt;&lt;DisplayText&gt;Güler et al. (2002)&lt;/DisplayText&gt;&lt;record&gt;&lt;rec-number&gt;1357&lt;/rec-number&gt;&lt;foreign-keys&gt;&lt;key app="EN" db-id="wdf9tzzdhw2saee559kv0vezt0wfsta0zedv" timestamp="1574637887"&gt;1357&lt;/key&gt;&lt;/foreign-keys&gt;&lt;ref-type name="Journal Article"&gt;17&lt;/ref-type&gt;&lt;contributors&gt;&lt;authors&gt;&lt;author&gt;Güler, C.&lt;/author&gt;&lt;author&gt;Thyne, G. D.&lt;/author&gt;&lt;author&gt;McCray, J. E.&lt;/author&gt;&lt;author&gt;Turner, A. K.&lt;/author&gt;&lt;/authors&gt;&lt;/contributors&gt;&lt;titles&gt;&lt;title&gt;Evaluation of graphical and multivariate statistical methods for classification of water chemistry data&lt;/title&gt;&lt;secondary-title&gt;Hydrogeology Journal&lt;/secondary-title&gt;&lt;/titles&gt;&lt;periodical&gt;&lt;full-title&gt;Hydrogeology Journal&lt;/full-title&gt;&lt;/periodical&gt;&lt;pages&gt;455-474&lt;/pages&gt;&lt;volume&gt;4&lt;/volume&gt;&lt;dates&gt;&lt;year&gt;2002&lt;/year&gt;&lt;/dates&gt;&lt;urls&gt;&lt;/urls&gt;&lt;/record&gt;&lt;/Cite&gt;&lt;/EndNote&gt;</w:instrText>
      </w:r>
      <w:r>
        <w:fldChar w:fldCharType="separate"/>
      </w:r>
      <w:r w:rsidR="00F5233F" w:rsidRPr="002DF632">
        <w:rPr>
          <w:noProof/>
        </w:rPr>
        <w:t>Güler et al. (2002)</w:t>
      </w:r>
      <w:r>
        <w:fldChar w:fldCharType="end"/>
      </w:r>
      <w:r>
        <w:t xml:space="preserve">; </w:t>
      </w:r>
      <w:r>
        <w:fldChar w:fldCharType="begin"/>
      </w:r>
      <w:r w:rsidR="00F76E0D">
        <w:instrText xml:space="preserve"> ADDIN EN.CITE &lt;EndNote&gt;&lt;Cite AuthorYear="1"&gt;&lt;Author&gt;Raiber&lt;/Author&gt;&lt;Year&gt;2012&lt;/Year&gt;&lt;RecNum&gt;1356&lt;/RecNum&gt;&lt;DisplayText&gt;Raiber et al. (2012)&lt;/DisplayText&gt;&lt;record&gt;&lt;rec-number&gt;1356&lt;/rec-number&gt;&lt;foreign-keys&gt;&lt;key app="EN" db-id="wdf9tzzdhw2saee559kv0vezt0wfsta0zedv" timestamp="1574635733"&gt;1356&lt;/key&gt;&lt;/foreign-keys&gt;&lt;ref-type name="Journal Article"&gt;17&lt;/ref-type&gt;&lt;contributors&gt;&lt;authors&gt;&lt;author&gt;Raiber, Matthias&lt;/author&gt;&lt;author&gt;White, Paul A.&lt;/author&gt;&lt;author&gt;Daughney, Christopher J.&lt;/author&gt;&lt;author&gt;Tschritter, Constanze&lt;/author&gt;&lt;author&gt;Davidson, Peter&lt;/author&gt;&lt;author&gt;Bainbridge, Sophie E.&lt;/author&gt;&lt;/authors&gt;&lt;/contributors&gt;&lt;titles&gt;&lt;title&gt;Three-dimensional geological modelling and multivariate statistical analysis of water chemistry data to analyse and visualise aquifer structure and groundwater composition in the Wairau Plain, Marlborough District, New Zealand&lt;/title&gt;&lt;secondary-title&gt;Journal of Hydrology&lt;/secondary-title&gt;&lt;/titles&gt;&lt;periodical&gt;&lt;full-title&gt;Journal of Hydrology&lt;/full-title&gt;&lt;/periodical&gt;&lt;pages&gt;13–34&lt;/pages&gt;&lt;volume&gt;436–437&lt;/volume&gt;&lt;dates&gt;&lt;year&gt;2012&lt;/year&gt;&lt;/dates&gt;&lt;urls&gt;&lt;/urls&gt;&lt;electronic-resource-num&gt;10.1016/j.jhydrol.2012.01.045&lt;/electronic-resource-num&gt;&lt;/record&gt;&lt;/Cite&gt;&lt;/EndNote&gt;</w:instrText>
      </w:r>
      <w:r>
        <w:fldChar w:fldCharType="separate"/>
      </w:r>
      <w:r w:rsidR="004B3FAD" w:rsidRPr="002DF632">
        <w:rPr>
          <w:noProof/>
        </w:rPr>
        <w:t>Raiber et al. (2012)</w:t>
      </w:r>
      <w:r>
        <w:fldChar w:fldCharType="end"/>
      </w:r>
      <w:r w:rsidR="00CF2B39">
        <w:t>)</w:t>
      </w:r>
      <w:r>
        <w:t>. The selection of variables in the present study is generally a trade-off between inclusion of a sufficient number of variables to ensure an accurate representation of groundwater quality and selecting a representative subset of variables that is large enough to capture the spatial variability of groundwater chemistry and the processes that control it. In the hierarchical cluster analysis, nine variables (Ca, Mg, Na, K, HCO3, Cl, SO4, electrical conductivity and pH) were selected for multivariate statistical analysis. Prior to the multivariate statistical analysis, all variables except for pH were log-transformed to ensure that each variable more closely follows a normal distribution. The multivariate statistical technique i</w:t>
      </w:r>
      <w:r w:rsidR="0090016F">
        <w:t xml:space="preserve">s described in more detail by </w:t>
      </w:r>
      <w:r>
        <w:fldChar w:fldCharType="begin"/>
      </w:r>
      <w:r w:rsidR="00F76E0D">
        <w:instrText xml:space="preserve"> ADDIN EN.CITE &lt;EndNote&gt;&lt;Cite AuthorYear="1"&gt;&lt;Author&gt;Raiber&lt;/Author&gt;&lt;Year&gt;2012&lt;/Year&gt;&lt;RecNum&gt;1356&lt;/RecNum&gt;&lt;DisplayText&gt;Raiber et al. (2012)&lt;/DisplayText&gt;&lt;record&gt;&lt;rec-number&gt;1356&lt;/rec-number&gt;&lt;foreign-keys&gt;&lt;key app="EN" db-id="wdf9tzzdhw2saee559kv0vezt0wfsta0zedv" timestamp="1574635733"&gt;1356&lt;/key&gt;&lt;/foreign-keys&gt;&lt;ref-type name="Journal Article"&gt;17&lt;/ref-type&gt;&lt;contributors&gt;&lt;authors&gt;&lt;author&gt;Raiber, Matthias&lt;/author&gt;&lt;author&gt;White, Paul A.&lt;/author&gt;&lt;author&gt;Daughney, Christopher J.&lt;/author&gt;&lt;author&gt;Tschritter, Constanze&lt;/author&gt;&lt;author&gt;Davidson, Peter&lt;/author&gt;&lt;author&gt;Bainbridge, Sophie E.&lt;/author&gt;&lt;/authors&gt;&lt;/contributors&gt;&lt;titles&gt;&lt;title&gt;Three-dimensional geological modelling and multivariate statistical analysis of water chemistry data to analyse and visualise aquifer structure and groundwater composition in the Wairau Plain, Marlborough District, New Zealand&lt;/title&gt;&lt;secondary-title&gt;Journal of Hydrology&lt;/secondary-title&gt;&lt;/titles&gt;&lt;periodical&gt;&lt;full-title&gt;Journal of Hydrology&lt;/full-title&gt;&lt;/periodical&gt;&lt;pages&gt;13–34&lt;/pages&gt;&lt;volume&gt;436–437&lt;/volume&gt;&lt;dates&gt;&lt;year&gt;2012&lt;/year&gt;&lt;/dates&gt;&lt;urls&gt;&lt;/urls&gt;&lt;electronic-resource-num&gt;10.1016/j.jhydrol.2012.01.045&lt;/electronic-resource-num&gt;&lt;/record&gt;&lt;/Cite&gt;&lt;/EndNote&gt;</w:instrText>
      </w:r>
      <w:r>
        <w:fldChar w:fldCharType="separate"/>
      </w:r>
      <w:r w:rsidR="00CF2B39" w:rsidRPr="002DF632">
        <w:rPr>
          <w:noProof/>
        </w:rPr>
        <w:t>Raiber et al. (2012)</w:t>
      </w:r>
      <w:r>
        <w:fldChar w:fldCharType="end"/>
      </w:r>
      <w:r w:rsidR="0090016F">
        <w:t xml:space="preserve"> and </w:t>
      </w:r>
      <w:r>
        <w:fldChar w:fldCharType="begin"/>
      </w:r>
      <w:r w:rsidR="00F76E0D">
        <w:instrText xml:space="preserve"> ADDIN EN.CITE &lt;EndNote&gt;&lt;Cite AuthorYear="1"&gt;&lt;Author&gt;Raiber&lt;/Author&gt;&lt;Year&gt;2016&lt;/Year&gt;&lt;RecNum&gt;1422&lt;/RecNum&gt;&lt;DisplayText&gt;Raiber et al. (2016)&lt;/DisplayText&gt;&lt;record&gt;&lt;rec-number&gt;1422&lt;/rec-number&gt;&lt;foreign-keys&gt;&lt;key app="EN" db-id="wdf9tzzdhw2saee559kv0vezt0wfsta0zedv" timestamp="1582583974"&gt;1422&lt;/key&gt;&lt;/foreign-keys&gt;&lt;ref-type name="Report"&gt;27&lt;/ref-type&gt;&lt;contributors&gt;&lt;authors&gt;&lt;author&gt;Raiber, M.,&lt;/author&gt;&lt;author&gt;Cui, T.,&lt;/author&gt;&lt;author&gt;Pagendam, D.,&lt;/author&gt;&lt;author&gt;Rassam, D.,&lt;/author&gt;&lt;author&gt;Gilfedder, M.,&lt;/author&gt;&lt;author&gt;Crosbie, R.,&lt;/author&gt;&lt;author&gt;Marvanek, S.,&lt;/author&gt;&lt;author&gt;Hartcher, M.&lt;/author&gt;&lt;/authors&gt;&lt;subsidiary-authors&gt;&lt;author&gt;Department of the Environment and Energy&lt;/author&gt;&lt;/subsidiary-authors&gt;&lt;/contributors&gt;&lt;titles&gt;&lt;title&gt;Observations analysis, statistical analysis and interpolation for the Clarence-Moreton bioregion. Product 2.1-2.2 from the Clarence-Moreton Bioregional Assessment. Department of the Environment and Energy, Bureau of Meteorology, CSIRO and Geoscience Australia, Australia.&lt;/title&gt;&lt;/titles&gt;&lt;dates&gt;&lt;year&gt;2016&lt;/year&gt;&lt;/dates&gt;&lt;urls&gt;&lt;related-urls&gt;&lt;url&gt;http://data.bioregionalassessments.gov.au/product/CLM/CLM/2.1-2.2&lt;/url&gt;&lt;/related-urls&gt;&lt;/urls&gt;&lt;access-date&gt;19 May 2019&lt;/access-date&gt;&lt;/record&gt;&lt;/Cite&gt;&lt;/EndNote&gt;</w:instrText>
      </w:r>
      <w:r>
        <w:fldChar w:fldCharType="separate"/>
      </w:r>
      <w:r w:rsidR="00A52B58" w:rsidRPr="002DF632">
        <w:rPr>
          <w:noProof/>
        </w:rPr>
        <w:t>Raiber et al. (2016)</w:t>
      </w:r>
      <w:r>
        <w:fldChar w:fldCharType="end"/>
      </w:r>
      <w:r>
        <w:t>.</w:t>
      </w:r>
    </w:p>
    <w:p w14:paraId="2B984D7C" w14:textId="0DD31751" w:rsidR="6C200C81" w:rsidRPr="00D07762" w:rsidRDefault="6C200C81" w:rsidP="002DF632">
      <w:pPr>
        <w:pStyle w:val="BodyText"/>
      </w:pPr>
      <w:r w:rsidRPr="00D07762">
        <w:t xml:space="preserve">Where sufficient data from the different components of the groundwater and surface water systems are available, hydrochemistry can also be used to determine connectivity between bedrock, alluvia and streams </w:t>
      </w:r>
      <w:r w:rsidRPr="00D07762">
        <w:rPr>
          <w:noProof/>
        </w:rPr>
        <w:t xml:space="preserve">(e.g. </w:t>
      </w:r>
      <w:r w:rsidR="00D07762">
        <w:rPr>
          <w:noProof/>
        </w:rPr>
        <w:fldChar w:fldCharType="begin"/>
      </w:r>
      <w:r w:rsidR="00F76E0D">
        <w:rPr>
          <w:noProof/>
        </w:rPr>
        <w:instrText xml:space="preserve"> ADDIN EN.CITE &lt;EndNote&gt;&lt;Cite AuthorYear="1"&gt;&lt;Author&gt;Cartwright&lt;/Author&gt;&lt;Year&gt;2010&lt;/Year&gt;&lt;RecNum&gt;1073&lt;/RecNum&gt;&lt;DisplayText&gt;Cartwright et al. (2010)&lt;/DisplayText&gt;&lt;record&gt;&lt;rec-number&gt;1073&lt;/rec-number&gt;&lt;foreign-keys&gt;&lt;key app="EN" db-id="wdf9tzzdhw2saee559kv0vezt0wfsta0zedv" timestamp="1561031795"&gt;1073&lt;/key&gt;&lt;/foreign-keys&gt;&lt;ref-type name="Journal Article"&gt;17&lt;/ref-type&gt;&lt;contributors&gt;&lt;authors&gt;&lt;author&gt;Cartwright, Ian&lt;/author&gt;&lt;author&gt;Weaver, T&lt;/author&gt;&lt;author&gt;Cendon, DI&lt;/author&gt;&lt;author&gt;Swane, I&lt;/author&gt;&lt;/authors&gt;&lt;/contributors&gt;&lt;titles&gt;&lt;title&gt;Environmental isotopes as indicators of inter-aquifer mixing, Wimmera region, Murray Basin, Southeast Australia&lt;/title&gt;&lt;secondary-title&gt;Chemical Geology&lt;/secondary-title&gt;&lt;/titles&gt;&lt;periodical&gt;&lt;full-title&gt;Chemical Geology&lt;/full-title&gt;&lt;/periodical&gt;&lt;pages&gt;214–226&lt;/pages&gt;&lt;volume&gt;277&lt;/volume&gt;&lt;number&gt;3–4&lt;/number&gt;&lt;dates&gt;&lt;year&gt;2010&lt;/year&gt;&lt;/dates&gt;&lt;urls&gt;&lt;/urls&gt;&lt;electronic-resource-num&gt;10.1016/j.chemgeo.2010.08.002&lt;/electronic-resource-num&gt;&lt;/record&gt;&lt;/Cite&gt;&lt;/EndNote&gt;</w:instrText>
      </w:r>
      <w:r w:rsidR="00D07762">
        <w:rPr>
          <w:noProof/>
        </w:rPr>
        <w:fldChar w:fldCharType="separate"/>
      </w:r>
      <w:r w:rsidR="00D07762">
        <w:rPr>
          <w:noProof/>
        </w:rPr>
        <w:t>Cartwright et al. (2010)</w:t>
      </w:r>
      <w:r w:rsidR="00D07762">
        <w:rPr>
          <w:noProof/>
        </w:rPr>
        <w:fldChar w:fldCharType="end"/>
      </w:r>
      <w:r w:rsidRPr="00D07762">
        <w:rPr>
          <w:noProof/>
        </w:rPr>
        <w:t xml:space="preserve">; </w:t>
      </w:r>
      <w:r w:rsidR="00D07762">
        <w:rPr>
          <w:noProof/>
        </w:rPr>
        <w:fldChar w:fldCharType="begin"/>
      </w:r>
      <w:r w:rsidR="00F76E0D">
        <w:rPr>
          <w:noProof/>
        </w:rPr>
        <w:instrText xml:space="preserve"> ADDIN EN.CITE &lt;EndNote&gt;&lt;Cite AuthorYear="1"&gt;&lt;Author&gt;King&lt;/Author&gt;&lt;Year&gt;2014&lt;/Year&gt;&lt;RecNum&gt;1074&lt;/RecNum&gt;&lt;DisplayText&gt;King et al. (2014)&lt;/DisplayText&gt;&lt;record&gt;&lt;rec-number&gt;1074&lt;/rec-number&gt;&lt;foreign-keys&gt;&lt;key app="EN" db-id="wdf9tzzdhw2saee559kv0vezt0wfsta0zedv" timestamp="1561031795"&gt;1074&lt;/key&gt;&lt;/foreign-keys&gt;&lt;ref-type name="Journal Article"&gt;17&lt;/ref-type&gt;&lt;contributors&gt;&lt;authors&gt;&lt;author&gt;King, AC&lt;/author&gt;&lt;author&gt;Raiber, M&lt;/author&gt;&lt;author&gt;Cox, ME&lt;/author&gt;&lt;/authors&gt;&lt;/contributors&gt;&lt;titles&gt;&lt;title&gt;Multivariate statistical analysis of hydrochemical data to assess alluvial aquifer–stream connectivity during drought and flood: Cressbrook Creek, southeast Queensland, Australia&lt;/title&gt;&lt;secondary-title&gt;Hydrogeology Journal&lt;/secondary-title&gt;&lt;/titles&gt;&lt;periodical&gt;&lt;full-title&gt;Hydrogeology Journal&lt;/full-title&gt;&lt;/periodical&gt;&lt;pages&gt;481–500&lt;/pages&gt;&lt;volume&gt;22&lt;/volume&gt;&lt;dates&gt;&lt;year&gt;2014&lt;/year&gt;&lt;/dates&gt;&lt;urls&gt;&lt;/urls&gt;&lt;electronic-resource-num&gt;10.1007/s10040-013-1057-1&lt;/electronic-resource-num&gt;&lt;/record&gt;&lt;/Cite&gt;&lt;/EndNote&gt;</w:instrText>
      </w:r>
      <w:r w:rsidR="00D07762">
        <w:rPr>
          <w:noProof/>
        </w:rPr>
        <w:fldChar w:fldCharType="separate"/>
      </w:r>
      <w:r w:rsidR="00D07762">
        <w:rPr>
          <w:noProof/>
        </w:rPr>
        <w:t>King et al. (2014)</w:t>
      </w:r>
      <w:r w:rsidR="00D07762">
        <w:rPr>
          <w:noProof/>
        </w:rPr>
        <w:fldChar w:fldCharType="end"/>
      </w:r>
      <w:r w:rsidRPr="00D07762">
        <w:rPr>
          <w:noProof/>
        </w:rPr>
        <w:t xml:space="preserve">; </w:t>
      </w:r>
      <w:r w:rsidR="00D07762">
        <w:rPr>
          <w:noProof/>
        </w:rPr>
        <w:fldChar w:fldCharType="begin"/>
      </w:r>
      <w:r w:rsidR="00F76E0D">
        <w:rPr>
          <w:noProof/>
        </w:rPr>
        <w:instrText xml:space="preserve"> ADDIN EN.CITE &lt;EndNote&gt;&lt;Cite AuthorYear="1"&gt;&lt;Author&gt;Martinez&lt;/Author&gt;&lt;Year&gt;2017&lt;/Year&gt;&lt;RecNum&gt;1184&lt;/RecNum&gt;&lt;DisplayText&gt;Martinez et al. (2017)&lt;/DisplayText&gt;&lt;record&gt;&lt;rec-number&gt;1184&lt;/rec-number&gt;&lt;foreign-keys&gt;&lt;key app="EN" db-id="wdf9tzzdhw2saee559kv0vezt0wfsta0zedv" timestamp="1563752196"&gt;1184&lt;/key&gt;&lt;/foreign-keys&gt;&lt;ref-type name="Journal Article"&gt;17&lt;/ref-type&gt;&lt;contributors&gt;&lt;authors&gt;&lt;author&gt;Martinez, Jorge L.&lt;/author&gt;&lt;author&gt;Raiber, Matthias&lt;/author&gt;&lt;author&gt;Cendón, Dioni I.&lt;/author&gt;&lt;/authors&gt;&lt;/contributors&gt;&lt;titles&gt;&lt;title&gt;Using 3D geological modelling and geochemical mixing models to characterise alluvial aquifer recharge sources in the upper Condamine River catchment, Queensland, Australia&lt;/title&gt;&lt;secondary-title&gt;Science of The Total Environment&lt;/secondary-title&gt;&lt;/titles&gt;&lt;periodical&gt;&lt;full-title&gt;Science of The Total Environment&lt;/full-title&gt;&lt;/periodical&gt;&lt;pages&gt;1-18&lt;/pages&gt;&lt;volume&gt;574&lt;/volume&gt;&lt;keywords&gt;&lt;keyword&gt;EMMA&lt;/keyword&gt;&lt;keyword&gt;Netpath&lt;/keyword&gt;&lt;keyword&gt;Hydrogeochemistry&lt;/keyword&gt;&lt;keyword&gt;MIX&lt;/keyword&gt;&lt;/keywords&gt;&lt;dates&gt;&lt;year&gt;2017&lt;/year&gt;&lt;pub-dates&gt;&lt;date&gt;1/1/&lt;/date&gt;&lt;/pub-dates&gt;&lt;/dates&gt;&lt;isbn&gt;0048-9697&lt;/isbn&gt;&lt;urls&gt;&lt;related-urls&gt;&lt;url&gt;http://www.sciencedirect.com/science/article/pii/S0048969716319465&lt;/url&gt;&lt;/related-urls&gt;&lt;/urls&gt;&lt;electronic-resource-num&gt;10.1016/j.scitotenv.2016.09.029&lt;/electronic-resource-num&gt;&lt;/record&gt;&lt;/Cite&gt;&lt;/EndNote&gt;</w:instrText>
      </w:r>
      <w:r w:rsidR="00D07762">
        <w:rPr>
          <w:noProof/>
        </w:rPr>
        <w:fldChar w:fldCharType="separate"/>
      </w:r>
      <w:r w:rsidR="00D07762">
        <w:rPr>
          <w:noProof/>
        </w:rPr>
        <w:t>Martinez et al. (2017)</w:t>
      </w:r>
      <w:r w:rsidR="00D07762">
        <w:rPr>
          <w:noProof/>
        </w:rPr>
        <w:fldChar w:fldCharType="end"/>
      </w:r>
      <w:r w:rsidRPr="00D07762">
        <w:rPr>
          <w:noProof/>
        </w:rPr>
        <w:t xml:space="preserve">; </w:t>
      </w:r>
      <w:r w:rsidR="00D07762">
        <w:rPr>
          <w:noProof/>
        </w:rPr>
        <w:fldChar w:fldCharType="begin"/>
      </w:r>
      <w:r w:rsidR="00F76E0D">
        <w:rPr>
          <w:noProof/>
        </w:rPr>
        <w:instrText xml:space="preserve"> ADDIN EN.CITE &lt;EndNote&gt;&lt;Cite AuthorYear="1"&gt;&lt;Author&gt;Raiber&lt;/Author&gt;&lt;Year&gt;2019&lt;/Year&gt;&lt;RecNum&gt;760&lt;/RecNum&gt;&lt;DisplayText&gt;Raiber et al. (2019)&lt;/DisplayText&gt;&lt;record&gt;&lt;rec-number&gt;760&lt;/rec-number&gt;&lt;foreign-keys&gt;&lt;key app="EN" db-id="wdf9tzzdhw2saee559kv0vezt0wfsta0zedv" timestamp="1551312233"&gt;760&lt;/key&gt;&lt;/foreign-keys&gt;&lt;ref-type name="Journal Article"&gt;17&lt;/ref-type&gt;&lt;contributors&gt;&lt;authors&gt;&lt;author&gt;Raiber, M&lt;/author&gt;&lt;author&gt;Lewis, S&lt;/author&gt;&lt;author&gt;Cendón, DI&lt;/author&gt;&lt;author&gt;Cui, T&lt;/author&gt;&lt;author&gt;Cox. ME&lt;/author&gt;&lt;author&gt;Gilfedder, M&lt;/author&gt;&lt;author&gt;Rassam, DW&lt;/author&gt;&lt;/authors&gt;&lt;/contributors&gt;&lt;titles&gt;&lt;title&gt;Significance of the connection between bedrock, alluvium and streams: a spatial and temporal hydrogeological and hydrogeochemical assessment from Queensland, Australia.&lt;/title&gt;&lt;secondary-title&gt;Journal of Hydrology&lt;/secondary-title&gt;&lt;/titles&gt;&lt;periodical&gt;&lt;full-title&gt;Journal of Hydrology&lt;/full-title&gt;&lt;/periodical&gt;&lt;pages&gt;666–684&lt;/pages&gt;&lt;volume&gt;569&lt;/volume&gt;&lt;dates&gt;&lt;year&gt;2019&lt;/year&gt;&lt;/dates&gt;&lt;urls&gt;&lt;/urls&gt;&lt;electronic-resource-num&gt;10.1016/j.jhydrol.2018.12.020.&lt;/electronic-resource-num&gt;&lt;/record&gt;&lt;/Cite&gt;&lt;/EndNote&gt;</w:instrText>
      </w:r>
      <w:r w:rsidR="00D07762">
        <w:rPr>
          <w:noProof/>
        </w:rPr>
        <w:fldChar w:fldCharType="separate"/>
      </w:r>
      <w:r w:rsidR="00D07762">
        <w:rPr>
          <w:noProof/>
        </w:rPr>
        <w:t>Raiber et al. (2019)</w:t>
      </w:r>
      <w:r w:rsidR="00D07762">
        <w:rPr>
          <w:noProof/>
        </w:rPr>
        <w:fldChar w:fldCharType="end"/>
      </w:r>
      <w:r w:rsidRPr="00D07762">
        <w:rPr>
          <w:noProof/>
        </w:rPr>
        <w:t>)</w:t>
      </w:r>
      <w:r w:rsidRPr="00D07762">
        <w:t>. Hydrochemistry, in combination with dissolved methane concentrations, can also provide additional insight to potential migration pathways.</w:t>
      </w:r>
    </w:p>
    <w:p w14:paraId="7DB1AFB7" w14:textId="23BB1E49" w:rsidR="00572EF6" w:rsidRDefault="00572EF6" w:rsidP="00572EF6">
      <w:pPr>
        <w:pStyle w:val="BodyText"/>
      </w:pPr>
      <w:r>
        <w:t xml:space="preserve">The multivariate statistical analysis of groundwater and surface water chemistry data </w:t>
      </w:r>
      <w:r w:rsidR="005A6E56">
        <w:t>(</w:t>
      </w:r>
      <w:r w:rsidR="005A6E56">
        <w:fldChar w:fldCharType="begin"/>
      </w:r>
      <w:r w:rsidR="005A6E56">
        <w:instrText xml:space="preserve"> REF _Ref34248398 \h </w:instrText>
      </w:r>
      <w:r w:rsidR="005A6E56">
        <w:fldChar w:fldCharType="separate"/>
      </w:r>
      <w:r w:rsidR="00B177F5">
        <w:t xml:space="preserve">Figure </w:t>
      </w:r>
      <w:r w:rsidR="00B177F5">
        <w:rPr>
          <w:rFonts w:asciiTheme="minorHAnsi" w:hAnsiTheme="minorHAnsi" w:cstheme="minorBidi"/>
          <w:noProof/>
        </w:rPr>
        <w:t>32</w:t>
      </w:r>
      <w:r w:rsidR="005A6E56">
        <w:fldChar w:fldCharType="end"/>
      </w:r>
      <w:r w:rsidR="005A6E56">
        <w:t xml:space="preserve"> and </w:t>
      </w:r>
      <w:r w:rsidR="005A6E56">
        <w:fldChar w:fldCharType="begin"/>
      </w:r>
      <w:r w:rsidR="005A6E56">
        <w:instrText xml:space="preserve"> REF _Ref34249179 \h </w:instrText>
      </w:r>
      <w:r w:rsidR="005A6E56">
        <w:fldChar w:fldCharType="separate"/>
      </w:r>
      <w:r w:rsidR="00B177F5">
        <w:t xml:space="preserve">Table </w:t>
      </w:r>
      <w:r w:rsidR="00B177F5">
        <w:rPr>
          <w:noProof/>
        </w:rPr>
        <w:t>7</w:t>
      </w:r>
      <w:r w:rsidR="005A6E56">
        <w:fldChar w:fldCharType="end"/>
      </w:r>
      <w:r w:rsidR="005A6E56">
        <w:t xml:space="preserve">) </w:t>
      </w:r>
      <w:r>
        <w:t xml:space="preserve">shows that there are multiple hydrochemistry clusters with distinct median values for different parameters. For example, the hydrochemical assessment of 857 groundwater bores and 21 surface water samples suggests there are five distinct clusters with median electrical </w:t>
      </w:r>
      <w:r w:rsidRPr="008D7D6F">
        <w:t>conductivity (EC) values ranging between 118 and 1860 µS/cm and with distinct ionic ratios (</w:t>
      </w:r>
      <w:r w:rsidR="005A6E56">
        <w:fldChar w:fldCharType="begin"/>
      </w:r>
      <w:r w:rsidR="005A6E56">
        <w:instrText xml:space="preserve"> REF _Ref34249179 \h </w:instrText>
      </w:r>
      <w:r w:rsidR="005A6E56">
        <w:fldChar w:fldCharType="separate"/>
      </w:r>
      <w:r w:rsidR="00B177F5">
        <w:t xml:space="preserve">Table </w:t>
      </w:r>
      <w:r w:rsidR="00B177F5">
        <w:rPr>
          <w:noProof/>
        </w:rPr>
        <w:t>7</w:t>
      </w:r>
      <w:r w:rsidR="005A6E56">
        <w:fldChar w:fldCharType="end"/>
      </w:r>
      <w:r w:rsidRPr="008D7D6F">
        <w:t>and</w:t>
      </w:r>
      <w:r w:rsidR="005A6E56">
        <w:t xml:space="preserve"> </w:t>
      </w:r>
      <w:r w:rsidR="005A6E56">
        <w:fldChar w:fldCharType="begin"/>
      </w:r>
      <w:r w:rsidR="005A6E56">
        <w:instrText xml:space="preserve"> REF _Ref34248398 \h </w:instrText>
      </w:r>
      <w:r w:rsidR="005A6E56">
        <w:fldChar w:fldCharType="separate"/>
      </w:r>
      <w:r w:rsidR="00B177F5">
        <w:t xml:space="preserve">Figure </w:t>
      </w:r>
      <w:r w:rsidR="00B177F5">
        <w:rPr>
          <w:rFonts w:asciiTheme="minorHAnsi" w:hAnsiTheme="minorHAnsi" w:cstheme="minorBidi"/>
          <w:noProof/>
        </w:rPr>
        <w:t>32</w:t>
      </w:r>
      <w:r w:rsidR="005A6E56">
        <w:fldChar w:fldCharType="end"/>
      </w:r>
      <w:r>
        <w:t>).</w:t>
      </w:r>
    </w:p>
    <w:p w14:paraId="24AEEAEE" w14:textId="469C9EFE" w:rsidR="00572EF6" w:rsidRDefault="00572EF6" w:rsidP="00572EF6">
      <w:pPr>
        <w:pStyle w:val="Caption"/>
      </w:pPr>
      <w:bookmarkStart w:id="725" w:name="_Ref34249179"/>
      <w:bookmarkStart w:id="726" w:name="_Toc38990507"/>
      <w:r>
        <w:t xml:space="preserve">Table </w:t>
      </w:r>
      <w:r>
        <w:rPr>
          <w:noProof/>
        </w:rPr>
        <w:fldChar w:fldCharType="begin"/>
      </w:r>
      <w:r>
        <w:rPr>
          <w:noProof/>
        </w:rPr>
        <w:instrText xml:space="preserve"> SEQ Table \* ARABIC </w:instrText>
      </w:r>
      <w:r>
        <w:rPr>
          <w:noProof/>
        </w:rPr>
        <w:fldChar w:fldCharType="separate"/>
      </w:r>
      <w:r w:rsidR="00B177F5">
        <w:rPr>
          <w:noProof/>
        </w:rPr>
        <w:t>7</w:t>
      </w:r>
      <w:r>
        <w:rPr>
          <w:noProof/>
        </w:rPr>
        <w:fldChar w:fldCharType="end"/>
      </w:r>
      <w:bookmarkEnd w:id="725"/>
      <w:r>
        <w:t xml:space="preserve"> Median values of the variables considered in the </w:t>
      </w:r>
      <w:r w:rsidR="00D71ECF">
        <w:t xml:space="preserve">hierarchical </w:t>
      </w:r>
      <w:r>
        <w:t>cluster analysis for each sample group</w:t>
      </w:r>
      <w:bookmarkEnd w:id="726"/>
    </w:p>
    <w:tbl>
      <w:tblPr>
        <w:tblStyle w:val="TableBAHeaderRow"/>
        <w:tblW w:w="9299" w:type="dxa"/>
        <w:tblLook w:val="04A0" w:firstRow="1" w:lastRow="0" w:firstColumn="1" w:lastColumn="0" w:noHBand="0" w:noVBand="1"/>
      </w:tblPr>
      <w:tblGrid>
        <w:gridCol w:w="880"/>
        <w:gridCol w:w="986"/>
        <w:gridCol w:w="985"/>
        <w:gridCol w:w="616"/>
        <w:gridCol w:w="843"/>
        <w:gridCol w:w="843"/>
        <w:gridCol w:w="843"/>
        <w:gridCol w:w="857"/>
        <w:gridCol w:w="847"/>
        <w:gridCol w:w="843"/>
        <w:gridCol w:w="756"/>
      </w:tblGrid>
      <w:tr w:rsidR="00572EF6" w14:paraId="2269A595" w14:textId="77777777" w:rsidTr="00D71ECF">
        <w:trPr>
          <w:cnfStyle w:val="100000000000" w:firstRow="1" w:lastRow="0" w:firstColumn="0" w:lastColumn="0" w:oddVBand="0" w:evenVBand="0" w:oddHBand="0" w:evenHBand="0" w:firstRowFirstColumn="0" w:firstRowLastColumn="0" w:lastRowFirstColumn="0" w:lastRowLastColumn="0"/>
          <w:trHeight w:val="568"/>
        </w:trPr>
        <w:tc>
          <w:tcPr>
            <w:tcW w:w="880" w:type="dxa"/>
            <w:tcBorders>
              <w:top w:val="nil"/>
              <w:left w:val="nil"/>
              <w:bottom w:val="single" w:sz="8" w:space="0" w:color="FFFFFF" w:themeColor="background1"/>
              <w:right w:val="single" w:sz="8" w:space="0" w:color="FFFFFF" w:themeColor="background1"/>
            </w:tcBorders>
            <w:hideMark/>
          </w:tcPr>
          <w:p w14:paraId="65777238" w14:textId="77777777" w:rsidR="00572EF6" w:rsidRDefault="00572EF6" w:rsidP="00D71ECF">
            <w:pPr>
              <w:pStyle w:val="TableText"/>
            </w:pPr>
            <w:r w:rsidRPr="00D71ECF">
              <w:t>Cluster</w:t>
            </w:r>
          </w:p>
        </w:tc>
        <w:tc>
          <w:tcPr>
            <w:tcW w:w="986" w:type="dxa"/>
            <w:tcBorders>
              <w:top w:val="nil"/>
              <w:left w:val="single" w:sz="8" w:space="0" w:color="FFFFFF" w:themeColor="background1"/>
              <w:bottom w:val="single" w:sz="8" w:space="0" w:color="FFFFFF" w:themeColor="background1"/>
              <w:right w:val="single" w:sz="8" w:space="0" w:color="FFFFFF" w:themeColor="background1"/>
            </w:tcBorders>
          </w:tcPr>
          <w:p w14:paraId="3265AC4E" w14:textId="77777777" w:rsidR="00572EF6" w:rsidRDefault="00572EF6" w:rsidP="00D71ECF">
            <w:pPr>
              <w:pStyle w:val="TableTextCentred"/>
            </w:pPr>
            <w:r>
              <w:t>Number of cases</w:t>
            </w:r>
          </w:p>
        </w:tc>
        <w:tc>
          <w:tcPr>
            <w:tcW w:w="985" w:type="dxa"/>
            <w:tcBorders>
              <w:top w:val="nil"/>
              <w:left w:val="single" w:sz="8" w:space="0" w:color="FFFFFF" w:themeColor="background1"/>
              <w:bottom w:val="single" w:sz="8" w:space="0" w:color="FFFFFF" w:themeColor="background1"/>
              <w:right w:val="single" w:sz="8" w:space="0" w:color="FFFFFF" w:themeColor="background1"/>
            </w:tcBorders>
            <w:hideMark/>
          </w:tcPr>
          <w:p w14:paraId="018FFDA3" w14:textId="77777777" w:rsidR="00572EF6" w:rsidRDefault="00572EF6" w:rsidP="00D71ECF">
            <w:pPr>
              <w:pStyle w:val="TableTextCentred"/>
            </w:pPr>
            <w:r>
              <w:t>EC (µS/cm)</w:t>
            </w:r>
          </w:p>
        </w:tc>
        <w:tc>
          <w:tcPr>
            <w:tcW w:w="616" w:type="dxa"/>
            <w:tcBorders>
              <w:top w:val="nil"/>
              <w:left w:val="single" w:sz="8" w:space="0" w:color="FFFFFF" w:themeColor="background1"/>
              <w:bottom w:val="single" w:sz="8" w:space="0" w:color="FFFFFF" w:themeColor="background1"/>
              <w:right w:val="single" w:sz="8" w:space="0" w:color="FFFFFF" w:themeColor="background1"/>
            </w:tcBorders>
            <w:noWrap/>
            <w:hideMark/>
          </w:tcPr>
          <w:p w14:paraId="0C020CC4" w14:textId="77777777" w:rsidR="00572EF6" w:rsidRDefault="00572EF6" w:rsidP="00D71ECF">
            <w:pPr>
              <w:pStyle w:val="TableTextCentred"/>
            </w:pPr>
            <w:r>
              <w:t>pH</w:t>
            </w:r>
          </w:p>
        </w:tc>
        <w:tc>
          <w:tcPr>
            <w:tcW w:w="843" w:type="dxa"/>
            <w:tcBorders>
              <w:top w:val="nil"/>
              <w:left w:val="single" w:sz="8" w:space="0" w:color="FFFFFF" w:themeColor="background1"/>
              <w:bottom w:val="single" w:sz="8" w:space="0" w:color="FFFFFF" w:themeColor="background1"/>
              <w:right w:val="single" w:sz="8" w:space="0" w:color="FFFFFF" w:themeColor="background1"/>
            </w:tcBorders>
          </w:tcPr>
          <w:p w14:paraId="45B077AC" w14:textId="77777777" w:rsidR="00572EF6" w:rsidRDefault="00572EF6" w:rsidP="00D71ECF">
            <w:pPr>
              <w:pStyle w:val="TableTextCentred"/>
            </w:pPr>
            <w:r>
              <w:t>Mg (mg/L)</w:t>
            </w:r>
          </w:p>
        </w:tc>
        <w:tc>
          <w:tcPr>
            <w:tcW w:w="843" w:type="dxa"/>
            <w:tcBorders>
              <w:top w:val="nil"/>
              <w:left w:val="single" w:sz="8" w:space="0" w:color="FFFFFF" w:themeColor="background1"/>
              <w:bottom w:val="single" w:sz="8" w:space="0" w:color="FFFFFF" w:themeColor="background1"/>
              <w:right w:val="single" w:sz="8" w:space="0" w:color="FFFFFF" w:themeColor="background1"/>
            </w:tcBorders>
          </w:tcPr>
          <w:p w14:paraId="1DEBD6DE" w14:textId="77777777" w:rsidR="00572EF6" w:rsidRDefault="00572EF6" w:rsidP="00D71ECF">
            <w:pPr>
              <w:pStyle w:val="TableTextCentred"/>
            </w:pPr>
            <w:r>
              <w:t>Na (mg/L)</w:t>
            </w:r>
          </w:p>
        </w:tc>
        <w:tc>
          <w:tcPr>
            <w:tcW w:w="843" w:type="dxa"/>
            <w:tcBorders>
              <w:top w:val="nil"/>
              <w:left w:val="single" w:sz="8" w:space="0" w:color="FFFFFF" w:themeColor="background1"/>
              <w:bottom w:val="single" w:sz="8" w:space="0" w:color="FFFFFF" w:themeColor="background1"/>
              <w:right w:val="single" w:sz="8" w:space="0" w:color="FFFFFF" w:themeColor="background1"/>
            </w:tcBorders>
          </w:tcPr>
          <w:p w14:paraId="7B9EC87A" w14:textId="226E039F" w:rsidR="00572EF6" w:rsidRDefault="00572EF6" w:rsidP="00D71ECF">
            <w:pPr>
              <w:pStyle w:val="TableTextCentred"/>
            </w:pPr>
            <w:r>
              <w:t xml:space="preserve">K </w:t>
            </w:r>
            <w:r w:rsidR="00E45BB5">
              <w:br/>
            </w:r>
            <w:r>
              <w:t>(mg/L)</w:t>
            </w:r>
          </w:p>
        </w:tc>
        <w:tc>
          <w:tcPr>
            <w:tcW w:w="857" w:type="dxa"/>
            <w:tcBorders>
              <w:top w:val="nil"/>
              <w:left w:val="single" w:sz="8" w:space="0" w:color="FFFFFF" w:themeColor="background1"/>
              <w:bottom w:val="single" w:sz="8" w:space="0" w:color="FFFFFF" w:themeColor="background1"/>
              <w:right w:val="single" w:sz="8" w:space="0" w:color="FFFFFF" w:themeColor="background1"/>
            </w:tcBorders>
            <w:noWrap/>
            <w:hideMark/>
          </w:tcPr>
          <w:p w14:paraId="157DFB9D" w14:textId="77777777" w:rsidR="00572EF6" w:rsidRDefault="00572EF6" w:rsidP="00D71ECF">
            <w:pPr>
              <w:pStyle w:val="TableTextCentred"/>
            </w:pPr>
            <w:r>
              <w:t>Ca (mg/L)</w:t>
            </w:r>
          </w:p>
        </w:tc>
        <w:tc>
          <w:tcPr>
            <w:tcW w:w="847" w:type="dxa"/>
            <w:tcBorders>
              <w:top w:val="nil"/>
              <w:left w:val="single" w:sz="8" w:space="0" w:color="FFFFFF" w:themeColor="background1"/>
              <w:bottom w:val="single" w:sz="8" w:space="0" w:color="FFFFFF" w:themeColor="background1"/>
              <w:right w:val="single" w:sz="8" w:space="0" w:color="FFFFFF" w:themeColor="background1"/>
            </w:tcBorders>
            <w:hideMark/>
          </w:tcPr>
          <w:p w14:paraId="1D2A834A" w14:textId="77777777" w:rsidR="00572EF6" w:rsidRDefault="00572EF6" w:rsidP="00D71ECF">
            <w:pPr>
              <w:pStyle w:val="TableTextCentred"/>
            </w:pPr>
            <w:r>
              <w:t>Cl (mg/L)</w:t>
            </w:r>
          </w:p>
        </w:tc>
        <w:tc>
          <w:tcPr>
            <w:tcW w:w="843" w:type="dxa"/>
            <w:tcBorders>
              <w:top w:val="nil"/>
              <w:left w:val="single" w:sz="8" w:space="0" w:color="FFFFFF" w:themeColor="background1"/>
              <w:bottom w:val="single" w:sz="8" w:space="0" w:color="FFFFFF" w:themeColor="background1"/>
              <w:right w:val="single" w:sz="8" w:space="0" w:color="FFFFFF" w:themeColor="background1"/>
            </w:tcBorders>
            <w:hideMark/>
          </w:tcPr>
          <w:p w14:paraId="02FB6BC7" w14:textId="77777777" w:rsidR="00572EF6" w:rsidRDefault="00572EF6" w:rsidP="00D71ECF">
            <w:pPr>
              <w:pStyle w:val="TableTextCentred"/>
            </w:pPr>
            <w:r>
              <w:t>SO</w:t>
            </w:r>
            <w:r w:rsidRPr="00D71ECF">
              <w:rPr>
                <w:vertAlign w:val="subscript"/>
              </w:rPr>
              <w:t>4</w:t>
            </w:r>
          </w:p>
          <w:p w14:paraId="0262661F" w14:textId="77777777" w:rsidR="00572EF6" w:rsidRDefault="00572EF6" w:rsidP="00D71ECF">
            <w:pPr>
              <w:pStyle w:val="TableTextCentred"/>
            </w:pPr>
            <w:r>
              <w:t>(mg/L)</w:t>
            </w:r>
          </w:p>
        </w:tc>
        <w:tc>
          <w:tcPr>
            <w:tcW w:w="756" w:type="dxa"/>
            <w:tcBorders>
              <w:top w:val="nil"/>
              <w:left w:val="single" w:sz="8" w:space="0" w:color="FFFFFF" w:themeColor="background1"/>
              <w:bottom w:val="single" w:sz="8" w:space="0" w:color="FFFFFF" w:themeColor="background1"/>
              <w:right w:val="nil"/>
            </w:tcBorders>
            <w:hideMark/>
          </w:tcPr>
          <w:p w14:paraId="13F468EA" w14:textId="77777777" w:rsidR="00572EF6" w:rsidRPr="00D97D44" w:rsidRDefault="00572EF6" w:rsidP="00D71ECF">
            <w:pPr>
              <w:pStyle w:val="TableTextCentred"/>
            </w:pPr>
            <w:r>
              <w:t>HCO</w:t>
            </w:r>
            <w:r w:rsidRPr="00D71ECF">
              <w:rPr>
                <w:vertAlign w:val="subscript"/>
              </w:rPr>
              <w:t>3</w:t>
            </w:r>
            <w:r>
              <w:t xml:space="preserve"> (mg/L)</w:t>
            </w:r>
          </w:p>
        </w:tc>
      </w:tr>
      <w:tr w:rsidR="00572EF6" w:rsidRPr="006F4997" w14:paraId="1E9FB752" w14:textId="77777777" w:rsidTr="00572EF6">
        <w:trPr>
          <w:cnfStyle w:val="000000100000" w:firstRow="0" w:lastRow="0" w:firstColumn="0" w:lastColumn="0" w:oddVBand="0" w:evenVBand="0" w:oddHBand="1" w:evenHBand="0" w:firstRowFirstColumn="0" w:firstRowLastColumn="0" w:lastRowFirstColumn="0" w:lastRowLastColumn="0"/>
          <w:trHeight w:val="269"/>
        </w:trPr>
        <w:tc>
          <w:tcPr>
            <w:tcW w:w="880" w:type="dxa"/>
            <w:tcBorders>
              <w:top w:val="single" w:sz="8" w:space="0" w:color="FFFFFF" w:themeColor="background1"/>
              <w:left w:val="nil"/>
              <w:bottom w:val="single" w:sz="8" w:space="0" w:color="FFFFFF" w:themeColor="background1"/>
              <w:right w:val="single" w:sz="8" w:space="0" w:color="FFFFFF" w:themeColor="background1"/>
            </w:tcBorders>
            <w:hideMark/>
          </w:tcPr>
          <w:p w14:paraId="4A020968" w14:textId="77777777" w:rsidR="00572EF6" w:rsidRPr="00D71ECF" w:rsidRDefault="00572EF6" w:rsidP="00D71ECF">
            <w:pPr>
              <w:pStyle w:val="TableText"/>
            </w:pPr>
            <w:r w:rsidRPr="00D71ECF">
              <w:t>1</w:t>
            </w:r>
          </w:p>
        </w:tc>
        <w:tc>
          <w:tcPr>
            <w:tcW w:w="98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bottom"/>
          </w:tcPr>
          <w:p w14:paraId="4B2FBEF6" w14:textId="77777777" w:rsidR="00572EF6" w:rsidRPr="006F4997" w:rsidRDefault="00572EF6" w:rsidP="00D71ECF">
            <w:pPr>
              <w:pStyle w:val="TableTextRight"/>
            </w:pPr>
            <w:r>
              <w:t>229</w:t>
            </w:r>
          </w:p>
        </w:tc>
        <w:tc>
          <w:tcPr>
            <w:tcW w:w="98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bottom"/>
          </w:tcPr>
          <w:p w14:paraId="01BDB797" w14:textId="77777777" w:rsidR="00572EF6" w:rsidRPr="006F4997" w:rsidRDefault="00572EF6" w:rsidP="00D71ECF">
            <w:pPr>
              <w:pStyle w:val="TableTextRight"/>
            </w:pPr>
            <w:r>
              <w:t>985</w:t>
            </w:r>
          </w:p>
        </w:tc>
        <w:tc>
          <w:tcPr>
            <w:tcW w:w="61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bottom"/>
          </w:tcPr>
          <w:p w14:paraId="6638D5A0" w14:textId="77777777" w:rsidR="00572EF6" w:rsidRPr="006F4997" w:rsidRDefault="00572EF6" w:rsidP="00D71ECF">
            <w:pPr>
              <w:pStyle w:val="TableTextRight"/>
            </w:pPr>
            <w:r>
              <w:t>7.8</w:t>
            </w:r>
          </w:p>
        </w:tc>
        <w:tc>
          <w:tcPr>
            <w:tcW w:w="8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bottom"/>
          </w:tcPr>
          <w:p w14:paraId="2D6836B1" w14:textId="77777777" w:rsidR="00572EF6" w:rsidRPr="006F4997" w:rsidRDefault="00572EF6" w:rsidP="00D71ECF">
            <w:pPr>
              <w:pStyle w:val="TableTextRight"/>
            </w:pPr>
            <w:r>
              <w:t>41</w:t>
            </w:r>
          </w:p>
        </w:tc>
        <w:tc>
          <w:tcPr>
            <w:tcW w:w="8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bottom"/>
          </w:tcPr>
          <w:p w14:paraId="1206ED6F" w14:textId="77777777" w:rsidR="00572EF6" w:rsidRPr="006F4997" w:rsidRDefault="00572EF6" w:rsidP="00D71ECF">
            <w:pPr>
              <w:pStyle w:val="TableTextRight"/>
            </w:pPr>
            <w:r>
              <w:t>75</w:t>
            </w:r>
          </w:p>
        </w:tc>
        <w:tc>
          <w:tcPr>
            <w:tcW w:w="8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bottom"/>
          </w:tcPr>
          <w:p w14:paraId="2ECF7997" w14:textId="77777777" w:rsidR="00572EF6" w:rsidRPr="006F4997" w:rsidRDefault="00572EF6" w:rsidP="00D71ECF">
            <w:pPr>
              <w:pStyle w:val="TableTextRight"/>
            </w:pPr>
            <w:r>
              <w:t>16</w:t>
            </w:r>
          </w:p>
        </w:tc>
        <w:tc>
          <w:tcPr>
            <w:tcW w:w="85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bottom"/>
          </w:tcPr>
          <w:p w14:paraId="68786D85" w14:textId="77777777" w:rsidR="00572EF6" w:rsidRPr="006F4997" w:rsidRDefault="00572EF6" w:rsidP="00D71ECF">
            <w:pPr>
              <w:pStyle w:val="TableTextRight"/>
            </w:pPr>
            <w:r>
              <w:t>58</w:t>
            </w:r>
          </w:p>
        </w:tc>
        <w:tc>
          <w:tcPr>
            <w:tcW w:w="84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bottom"/>
          </w:tcPr>
          <w:p w14:paraId="6F0E7515" w14:textId="77777777" w:rsidR="00572EF6" w:rsidRPr="006F4997" w:rsidRDefault="00572EF6" w:rsidP="00D71ECF">
            <w:pPr>
              <w:pStyle w:val="TableTextRight"/>
            </w:pPr>
            <w:r>
              <w:t>88</w:t>
            </w:r>
          </w:p>
        </w:tc>
        <w:tc>
          <w:tcPr>
            <w:tcW w:w="8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bottom"/>
          </w:tcPr>
          <w:p w14:paraId="18AEAACE" w14:textId="77777777" w:rsidR="00572EF6" w:rsidRPr="006F4997" w:rsidRDefault="00572EF6" w:rsidP="00D71ECF">
            <w:pPr>
              <w:pStyle w:val="TableTextRight"/>
            </w:pPr>
            <w:r>
              <w:t>71</w:t>
            </w:r>
          </w:p>
        </w:tc>
        <w:tc>
          <w:tcPr>
            <w:tcW w:w="756" w:type="dxa"/>
            <w:tcBorders>
              <w:top w:val="single" w:sz="8" w:space="0" w:color="FFFFFF" w:themeColor="background1"/>
              <w:left w:val="single" w:sz="8" w:space="0" w:color="FFFFFF" w:themeColor="background1"/>
              <w:bottom w:val="single" w:sz="8" w:space="0" w:color="FFFFFF" w:themeColor="background1"/>
              <w:right w:val="nil"/>
            </w:tcBorders>
            <w:vAlign w:val="bottom"/>
          </w:tcPr>
          <w:p w14:paraId="7FDB6431" w14:textId="77777777" w:rsidR="00572EF6" w:rsidRPr="006F4997" w:rsidRDefault="00572EF6" w:rsidP="00D71ECF">
            <w:pPr>
              <w:pStyle w:val="TableTextRight"/>
            </w:pPr>
            <w:r>
              <w:t>351</w:t>
            </w:r>
          </w:p>
        </w:tc>
      </w:tr>
      <w:tr w:rsidR="00572EF6" w:rsidRPr="006F4997" w14:paraId="334C2DAA" w14:textId="77777777" w:rsidTr="00572EF6">
        <w:trPr>
          <w:cnfStyle w:val="000000010000" w:firstRow="0" w:lastRow="0" w:firstColumn="0" w:lastColumn="0" w:oddVBand="0" w:evenVBand="0" w:oddHBand="0" w:evenHBand="1" w:firstRowFirstColumn="0" w:firstRowLastColumn="0" w:lastRowFirstColumn="0" w:lastRowLastColumn="0"/>
          <w:trHeight w:val="269"/>
        </w:trPr>
        <w:tc>
          <w:tcPr>
            <w:tcW w:w="880" w:type="dxa"/>
            <w:tcBorders>
              <w:top w:val="single" w:sz="8" w:space="0" w:color="FFFFFF" w:themeColor="background1"/>
              <w:left w:val="nil"/>
              <w:bottom w:val="single" w:sz="8" w:space="0" w:color="FFFFFF" w:themeColor="background1"/>
              <w:right w:val="single" w:sz="8" w:space="0" w:color="FFFFFF" w:themeColor="background1"/>
            </w:tcBorders>
            <w:hideMark/>
          </w:tcPr>
          <w:p w14:paraId="704880A7" w14:textId="77777777" w:rsidR="00572EF6" w:rsidRPr="00D71ECF" w:rsidRDefault="00572EF6" w:rsidP="00D71ECF">
            <w:pPr>
              <w:pStyle w:val="TableText"/>
            </w:pPr>
            <w:r w:rsidRPr="00D71ECF">
              <w:t>2</w:t>
            </w:r>
          </w:p>
        </w:tc>
        <w:tc>
          <w:tcPr>
            <w:tcW w:w="98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bottom"/>
          </w:tcPr>
          <w:p w14:paraId="287C8BE4" w14:textId="77777777" w:rsidR="00572EF6" w:rsidRPr="006F4997" w:rsidRDefault="00572EF6" w:rsidP="00D71ECF">
            <w:pPr>
              <w:pStyle w:val="TableTextRight"/>
            </w:pPr>
            <w:r>
              <w:t>211</w:t>
            </w:r>
          </w:p>
        </w:tc>
        <w:tc>
          <w:tcPr>
            <w:tcW w:w="98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bottom"/>
          </w:tcPr>
          <w:p w14:paraId="4D0F822B" w14:textId="77777777" w:rsidR="00572EF6" w:rsidRPr="006F4997" w:rsidRDefault="00572EF6" w:rsidP="00D71ECF">
            <w:pPr>
              <w:pStyle w:val="TableTextRight"/>
            </w:pPr>
            <w:r>
              <w:t>1490</w:t>
            </w:r>
          </w:p>
        </w:tc>
        <w:tc>
          <w:tcPr>
            <w:tcW w:w="61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bottom"/>
          </w:tcPr>
          <w:p w14:paraId="67018B61" w14:textId="77777777" w:rsidR="00572EF6" w:rsidRPr="006F4997" w:rsidRDefault="00572EF6" w:rsidP="00D71ECF">
            <w:pPr>
              <w:pStyle w:val="TableTextRight"/>
            </w:pPr>
            <w:r>
              <w:t>7.1</w:t>
            </w:r>
          </w:p>
        </w:tc>
        <w:tc>
          <w:tcPr>
            <w:tcW w:w="8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bottom"/>
          </w:tcPr>
          <w:p w14:paraId="414CE753" w14:textId="77777777" w:rsidR="00572EF6" w:rsidRPr="006F4997" w:rsidRDefault="00572EF6" w:rsidP="00D71ECF">
            <w:pPr>
              <w:pStyle w:val="TableTextRight"/>
            </w:pPr>
            <w:r>
              <w:t>53</w:t>
            </w:r>
          </w:p>
        </w:tc>
        <w:tc>
          <w:tcPr>
            <w:tcW w:w="8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bottom"/>
          </w:tcPr>
          <w:p w14:paraId="3E5321E3" w14:textId="77777777" w:rsidR="00572EF6" w:rsidRPr="006F4997" w:rsidRDefault="00572EF6" w:rsidP="00D71ECF">
            <w:pPr>
              <w:pStyle w:val="TableTextRight"/>
            </w:pPr>
            <w:r>
              <w:t>124</w:t>
            </w:r>
          </w:p>
        </w:tc>
        <w:tc>
          <w:tcPr>
            <w:tcW w:w="8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bottom"/>
          </w:tcPr>
          <w:p w14:paraId="1647C6ED" w14:textId="77777777" w:rsidR="00572EF6" w:rsidRPr="006F4997" w:rsidRDefault="00572EF6" w:rsidP="00D71ECF">
            <w:pPr>
              <w:pStyle w:val="TableTextRight"/>
            </w:pPr>
            <w:r>
              <w:t>18</w:t>
            </w:r>
          </w:p>
        </w:tc>
        <w:tc>
          <w:tcPr>
            <w:tcW w:w="85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bottom"/>
          </w:tcPr>
          <w:p w14:paraId="5AA7342F" w14:textId="77777777" w:rsidR="00572EF6" w:rsidRPr="006F4997" w:rsidRDefault="00572EF6" w:rsidP="00D71ECF">
            <w:pPr>
              <w:pStyle w:val="TableTextRight"/>
            </w:pPr>
            <w:r>
              <w:t>121</w:t>
            </w:r>
          </w:p>
        </w:tc>
        <w:tc>
          <w:tcPr>
            <w:tcW w:w="84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bottom"/>
          </w:tcPr>
          <w:p w14:paraId="5B89D0DB" w14:textId="77777777" w:rsidR="00572EF6" w:rsidRPr="006F4997" w:rsidRDefault="00572EF6" w:rsidP="00D71ECF">
            <w:pPr>
              <w:pStyle w:val="TableTextRight"/>
            </w:pPr>
            <w:r>
              <w:t>165</w:t>
            </w:r>
          </w:p>
        </w:tc>
        <w:tc>
          <w:tcPr>
            <w:tcW w:w="8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bottom"/>
          </w:tcPr>
          <w:p w14:paraId="511E3CF8" w14:textId="77777777" w:rsidR="00572EF6" w:rsidRPr="006F4997" w:rsidRDefault="00572EF6" w:rsidP="00D71ECF">
            <w:pPr>
              <w:pStyle w:val="TableTextRight"/>
            </w:pPr>
            <w:r>
              <w:t>140</w:t>
            </w:r>
          </w:p>
        </w:tc>
        <w:tc>
          <w:tcPr>
            <w:tcW w:w="756" w:type="dxa"/>
            <w:tcBorders>
              <w:top w:val="single" w:sz="8" w:space="0" w:color="FFFFFF" w:themeColor="background1"/>
              <w:left w:val="single" w:sz="8" w:space="0" w:color="FFFFFF" w:themeColor="background1"/>
              <w:bottom w:val="single" w:sz="8" w:space="0" w:color="FFFFFF" w:themeColor="background1"/>
              <w:right w:val="nil"/>
            </w:tcBorders>
            <w:vAlign w:val="bottom"/>
          </w:tcPr>
          <w:p w14:paraId="1015E704" w14:textId="77777777" w:rsidR="00572EF6" w:rsidRPr="006F4997" w:rsidRDefault="00572EF6" w:rsidP="00D71ECF">
            <w:pPr>
              <w:pStyle w:val="TableTextRight"/>
            </w:pPr>
            <w:r>
              <w:t>511</w:t>
            </w:r>
          </w:p>
        </w:tc>
      </w:tr>
      <w:tr w:rsidR="00572EF6" w:rsidRPr="006F4997" w14:paraId="2F22562C" w14:textId="77777777" w:rsidTr="00572EF6">
        <w:trPr>
          <w:cnfStyle w:val="000000100000" w:firstRow="0" w:lastRow="0" w:firstColumn="0" w:lastColumn="0" w:oddVBand="0" w:evenVBand="0" w:oddHBand="1" w:evenHBand="0" w:firstRowFirstColumn="0" w:firstRowLastColumn="0" w:lastRowFirstColumn="0" w:lastRowLastColumn="0"/>
          <w:trHeight w:val="269"/>
        </w:trPr>
        <w:tc>
          <w:tcPr>
            <w:tcW w:w="880" w:type="dxa"/>
            <w:tcBorders>
              <w:top w:val="single" w:sz="8" w:space="0" w:color="FFFFFF" w:themeColor="background1"/>
              <w:left w:val="nil"/>
              <w:bottom w:val="single" w:sz="8" w:space="0" w:color="FFFFFF" w:themeColor="background1"/>
              <w:right w:val="single" w:sz="8" w:space="0" w:color="FFFFFF" w:themeColor="background1"/>
            </w:tcBorders>
            <w:hideMark/>
          </w:tcPr>
          <w:p w14:paraId="0C80A8DB" w14:textId="77777777" w:rsidR="00572EF6" w:rsidRPr="00D71ECF" w:rsidRDefault="00572EF6" w:rsidP="00D71ECF">
            <w:pPr>
              <w:pStyle w:val="TableText"/>
            </w:pPr>
            <w:r w:rsidRPr="00D71ECF">
              <w:t>3</w:t>
            </w:r>
          </w:p>
        </w:tc>
        <w:tc>
          <w:tcPr>
            <w:tcW w:w="98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bottom"/>
          </w:tcPr>
          <w:p w14:paraId="3EDA81B8" w14:textId="77777777" w:rsidR="00572EF6" w:rsidRPr="006F4997" w:rsidRDefault="00572EF6" w:rsidP="00D71ECF">
            <w:pPr>
              <w:pStyle w:val="TableTextRight"/>
            </w:pPr>
            <w:r>
              <w:t>43</w:t>
            </w:r>
          </w:p>
        </w:tc>
        <w:tc>
          <w:tcPr>
            <w:tcW w:w="98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bottom"/>
          </w:tcPr>
          <w:p w14:paraId="5FAF5778" w14:textId="77777777" w:rsidR="00572EF6" w:rsidRPr="006F4997" w:rsidRDefault="00572EF6" w:rsidP="00D71ECF">
            <w:pPr>
              <w:pStyle w:val="TableTextRight"/>
            </w:pPr>
            <w:r>
              <w:t>118</w:t>
            </w:r>
          </w:p>
        </w:tc>
        <w:tc>
          <w:tcPr>
            <w:tcW w:w="61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bottom"/>
          </w:tcPr>
          <w:p w14:paraId="64BB7873" w14:textId="77777777" w:rsidR="00572EF6" w:rsidRPr="006F4997" w:rsidRDefault="00572EF6" w:rsidP="00D71ECF">
            <w:pPr>
              <w:pStyle w:val="TableTextRight"/>
            </w:pPr>
            <w:r>
              <w:t>6.4</w:t>
            </w:r>
          </w:p>
        </w:tc>
        <w:tc>
          <w:tcPr>
            <w:tcW w:w="8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bottom"/>
          </w:tcPr>
          <w:p w14:paraId="0708B629" w14:textId="77777777" w:rsidR="00572EF6" w:rsidRPr="006F4997" w:rsidRDefault="00572EF6" w:rsidP="00D71ECF">
            <w:pPr>
              <w:pStyle w:val="TableTextRight"/>
            </w:pPr>
            <w:r>
              <w:t>3</w:t>
            </w:r>
          </w:p>
        </w:tc>
        <w:tc>
          <w:tcPr>
            <w:tcW w:w="8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bottom"/>
          </w:tcPr>
          <w:p w14:paraId="74410953" w14:textId="77777777" w:rsidR="00572EF6" w:rsidRPr="006F4997" w:rsidRDefault="00572EF6" w:rsidP="00D71ECF">
            <w:pPr>
              <w:pStyle w:val="TableTextRight"/>
            </w:pPr>
            <w:r>
              <w:t>12</w:t>
            </w:r>
          </w:p>
        </w:tc>
        <w:tc>
          <w:tcPr>
            <w:tcW w:w="8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bottom"/>
          </w:tcPr>
          <w:p w14:paraId="7E0FAB76" w14:textId="77777777" w:rsidR="00572EF6" w:rsidRPr="006F4997" w:rsidRDefault="00572EF6" w:rsidP="00D71ECF">
            <w:pPr>
              <w:pStyle w:val="TableTextRight"/>
            </w:pPr>
            <w:r>
              <w:t>3</w:t>
            </w:r>
          </w:p>
        </w:tc>
        <w:tc>
          <w:tcPr>
            <w:tcW w:w="85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bottom"/>
          </w:tcPr>
          <w:p w14:paraId="3A31C6E1" w14:textId="77777777" w:rsidR="00572EF6" w:rsidRPr="006F4997" w:rsidRDefault="00572EF6" w:rsidP="00D71ECF">
            <w:pPr>
              <w:pStyle w:val="TableTextRight"/>
            </w:pPr>
            <w:r>
              <w:t>4</w:t>
            </w:r>
          </w:p>
        </w:tc>
        <w:tc>
          <w:tcPr>
            <w:tcW w:w="84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bottom"/>
          </w:tcPr>
          <w:p w14:paraId="22A766B4" w14:textId="77777777" w:rsidR="00572EF6" w:rsidRPr="006F4997" w:rsidRDefault="00572EF6" w:rsidP="00D71ECF">
            <w:pPr>
              <w:pStyle w:val="TableTextRight"/>
            </w:pPr>
            <w:r>
              <w:t>7</w:t>
            </w:r>
          </w:p>
        </w:tc>
        <w:tc>
          <w:tcPr>
            <w:tcW w:w="8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bottom"/>
          </w:tcPr>
          <w:p w14:paraId="0B1BCD61" w14:textId="77777777" w:rsidR="00572EF6" w:rsidRPr="006F4997" w:rsidRDefault="00572EF6" w:rsidP="00D71ECF">
            <w:pPr>
              <w:pStyle w:val="TableTextRight"/>
            </w:pPr>
            <w:r>
              <w:t>7</w:t>
            </w:r>
          </w:p>
        </w:tc>
        <w:tc>
          <w:tcPr>
            <w:tcW w:w="756" w:type="dxa"/>
            <w:tcBorders>
              <w:top w:val="single" w:sz="8" w:space="0" w:color="FFFFFF" w:themeColor="background1"/>
              <w:left w:val="single" w:sz="8" w:space="0" w:color="FFFFFF" w:themeColor="background1"/>
              <w:bottom w:val="single" w:sz="8" w:space="0" w:color="FFFFFF" w:themeColor="background1"/>
              <w:right w:val="nil"/>
            </w:tcBorders>
            <w:vAlign w:val="bottom"/>
          </w:tcPr>
          <w:p w14:paraId="44A2A860" w14:textId="77777777" w:rsidR="00572EF6" w:rsidRPr="006F4997" w:rsidRDefault="00572EF6" w:rsidP="00D71ECF">
            <w:pPr>
              <w:pStyle w:val="TableTextRight"/>
            </w:pPr>
            <w:r>
              <w:t>40</w:t>
            </w:r>
          </w:p>
        </w:tc>
      </w:tr>
      <w:tr w:rsidR="00572EF6" w:rsidRPr="006F4997" w14:paraId="1F617F9E" w14:textId="77777777" w:rsidTr="00572EF6">
        <w:trPr>
          <w:cnfStyle w:val="000000010000" w:firstRow="0" w:lastRow="0" w:firstColumn="0" w:lastColumn="0" w:oddVBand="0" w:evenVBand="0" w:oddHBand="0" w:evenHBand="1" w:firstRowFirstColumn="0" w:firstRowLastColumn="0" w:lastRowFirstColumn="0" w:lastRowLastColumn="0"/>
          <w:trHeight w:val="269"/>
        </w:trPr>
        <w:tc>
          <w:tcPr>
            <w:tcW w:w="880" w:type="dxa"/>
            <w:tcBorders>
              <w:top w:val="single" w:sz="8" w:space="0" w:color="FFFFFF" w:themeColor="background1"/>
              <w:left w:val="nil"/>
              <w:bottom w:val="single" w:sz="8" w:space="0" w:color="FFFFFF" w:themeColor="background1"/>
              <w:right w:val="single" w:sz="8" w:space="0" w:color="FFFFFF" w:themeColor="background1"/>
            </w:tcBorders>
            <w:hideMark/>
          </w:tcPr>
          <w:p w14:paraId="5350B405" w14:textId="77777777" w:rsidR="00572EF6" w:rsidRPr="00D71ECF" w:rsidRDefault="00572EF6" w:rsidP="00D71ECF">
            <w:pPr>
              <w:pStyle w:val="TableText"/>
            </w:pPr>
            <w:r w:rsidRPr="00D71ECF">
              <w:t>4</w:t>
            </w:r>
          </w:p>
        </w:tc>
        <w:tc>
          <w:tcPr>
            <w:tcW w:w="98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bottom"/>
          </w:tcPr>
          <w:p w14:paraId="5A16FC15" w14:textId="77777777" w:rsidR="00572EF6" w:rsidRPr="006F4997" w:rsidRDefault="00572EF6" w:rsidP="00D71ECF">
            <w:pPr>
              <w:pStyle w:val="TableTextRight"/>
            </w:pPr>
            <w:r>
              <w:t>215</w:t>
            </w:r>
          </w:p>
        </w:tc>
        <w:tc>
          <w:tcPr>
            <w:tcW w:w="985"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bottom"/>
          </w:tcPr>
          <w:p w14:paraId="3ED18A6B" w14:textId="77777777" w:rsidR="00572EF6" w:rsidRPr="006F4997" w:rsidRDefault="00572EF6" w:rsidP="00D71ECF">
            <w:pPr>
              <w:pStyle w:val="TableTextRight"/>
            </w:pPr>
            <w:r>
              <w:t>1860</w:t>
            </w:r>
          </w:p>
        </w:tc>
        <w:tc>
          <w:tcPr>
            <w:tcW w:w="616"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bottom"/>
          </w:tcPr>
          <w:p w14:paraId="07B80E14" w14:textId="77777777" w:rsidR="00572EF6" w:rsidRPr="006F4997" w:rsidRDefault="00572EF6" w:rsidP="00D71ECF">
            <w:pPr>
              <w:pStyle w:val="TableTextRight"/>
            </w:pPr>
            <w:r>
              <w:t>7.7</w:t>
            </w:r>
          </w:p>
        </w:tc>
        <w:tc>
          <w:tcPr>
            <w:tcW w:w="8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bottom"/>
          </w:tcPr>
          <w:p w14:paraId="3B00DBA0" w14:textId="77777777" w:rsidR="00572EF6" w:rsidRPr="006F4997" w:rsidRDefault="00572EF6" w:rsidP="00D71ECF">
            <w:pPr>
              <w:pStyle w:val="TableTextRight"/>
            </w:pPr>
            <w:r>
              <w:t>63</w:t>
            </w:r>
          </w:p>
        </w:tc>
        <w:tc>
          <w:tcPr>
            <w:tcW w:w="8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bottom"/>
          </w:tcPr>
          <w:p w14:paraId="2AF6521B" w14:textId="77777777" w:rsidR="00572EF6" w:rsidRPr="006F4997" w:rsidRDefault="00572EF6" w:rsidP="00D71ECF">
            <w:pPr>
              <w:pStyle w:val="TableTextRight"/>
            </w:pPr>
            <w:r>
              <w:t>205</w:t>
            </w:r>
          </w:p>
        </w:tc>
        <w:tc>
          <w:tcPr>
            <w:tcW w:w="8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bottom"/>
          </w:tcPr>
          <w:p w14:paraId="46B8AC80" w14:textId="77777777" w:rsidR="00572EF6" w:rsidRPr="006F4997" w:rsidRDefault="00572EF6" w:rsidP="00D71ECF">
            <w:pPr>
              <w:pStyle w:val="TableTextRight"/>
            </w:pPr>
            <w:r>
              <w:t>26</w:t>
            </w:r>
          </w:p>
        </w:tc>
        <w:tc>
          <w:tcPr>
            <w:tcW w:w="85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vAlign w:val="bottom"/>
          </w:tcPr>
          <w:p w14:paraId="35BE8A69" w14:textId="77777777" w:rsidR="00572EF6" w:rsidRPr="006F4997" w:rsidRDefault="00572EF6" w:rsidP="00D71ECF">
            <w:pPr>
              <w:pStyle w:val="TableTextRight"/>
            </w:pPr>
            <w:r>
              <w:t>100</w:t>
            </w:r>
          </w:p>
        </w:tc>
        <w:tc>
          <w:tcPr>
            <w:tcW w:w="84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bottom"/>
          </w:tcPr>
          <w:p w14:paraId="69D0A4CD" w14:textId="77777777" w:rsidR="00572EF6" w:rsidRPr="006F4997" w:rsidRDefault="00572EF6" w:rsidP="00D71ECF">
            <w:pPr>
              <w:pStyle w:val="TableTextRight"/>
            </w:pPr>
            <w:r>
              <w:t>270</w:t>
            </w:r>
          </w:p>
        </w:tc>
        <w:tc>
          <w:tcPr>
            <w:tcW w:w="84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vAlign w:val="bottom"/>
          </w:tcPr>
          <w:p w14:paraId="044F3155" w14:textId="77777777" w:rsidR="00572EF6" w:rsidRPr="006F4997" w:rsidRDefault="00572EF6" w:rsidP="00D71ECF">
            <w:pPr>
              <w:pStyle w:val="TableTextRight"/>
            </w:pPr>
            <w:r>
              <w:t>244</w:t>
            </w:r>
          </w:p>
        </w:tc>
        <w:tc>
          <w:tcPr>
            <w:tcW w:w="756" w:type="dxa"/>
            <w:tcBorders>
              <w:top w:val="single" w:sz="8" w:space="0" w:color="FFFFFF" w:themeColor="background1"/>
              <w:left w:val="single" w:sz="8" w:space="0" w:color="FFFFFF" w:themeColor="background1"/>
              <w:bottom w:val="single" w:sz="8" w:space="0" w:color="FFFFFF" w:themeColor="background1"/>
              <w:right w:val="nil"/>
            </w:tcBorders>
            <w:vAlign w:val="bottom"/>
          </w:tcPr>
          <w:p w14:paraId="6D2429B9" w14:textId="77777777" w:rsidR="00572EF6" w:rsidRPr="006F4997" w:rsidRDefault="00572EF6" w:rsidP="00D71ECF">
            <w:pPr>
              <w:pStyle w:val="TableTextRight"/>
            </w:pPr>
            <w:r>
              <w:t>397</w:t>
            </w:r>
          </w:p>
        </w:tc>
      </w:tr>
      <w:tr w:rsidR="00572EF6" w:rsidRPr="006F4997" w14:paraId="58398C9E" w14:textId="77777777" w:rsidTr="00572EF6">
        <w:trPr>
          <w:cnfStyle w:val="000000100000" w:firstRow="0" w:lastRow="0" w:firstColumn="0" w:lastColumn="0" w:oddVBand="0" w:evenVBand="0" w:oddHBand="1" w:evenHBand="0" w:firstRowFirstColumn="0" w:firstRowLastColumn="0" w:lastRowFirstColumn="0" w:lastRowLastColumn="0"/>
          <w:trHeight w:val="269"/>
        </w:trPr>
        <w:tc>
          <w:tcPr>
            <w:tcW w:w="880" w:type="dxa"/>
            <w:tcBorders>
              <w:top w:val="single" w:sz="8" w:space="0" w:color="FFFFFF" w:themeColor="background1"/>
              <w:left w:val="nil"/>
              <w:bottom w:val="nil"/>
              <w:right w:val="single" w:sz="8" w:space="0" w:color="FFFFFF" w:themeColor="background1"/>
            </w:tcBorders>
            <w:hideMark/>
          </w:tcPr>
          <w:p w14:paraId="7A6988F7" w14:textId="77777777" w:rsidR="00572EF6" w:rsidRPr="00D71ECF" w:rsidRDefault="00572EF6" w:rsidP="00D71ECF">
            <w:pPr>
              <w:pStyle w:val="TableText"/>
            </w:pPr>
            <w:r w:rsidRPr="00D71ECF">
              <w:t>5</w:t>
            </w:r>
          </w:p>
        </w:tc>
        <w:tc>
          <w:tcPr>
            <w:tcW w:w="986" w:type="dxa"/>
            <w:tcBorders>
              <w:top w:val="single" w:sz="8" w:space="0" w:color="FFFFFF" w:themeColor="background1"/>
              <w:left w:val="single" w:sz="8" w:space="0" w:color="FFFFFF" w:themeColor="background1"/>
              <w:bottom w:val="nil"/>
              <w:right w:val="single" w:sz="8" w:space="0" w:color="FFFFFF" w:themeColor="background1"/>
            </w:tcBorders>
            <w:vAlign w:val="bottom"/>
          </w:tcPr>
          <w:p w14:paraId="3DB87141" w14:textId="77777777" w:rsidR="00572EF6" w:rsidRPr="006F4997" w:rsidRDefault="00572EF6" w:rsidP="00D71ECF">
            <w:pPr>
              <w:pStyle w:val="TableTextRight"/>
            </w:pPr>
            <w:r>
              <w:t>162</w:t>
            </w:r>
          </w:p>
        </w:tc>
        <w:tc>
          <w:tcPr>
            <w:tcW w:w="985" w:type="dxa"/>
            <w:tcBorders>
              <w:top w:val="single" w:sz="8" w:space="0" w:color="FFFFFF" w:themeColor="background1"/>
              <w:left w:val="single" w:sz="8" w:space="0" w:color="FFFFFF" w:themeColor="background1"/>
              <w:bottom w:val="nil"/>
              <w:right w:val="single" w:sz="8" w:space="0" w:color="FFFFFF" w:themeColor="background1"/>
            </w:tcBorders>
            <w:vAlign w:val="bottom"/>
          </w:tcPr>
          <w:p w14:paraId="67DD9876" w14:textId="77777777" w:rsidR="00572EF6" w:rsidRPr="006F4997" w:rsidRDefault="00572EF6" w:rsidP="00D71ECF">
            <w:pPr>
              <w:pStyle w:val="TableTextRight"/>
            </w:pPr>
            <w:r>
              <w:t>701</w:t>
            </w:r>
          </w:p>
        </w:tc>
        <w:tc>
          <w:tcPr>
            <w:tcW w:w="616" w:type="dxa"/>
            <w:tcBorders>
              <w:top w:val="single" w:sz="8" w:space="0" w:color="FFFFFF" w:themeColor="background1"/>
              <w:left w:val="single" w:sz="8" w:space="0" w:color="FFFFFF" w:themeColor="background1"/>
              <w:bottom w:val="nil"/>
              <w:right w:val="single" w:sz="8" w:space="0" w:color="FFFFFF" w:themeColor="background1"/>
            </w:tcBorders>
            <w:noWrap/>
            <w:vAlign w:val="bottom"/>
          </w:tcPr>
          <w:p w14:paraId="3B2EDC81" w14:textId="77777777" w:rsidR="00572EF6" w:rsidRPr="006F4997" w:rsidRDefault="00572EF6" w:rsidP="00D71ECF">
            <w:pPr>
              <w:pStyle w:val="TableTextRight"/>
            </w:pPr>
            <w:r>
              <w:t>7.265</w:t>
            </w:r>
          </w:p>
        </w:tc>
        <w:tc>
          <w:tcPr>
            <w:tcW w:w="843" w:type="dxa"/>
            <w:tcBorders>
              <w:top w:val="single" w:sz="8" w:space="0" w:color="FFFFFF" w:themeColor="background1"/>
              <w:left w:val="single" w:sz="8" w:space="0" w:color="FFFFFF" w:themeColor="background1"/>
              <w:bottom w:val="nil"/>
              <w:right w:val="single" w:sz="8" w:space="0" w:color="FFFFFF" w:themeColor="background1"/>
            </w:tcBorders>
            <w:vAlign w:val="bottom"/>
          </w:tcPr>
          <w:p w14:paraId="0FCE2173" w14:textId="77777777" w:rsidR="00572EF6" w:rsidRPr="006F4997" w:rsidRDefault="00572EF6" w:rsidP="00D71ECF">
            <w:pPr>
              <w:pStyle w:val="TableTextRight"/>
            </w:pPr>
            <w:r>
              <w:t>35</w:t>
            </w:r>
          </w:p>
        </w:tc>
        <w:tc>
          <w:tcPr>
            <w:tcW w:w="843" w:type="dxa"/>
            <w:tcBorders>
              <w:top w:val="single" w:sz="8" w:space="0" w:color="FFFFFF" w:themeColor="background1"/>
              <w:left w:val="single" w:sz="8" w:space="0" w:color="FFFFFF" w:themeColor="background1"/>
              <w:bottom w:val="nil"/>
              <w:right w:val="single" w:sz="8" w:space="0" w:color="FFFFFF" w:themeColor="background1"/>
            </w:tcBorders>
            <w:vAlign w:val="bottom"/>
          </w:tcPr>
          <w:p w14:paraId="71E5F16C" w14:textId="77777777" w:rsidR="00572EF6" w:rsidRPr="006F4997" w:rsidRDefault="00572EF6" w:rsidP="00D71ECF">
            <w:pPr>
              <w:pStyle w:val="TableTextRight"/>
            </w:pPr>
            <w:r>
              <w:t>10</w:t>
            </w:r>
          </w:p>
        </w:tc>
        <w:tc>
          <w:tcPr>
            <w:tcW w:w="843" w:type="dxa"/>
            <w:tcBorders>
              <w:top w:val="single" w:sz="8" w:space="0" w:color="FFFFFF" w:themeColor="background1"/>
              <w:left w:val="single" w:sz="8" w:space="0" w:color="FFFFFF" w:themeColor="background1"/>
              <w:bottom w:val="nil"/>
              <w:right w:val="single" w:sz="8" w:space="0" w:color="FFFFFF" w:themeColor="background1"/>
            </w:tcBorders>
            <w:vAlign w:val="bottom"/>
          </w:tcPr>
          <w:p w14:paraId="1D6BA25D" w14:textId="77777777" w:rsidR="00572EF6" w:rsidRPr="006F4997" w:rsidRDefault="00572EF6" w:rsidP="00D71ECF">
            <w:pPr>
              <w:pStyle w:val="TableTextRight"/>
            </w:pPr>
            <w:r>
              <w:t>3</w:t>
            </w:r>
          </w:p>
        </w:tc>
        <w:tc>
          <w:tcPr>
            <w:tcW w:w="857" w:type="dxa"/>
            <w:tcBorders>
              <w:top w:val="single" w:sz="8" w:space="0" w:color="FFFFFF" w:themeColor="background1"/>
              <w:left w:val="single" w:sz="8" w:space="0" w:color="FFFFFF" w:themeColor="background1"/>
              <w:bottom w:val="nil"/>
              <w:right w:val="single" w:sz="8" w:space="0" w:color="FFFFFF" w:themeColor="background1"/>
            </w:tcBorders>
            <w:noWrap/>
            <w:vAlign w:val="bottom"/>
          </w:tcPr>
          <w:p w14:paraId="45409371" w14:textId="77777777" w:rsidR="00572EF6" w:rsidRPr="006F4997" w:rsidRDefault="00572EF6" w:rsidP="00D71ECF">
            <w:pPr>
              <w:pStyle w:val="TableTextRight"/>
            </w:pPr>
            <w:r>
              <w:t>77</w:t>
            </w:r>
          </w:p>
        </w:tc>
        <w:tc>
          <w:tcPr>
            <w:tcW w:w="847" w:type="dxa"/>
            <w:tcBorders>
              <w:top w:val="single" w:sz="8" w:space="0" w:color="FFFFFF" w:themeColor="background1"/>
              <w:left w:val="single" w:sz="8" w:space="0" w:color="FFFFFF" w:themeColor="background1"/>
              <w:bottom w:val="nil"/>
              <w:right w:val="single" w:sz="8" w:space="0" w:color="FFFFFF" w:themeColor="background1"/>
            </w:tcBorders>
            <w:vAlign w:val="bottom"/>
          </w:tcPr>
          <w:p w14:paraId="59651EBB" w14:textId="77777777" w:rsidR="00572EF6" w:rsidRPr="006F4997" w:rsidRDefault="00572EF6" w:rsidP="00D71ECF">
            <w:pPr>
              <w:pStyle w:val="TableTextRight"/>
            </w:pPr>
            <w:r>
              <w:t>10</w:t>
            </w:r>
          </w:p>
        </w:tc>
        <w:tc>
          <w:tcPr>
            <w:tcW w:w="843" w:type="dxa"/>
            <w:tcBorders>
              <w:top w:val="single" w:sz="8" w:space="0" w:color="FFFFFF" w:themeColor="background1"/>
              <w:left w:val="single" w:sz="8" w:space="0" w:color="FFFFFF" w:themeColor="background1"/>
              <w:bottom w:val="nil"/>
              <w:right w:val="single" w:sz="8" w:space="0" w:color="FFFFFF" w:themeColor="background1"/>
            </w:tcBorders>
            <w:vAlign w:val="bottom"/>
          </w:tcPr>
          <w:p w14:paraId="1758CD1E" w14:textId="77777777" w:rsidR="00572EF6" w:rsidRPr="006F4997" w:rsidRDefault="00572EF6" w:rsidP="00D71ECF">
            <w:pPr>
              <w:pStyle w:val="TableTextRight"/>
            </w:pPr>
            <w:r>
              <w:t>15</w:t>
            </w:r>
          </w:p>
        </w:tc>
        <w:tc>
          <w:tcPr>
            <w:tcW w:w="756" w:type="dxa"/>
            <w:tcBorders>
              <w:top w:val="single" w:sz="8" w:space="0" w:color="FFFFFF" w:themeColor="background1"/>
              <w:left w:val="single" w:sz="8" w:space="0" w:color="FFFFFF" w:themeColor="background1"/>
              <w:bottom w:val="nil"/>
              <w:right w:val="nil"/>
            </w:tcBorders>
            <w:vAlign w:val="bottom"/>
          </w:tcPr>
          <w:p w14:paraId="44C1C1ED" w14:textId="77777777" w:rsidR="00572EF6" w:rsidRPr="006F4997" w:rsidRDefault="00572EF6" w:rsidP="00D71ECF">
            <w:pPr>
              <w:pStyle w:val="TableTextRight"/>
            </w:pPr>
            <w:r>
              <w:t>426</w:t>
            </w:r>
          </w:p>
        </w:tc>
      </w:tr>
    </w:tbl>
    <w:p w14:paraId="32D47C57" w14:textId="7426B46E" w:rsidR="00572EF6" w:rsidRDefault="00572EF6" w:rsidP="00572EF6">
      <w:pPr>
        <w:pStyle w:val="SourceornoteforTableorFigure"/>
      </w:pPr>
      <w:r w:rsidRPr="0040693F">
        <w:t xml:space="preserve">Data: </w:t>
      </w:r>
      <w:r w:rsidR="00E31E78">
        <w:fldChar w:fldCharType="begin"/>
      </w:r>
      <w:r w:rsidR="00113630">
        <w:instrText xml:space="preserve"> ADDIN EN.CITE &lt;EndNote&gt;&lt;Cite AuthorYear="1"&gt;&lt;Author&gt;Geological and Bioregional Assessment Program&lt;/Author&gt;&lt;Year&gt;2019&lt;/Year&gt;&lt;RecNum&gt;1432&lt;/RecNum&gt;&lt;DisplayText&gt;Geological and Bioregional Assessment Program (2019d)&lt;/DisplayText&gt;&lt;record&gt;&lt;rec-number&gt;1432&lt;/rec-number&gt;&lt;foreign-keys&gt;&lt;key app="EN" db-id="wdf9tzzdhw2saee559kv0vezt0wfsta0zedv" timestamp="1583207810"&gt;1432&lt;/key&gt;&lt;/foreign-keys&gt;&lt;ref-type name="Dataset"&gt;59&lt;/ref-type&gt;&lt;contributors&gt;&lt;authors&gt;&lt;author&gt;Geological and Bioregional Assessment Program,&lt;/author&gt;&lt;/authors&gt;&lt;secondary-authors&gt;&lt;author&gt;CSIRO,&lt;/author&gt;&lt;/secondary-authors&gt;&lt;/contributors&gt;&lt;titles&gt;&lt;title&gt;Beetaloo GBA Groundwater and surface water sample locations included in hydrochemical cluster analysis by CSIRO&lt;/title&gt;&lt;/titles&gt;&lt;keywords&gt;&lt;keyword&gt;Groundwater&lt;/keyword&gt;&lt;/keywords&gt;&lt;dates&gt;&lt;year&gt;2019&lt;/year&gt;&lt;/dates&gt;&lt;pub-location&gt;Canberra&lt;/pub-location&gt;&lt;label&gt;52556C6B-A44C-4AD4-8FB4-F9F609B1E228&lt;/label&gt;&lt;urls&gt;&lt;related-urls&gt;&lt;url&gt;https://repo.bioregionalassessments.gov.au/metadata/52556C6B-A44C-4AD4-8FB4-F9F609B1E228&lt;/url&gt;&lt;/related-urls&gt;&lt;/urls&gt;&lt;custom2&gt;unit of observation&lt;/custom2&gt;&lt;custom3&gt;tabular&lt;/custom3&gt;&lt;custom4&gt;dataset&lt;/custom4&gt;&lt;access-date&gt;28 February 2020&lt;/access-date&gt;&lt;/record&gt;&lt;/Cite&gt;&lt;/EndNote&gt;</w:instrText>
      </w:r>
      <w:r w:rsidR="00E31E78">
        <w:fldChar w:fldCharType="separate"/>
      </w:r>
      <w:r w:rsidR="00113630">
        <w:rPr>
          <w:noProof/>
        </w:rPr>
        <w:t>Geological and Bioregional Assessment Program (2019d)</w:t>
      </w:r>
      <w:r w:rsidR="00E31E78">
        <w:fldChar w:fldCharType="end"/>
      </w:r>
    </w:p>
    <w:p w14:paraId="1CB2E183" w14:textId="54B33DD2" w:rsidR="00572EF6" w:rsidRDefault="00572EF6" w:rsidP="00390580">
      <w:pPr>
        <w:pStyle w:val="Figures"/>
        <w:keepLines/>
      </w:pPr>
    </w:p>
    <w:p w14:paraId="574FF1B6" w14:textId="16F2DCDA" w:rsidR="3B69BC4F" w:rsidRDefault="3B69BC4F" w:rsidP="3B69BC4F">
      <w:pPr>
        <w:pStyle w:val="BodyText"/>
      </w:pPr>
      <w:r>
        <w:rPr>
          <w:noProof/>
        </w:rPr>
        <w:drawing>
          <wp:inline distT="0" distB="0" distL="0" distR="0" wp14:anchorId="2E4B1EEE" wp14:editId="51BECE28">
            <wp:extent cx="6120000" cy="7551671"/>
            <wp:effectExtent l="0" t="0" r="0" b="0"/>
            <wp:docPr id="2077014706" name="Picture 2077014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screen">
                      <a:extLst>
                        <a:ext uri="{28A0092B-C50C-407E-A947-70E740481C1C}">
                          <a14:useLocalDpi xmlns:a14="http://schemas.microsoft.com/office/drawing/2010/main" val="0"/>
                        </a:ext>
                      </a:extLst>
                    </a:blip>
                    <a:stretch>
                      <a:fillRect/>
                    </a:stretch>
                  </pic:blipFill>
                  <pic:spPr>
                    <a:xfrm>
                      <a:off x="0" y="0"/>
                      <a:ext cx="6120000" cy="7551671"/>
                    </a:xfrm>
                    <a:prstGeom prst="rect">
                      <a:avLst/>
                    </a:prstGeom>
                  </pic:spPr>
                </pic:pic>
              </a:graphicData>
            </a:graphic>
          </wp:inline>
        </w:drawing>
      </w:r>
    </w:p>
    <w:p w14:paraId="15821225" w14:textId="23A1846C" w:rsidR="00572EF6" w:rsidRPr="00001C61" w:rsidRDefault="00572EF6" w:rsidP="00390580">
      <w:pPr>
        <w:pStyle w:val="Caption"/>
        <w:keepLines/>
      </w:pPr>
      <w:bookmarkStart w:id="727" w:name="_Ref34027448"/>
      <w:bookmarkStart w:id="728" w:name="_Toc38990485"/>
      <w:r>
        <w:t xml:space="preserve">Figure </w:t>
      </w:r>
      <w:r>
        <w:fldChar w:fldCharType="begin"/>
      </w:r>
      <w:r w:rsidRPr="68E66425">
        <w:rPr>
          <w:rFonts w:asciiTheme="minorHAnsi" w:hAnsiTheme="minorHAnsi" w:cstheme="minorBidi"/>
        </w:rPr>
        <w:instrText xml:space="preserve"> SEQ Figure \* ARABIC </w:instrText>
      </w:r>
      <w:r>
        <w:rPr>
          <w:rFonts w:asciiTheme="minorHAnsi" w:hAnsiTheme="minorHAnsi" w:cstheme="minorBidi"/>
        </w:rPr>
        <w:fldChar w:fldCharType="separate"/>
      </w:r>
      <w:r w:rsidR="00B177F5">
        <w:rPr>
          <w:rFonts w:asciiTheme="minorHAnsi" w:hAnsiTheme="minorHAnsi" w:cstheme="minorBidi"/>
          <w:noProof/>
        </w:rPr>
        <w:t>31</w:t>
      </w:r>
      <w:r>
        <w:fldChar w:fldCharType="end"/>
      </w:r>
      <w:bookmarkEnd w:id="727"/>
      <w:r>
        <w:t xml:space="preserve"> Spatial distribution of </w:t>
      </w:r>
      <w:r w:rsidR="00D71ECF">
        <w:t>electrical conductivity (</w:t>
      </w:r>
      <w:r>
        <w:t>EC</w:t>
      </w:r>
      <w:r w:rsidR="00D71ECF">
        <w:t>)</w:t>
      </w:r>
      <w:r>
        <w:t xml:space="preserve"> measured in springs and dissolved methane (CH</w:t>
      </w:r>
      <w:r w:rsidRPr="68E66425">
        <w:rPr>
          <w:rStyle w:val="Subscript"/>
        </w:rPr>
        <w:t>4</w:t>
      </w:r>
      <w:r>
        <w:t xml:space="preserve">) in groundwater across the Beetaloo GBA </w:t>
      </w:r>
      <w:r w:rsidR="00C80D4B">
        <w:t xml:space="preserve">extended </w:t>
      </w:r>
      <w:r>
        <w:t>region with representation of the footprint of the alluvium and groundwater-dependent ecosystems</w:t>
      </w:r>
      <w:bookmarkEnd w:id="728"/>
    </w:p>
    <w:p w14:paraId="39FEC7B8" w14:textId="1383A1EA" w:rsidR="00572EF6" w:rsidRPr="00A674A1" w:rsidRDefault="00854775" w:rsidP="00390580">
      <w:pPr>
        <w:pStyle w:val="SourceornoteforTableorFigure"/>
        <w:keepNext/>
        <w:keepLines/>
      </w:pPr>
      <w:r>
        <w:t>Cross</w:t>
      </w:r>
      <w:r w:rsidR="00C70955">
        <w:t>-</w:t>
      </w:r>
      <w:r>
        <w:t xml:space="preserve">sections A, B, and C can be found in </w:t>
      </w:r>
      <w:r>
        <w:fldChar w:fldCharType="begin"/>
      </w:r>
      <w:r>
        <w:instrText xml:space="preserve"> REF _Ref531595642 \h </w:instrText>
      </w:r>
      <w:r>
        <w:fldChar w:fldCharType="separate"/>
      </w:r>
      <w:r w:rsidR="00B177F5" w:rsidRPr="00001C61">
        <w:t xml:space="preserve">Figure </w:t>
      </w:r>
      <w:r w:rsidR="00B177F5">
        <w:rPr>
          <w:noProof/>
        </w:rPr>
        <w:t>45</w:t>
      </w:r>
      <w:r>
        <w:fldChar w:fldCharType="end"/>
      </w:r>
      <w:r>
        <w:t xml:space="preserve">, </w:t>
      </w:r>
      <w:r>
        <w:fldChar w:fldCharType="begin"/>
      </w:r>
      <w:r>
        <w:instrText xml:space="preserve"> REF _Ref34248544 \h </w:instrText>
      </w:r>
      <w:r>
        <w:fldChar w:fldCharType="separate"/>
      </w:r>
      <w:r w:rsidR="00B177F5">
        <w:t xml:space="preserve">Figure </w:t>
      </w:r>
      <w:r w:rsidR="00B177F5">
        <w:rPr>
          <w:noProof/>
        </w:rPr>
        <w:t>44</w:t>
      </w:r>
      <w:r>
        <w:fldChar w:fldCharType="end"/>
      </w:r>
      <w:r>
        <w:t xml:space="preserve"> and </w:t>
      </w:r>
      <w:r>
        <w:fldChar w:fldCharType="begin"/>
      </w:r>
      <w:r>
        <w:instrText xml:space="preserve"> REF _Ref531595653 \h </w:instrText>
      </w:r>
      <w:r>
        <w:fldChar w:fldCharType="separate"/>
      </w:r>
      <w:r w:rsidR="00B177F5" w:rsidRPr="00001C61">
        <w:t xml:space="preserve">Figure </w:t>
      </w:r>
      <w:r w:rsidR="00B177F5">
        <w:rPr>
          <w:noProof/>
        </w:rPr>
        <w:t>46</w:t>
      </w:r>
      <w:r>
        <w:fldChar w:fldCharType="end"/>
      </w:r>
      <w:r>
        <w:t>.</w:t>
      </w:r>
      <w:r>
        <w:br/>
        <w:t xml:space="preserve">Data: </w:t>
      </w:r>
      <w:r w:rsidR="00D71ECF">
        <w:t>m</w:t>
      </w:r>
      <w:r w:rsidR="00BE1799">
        <w:t xml:space="preserve">ethane data from </w:t>
      </w:r>
      <w:r w:rsidR="007D476E">
        <w:fldChar w:fldCharType="begin"/>
      </w:r>
      <w:r w:rsidR="007D476E">
        <w:instrText xml:space="preserve"> ADDIN EN.CITE &lt;EndNote&gt;&lt;Cite AuthorYear="1"&gt;&lt;Author&gt;Wilkes&lt;/Author&gt;&lt;Year&gt;2019&lt;/Year&gt;&lt;RecNum&gt;1457&lt;/RecNum&gt;&lt;DisplayText&gt;Wilkes et al. (2019)&lt;/DisplayText&gt;&lt;record&gt;&lt;rec-number&gt;1457&lt;/rec-number&gt;&lt;foreign-keys&gt;&lt;key app="EN" db-id="wdf9tzzdhw2saee559kv0vezt0wfsta0zedv" timestamp="1584491637"&gt;1457&lt;/key&gt;&lt;/foreign-keys&gt;&lt;ref-type name="Report"&gt;27&lt;/ref-type&gt;&lt;contributors&gt;&lt;authors&gt;&lt;author&gt;Wilkes, P.&lt;/author&gt;&lt;author&gt;Rachakonda, P. K.&lt;/author&gt;&lt;author&gt;Larcher, A.&lt;/author&gt;&lt;author&gt;Woltering, M.&lt;/author&gt;&lt;/authors&gt;&lt;/contributors&gt;&lt;titles&gt;&lt;title&gt;Baseline assessment of groundwater characteristics in the Beetaloo Sub-basin, NT. Geochemistry Analysis report to the Gas Industry Social and Environmental Research Alliance (GISERA)&lt;/title&gt;&lt;/titles&gt;&lt;dates&gt;&lt;year&gt;2019&lt;/year&gt;&lt;/dates&gt;&lt;pub-location&gt;Canberra&lt;/pub-location&gt;&lt;publisher&gt;CSIRO&lt;/publisher&gt;&lt;urls&gt;&lt;related-urls&gt;&lt;url&gt;https://gisera.csiro.au/wp-content/uploads/2019/09/GISERA-W16-Task-4-Report_.pdf&lt;/url&gt;&lt;/related-urls&gt;&lt;/urls&gt;&lt;access-date&gt;20 November 2019&lt;/access-date&gt;&lt;/record&gt;&lt;/Cite&gt;&lt;/EndNote&gt;</w:instrText>
      </w:r>
      <w:r w:rsidR="007D476E">
        <w:fldChar w:fldCharType="separate"/>
      </w:r>
      <w:r w:rsidR="007D476E">
        <w:rPr>
          <w:noProof/>
        </w:rPr>
        <w:t>Wilkes et al. (2019)</w:t>
      </w:r>
      <w:r w:rsidR="007D476E">
        <w:fldChar w:fldCharType="end"/>
      </w:r>
      <w:r w:rsidR="0014742E">
        <w:t xml:space="preserve">, </w:t>
      </w:r>
      <w:r w:rsidR="00FC171F">
        <w:t>springs EC values obtained from</w:t>
      </w:r>
      <w:r w:rsidR="007D476E">
        <w:t xml:space="preserve"> </w:t>
      </w:r>
      <w:r w:rsidR="007D476E">
        <w:fldChar w:fldCharType="begin"/>
      </w:r>
      <w:r w:rsidR="007D476E">
        <w:instrText xml:space="preserve"> ADDIN EN.CITE &lt;EndNote&gt;&lt;Cite AuthorYear="1"&gt;&lt;Author&gt;Department of Environment and Natural Resources (NT)&lt;/Author&gt;&lt;Year&gt;2013&lt;/Year&gt;&lt;RecNum&gt;830&lt;/RecNum&gt;&lt;DisplayText&gt;Department of Environment and Natural Resources (NT) (2013)&lt;/DisplayText&gt;&lt;record&gt;&lt;rec-number&gt;830&lt;/rec-number&gt;&lt;foreign-keys&gt;&lt;key app="EN" db-id="wdf9tzzdhw2saee559kv0vezt0wfsta0zedv" timestamp="1553215245"&gt;830&lt;/key&gt;&lt;/foreign-keys&gt;&lt;ref-type name="Dataset"&gt;59&lt;/ref-type&gt;&lt;contributors&gt;&lt;authors&gt;&lt;author&gt;Department of Environment and Natural Resources (NT),&lt;/author&gt;&lt;/authors&gt;&lt;secondary-authors&gt;&lt;author&gt;,&lt;/author&gt;&lt;/secondary-authors&gt;&lt;/contributors&gt;&lt;titles&gt;&lt;title&gt;Springs of the Northern Territory&lt;/title&gt;&lt;/titles&gt;&lt;keywords&gt;&lt;keyword&gt;WATER Hydrology Mapping, ECOLOGY biophysical, WATER Hydrology Mapping&lt;/keyword&gt;&lt;/keywords&gt;&lt;dates&gt;&lt;year&gt;2013&lt;/year&gt;&lt;/dates&gt;&lt;pub-location&gt;Canberra&lt;/pub-location&gt;&lt;label&gt;1D351848-02FB-4E90-9390-4E2F895B9F89&lt;/label&gt;&lt;urls&gt;&lt;related-urls&gt;&lt;url&gt;http://www.ntlis.nt.gov.au/metadata/export_data?type=html&amp;amp;metadata_id=E9D78F668FC02B33E040CD9B214403C3&lt;/url&gt;&lt;/related-urls&gt;&lt;/urls&gt;&lt;custom2&gt;unit of observation&lt;/custom2&gt;&lt;custom3&gt;spatial&lt;/custom3&gt;&lt;custom4&gt;dataset&lt;/custom4&gt;&lt;access-date&gt;20 March 2019&lt;/access-date&gt;&lt;/record&gt;&lt;/Cite&gt;&lt;/EndNote&gt;</w:instrText>
      </w:r>
      <w:r w:rsidR="007D476E">
        <w:fldChar w:fldCharType="separate"/>
      </w:r>
      <w:r w:rsidR="007D476E">
        <w:rPr>
          <w:noProof/>
        </w:rPr>
        <w:t>Department of Environment and Natural Resources (NT) (2013)</w:t>
      </w:r>
      <w:r w:rsidR="007D476E">
        <w:fldChar w:fldCharType="end"/>
      </w:r>
      <w:r w:rsidR="002A6848">
        <w:t xml:space="preserve">, faults from </w:t>
      </w:r>
      <w:r w:rsidR="00FB498B" w:rsidRPr="000C31B4">
        <w:fldChar w:fldCharType="begin"/>
      </w:r>
      <w:r w:rsidR="00F76E0D">
        <w:instrText xml:space="preserve"> ADDIN EN.CITE &lt;EndNote&gt;&lt;Cite AuthorYear="1"&gt;&lt;Author&gt;Betts&lt;/Author&gt;&lt;Year&gt;2015&lt;/Year&gt;&lt;RecNum&gt;804&lt;/RecNum&gt;&lt;DisplayText&gt;Betts et al. (2015)&lt;/DisplayText&gt;&lt;record&gt;&lt;rec-number&gt;804&lt;/rec-number&gt;&lt;foreign-keys&gt;&lt;key app="EN" db-id="wdf9tzzdhw2saee559kv0vezt0wfsta0zedv" timestamp="1552630691"&gt;804&lt;/key&gt;&lt;/foreign-keys&gt;&lt;ref-type name="Report"&gt;27&lt;/ref-type&gt;&lt;contributors&gt;&lt;authors&gt;&lt;author&gt;Betts, P.&lt;/author&gt;&lt;author&gt;Armit, R.&lt;/author&gt;&lt;author&gt;Ailleres, L.&lt;/author&gt;&lt;/authors&gt;&lt;tertiary-authors&gt;&lt;author&gt;Northern Territory Geological Survey&lt;/author&gt;&lt;/tertiary-authors&gt;&lt;subsidiary-authors&gt;&lt;author&gt;Department of Mines and Energy&lt;/author&gt;&lt;/subsidiary-authors&gt;&lt;/contributors&gt;&lt;titles&gt;&lt;title&gt;Potential-field interpretation mapping of the greater McArthur Basin. PGN Geoscience Report 15/2014&lt;/title&gt;&lt;secondary-title&gt;&amp;apos;Geophysical and structural interpretation of the greater McArthur Basin&amp;apos;. Northern Territory Geological Survey, Digital Information Package DIP 015&lt;/secondary-title&gt;&lt;/titles&gt;&lt;pages&gt;70&lt;/pages&gt;&lt;dates&gt;&lt;year&gt;2015&lt;/year&gt;&lt;/dates&gt;&lt;pub-location&gt;Darwin&lt;/pub-location&gt;&lt;publisher&gt;Northern Territory Geological Survey&lt;/publisher&gt;&lt;urls&gt;&lt;related-urls&gt;&lt;url&gt;&lt;style face="underline" font="default" size="100%"&gt;https://geoscience.nt.gov.au/gemis/ntgsjspui/handle/1/81754&lt;/style&gt;&lt;/url&gt;&lt;/related-urls&gt;&lt;/urls&gt;&lt;access-date&gt;24 October 2019&lt;/access-date&gt;&lt;/record&gt;&lt;/Cite&gt;&lt;/EndNote&gt;</w:instrText>
      </w:r>
      <w:r w:rsidR="00FB498B" w:rsidRPr="000C31B4">
        <w:fldChar w:fldCharType="separate"/>
      </w:r>
      <w:r w:rsidR="00260364">
        <w:rPr>
          <w:noProof/>
        </w:rPr>
        <w:t>Betts et al. (2015)</w:t>
      </w:r>
      <w:r w:rsidR="00FB498B" w:rsidRPr="000C31B4">
        <w:fldChar w:fldCharType="end"/>
      </w:r>
      <w:r w:rsidR="00572EF6" w:rsidRPr="0040693F">
        <w:br/>
        <w:t>Element: GBA-BEE-2-</w:t>
      </w:r>
      <w:r w:rsidR="00C63D46">
        <w:t>423</w:t>
      </w:r>
      <w:r w:rsidR="00572EF6" w:rsidRPr="00A674A1">
        <w:br w:type="page"/>
      </w:r>
    </w:p>
    <w:p w14:paraId="7E40B31C" w14:textId="77777777" w:rsidR="00572EF6" w:rsidRDefault="00572EF6" w:rsidP="00572EF6">
      <w:pPr>
        <w:pStyle w:val="Figures"/>
      </w:pPr>
      <w:r>
        <w:rPr>
          <w:noProof/>
        </w:rPr>
        <w:drawing>
          <wp:inline distT="0" distB="0" distL="0" distR="0" wp14:anchorId="640102A8" wp14:editId="15CFC1EC">
            <wp:extent cx="6024478" cy="558519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cstate="screen">
                      <a:extLst>
                        <a:ext uri="{28A0092B-C50C-407E-A947-70E740481C1C}">
                          <a14:useLocalDpi xmlns:a14="http://schemas.microsoft.com/office/drawing/2010/main" val="0"/>
                        </a:ext>
                      </a:extLst>
                    </a:blip>
                    <a:stretch>
                      <a:fillRect/>
                    </a:stretch>
                  </pic:blipFill>
                  <pic:spPr>
                    <a:xfrm>
                      <a:off x="0" y="0"/>
                      <a:ext cx="6024478" cy="5585194"/>
                    </a:xfrm>
                    <a:prstGeom prst="rect">
                      <a:avLst/>
                    </a:prstGeom>
                  </pic:spPr>
                </pic:pic>
              </a:graphicData>
            </a:graphic>
          </wp:inline>
        </w:drawing>
      </w:r>
    </w:p>
    <w:p w14:paraId="13242E23" w14:textId="2B4AAB6D" w:rsidR="00572EF6" w:rsidRPr="00001C61" w:rsidRDefault="00572EF6" w:rsidP="00572EF6">
      <w:pPr>
        <w:pStyle w:val="Caption"/>
      </w:pPr>
      <w:bookmarkStart w:id="729" w:name="_Ref34248398"/>
      <w:bookmarkStart w:id="730" w:name="_Toc38990486"/>
      <w:r>
        <w:t xml:space="preserve">Figure </w:t>
      </w:r>
      <w:r w:rsidRPr="52036272">
        <w:rPr>
          <w:rFonts w:asciiTheme="minorHAnsi" w:hAnsiTheme="minorHAnsi" w:cstheme="minorBidi"/>
        </w:rPr>
        <w:fldChar w:fldCharType="begin"/>
      </w:r>
      <w:r w:rsidRPr="52036272">
        <w:rPr>
          <w:rFonts w:asciiTheme="minorHAnsi" w:hAnsiTheme="minorHAnsi" w:cstheme="minorBidi"/>
        </w:rPr>
        <w:instrText xml:space="preserve"> SEQ Figure \* ARABIC </w:instrText>
      </w:r>
      <w:r w:rsidRPr="52036272">
        <w:rPr>
          <w:rFonts w:asciiTheme="minorHAnsi" w:hAnsiTheme="minorHAnsi" w:cstheme="minorBidi"/>
        </w:rPr>
        <w:fldChar w:fldCharType="separate"/>
      </w:r>
      <w:r w:rsidR="00B177F5">
        <w:rPr>
          <w:rFonts w:asciiTheme="minorHAnsi" w:hAnsiTheme="minorHAnsi" w:cstheme="minorBidi"/>
          <w:noProof/>
        </w:rPr>
        <w:t>32</w:t>
      </w:r>
      <w:r w:rsidRPr="52036272">
        <w:rPr>
          <w:rFonts w:asciiTheme="minorHAnsi" w:hAnsiTheme="minorHAnsi" w:cstheme="minorBidi"/>
        </w:rPr>
        <w:fldChar w:fldCharType="end"/>
      </w:r>
      <w:bookmarkEnd w:id="729"/>
      <w:r>
        <w:t xml:space="preserve"> Cluster membership of aquifers and surface water in the Beetaloo GBA extended region</w:t>
      </w:r>
      <w:bookmarkEnd w:id="730"/>
    </w:p>
    <w:p w14:paraId="6E0ABD05" w14:textId="56083364" w:rsidR="00572EF6" w:rsidRPr="008610F9" w:rsidRDefault="00D71ECF" w:rsidP="00572EF6">
      <w:pPr>
        <w:pStyle w:val="SourceornoteforTableorFigure"/>
      </w:pPr>
      <w:r>
        <w:t>(a</w:t>
      </w:r>
      <w:r w:rsidR="00572EF6">
        <w:t>) The width of the bars represents the relative percentage of groundwater records assigned to each cluster. The numbers in brackets behind the hydrostratigraphic unit corresponds to the number of records for each formation.</w:t>
      </w:r>
      <w:r w:rsidR="00572EF6">
        <w:br/>
      </w:r>
      <w:r>
        <w:t>(b</w:t>
      </w:r>
      <w:r w:rsidR="00572EF6">
        <w:t xml:space="preserve">) The piper plot shows the median concentrations of the different clusters as outlined in </w:t>
      </w:r>
      <w:r>
        <w:fldChar w:fldCharType="begin"/>
      </w:r>
      <w:r>
        <w:instrText xml:space="preserve"> REF _Ref34249179 \h </w:instrText>
      </w:r>
      <w:r>
        <w:fldChar w:fldCharType="separate"/>
      </w:r>
      <w:r w:rsidR="00B177F5">
        <w:t xml:space="preserve">Table </w:t>
      </w:r>
      <w:r w:rsidR="00B177F5">
        <w:rPr>
          <w:noProof/>
        </w:rPr>
        <w:t>7</w:t>
      </w:r>
      <w:r>
        <w:fldChar w:fldCharType="end"/>
      </w:r>
      <w:r w:rsidR="00572EF6">
        <w:t>.</w:t>
      </w:r>
      <w:r w:rsidR="00572EF6">
        <w:br/>
        <w:t xml:space="preserve">Samples from Bukalara Sandstone and Proterozoic are from shallow bores that are not located in the Beetaloo GBA region. The values may not </w:t>
      </w:r>
      <w:r w:rsidR="00306623">
        <w:t>necessarily be</w:t>
      </w:r>
      <w:r w:rsidR="00572EF6">
        <w:t xml:space="preserve"> representative of the hydrochemistry of these units at depth </w:t>
      </w:r>
      <w:r w:rsidR="00572EF6">
        <w:br/>
        <w:t xml:space="preserve">Data: </w:t>
      </w:r>
      <w:r w:rsidR="006E28BF">
        <w:fldChar w:fldCharType="begin"/>
      </w:r>
      <w:r w:rsidR="00113630">
        <w:instrText xml:space="preserve"> ADDIN EN.CITE &lt;EndNote&gt;&lt;Cite AuthorYear="1"&gt;&lt;Author&gt;Geological and Bioregional Assessment Program&lt;/Author&gt;&lt;Year&gt;2019&lt;/Year&gt;&lt;RecNum&gt;1432&lt;/RecNum&gt;&lt;DisplayText&gt;Geological and Bioregional Assessment Program (2019d)&lt;/DisplayText&gt;&lt;record&gt;&lt;rec-number&gt;1432&lt;/rec-number&gt;&lt;foreign-keys&gt;&lt;key app="EN" db-id="wdf9tzzdhw2saee559kv0vezt0wfsta0zedv" timestamp="1583207810"&gt;1432&lt;/key&gt;&lt;/foreign-keys&gt;&lt;ref-type name="Dataset"&gt;59&lt;/ref-type&gt;&lt;contributors&gt;&lt;authors&gt;&lt;author&gt;Geological and Bioregional Assessment Program,&lt;/author&gt;&lt;/authors&gt;&lt;secondary-authors&gt;&lt;author&gt;CSIRO,&lt;/author&gt;&lt;/secondary-authors&gt;&lt;/contributors&gt;&lt;titles&gt;&lt;title&gt;Beetaloo GBA Groundwater and surface water sample locations included in hydrochemical cluster analysis by CSIRO&lt;/title&gt;&lt;/titles&gt;&lt;keywords&gt;&lt;keyword&gt;Groundwater&lt;/keyword&gt;&lt;/keywords&gt;&lt;dates&gt;&lt;year&gt;2019&lt;/year&gt;&lt;/dates&gt;&lt;pub-location&gt;Canberra&lt;/pub-location&gt;&lt;label&gt;52556C6B-A44C-4AD4-8FB4-F9F609B1E228&lt;/label&gt;&lt;urls&gt;&lt;related-urls&gt;&lt;url&gt;https://repo.bioregionalassessments.gov.au/metadata/52556C6B-A44C-4AD4-8FB4-F9F609B1E228&lt;/url&gt;&lt;/related-urls&gt;&lt;/urls&gt;&lt;custom2&gt;unit of observation&lt;/custom2&gt;&lt;custom3&gt;tabular&lt;/custom3&gt;&lt;custom4&gt;dataset&lt;/custom4&gt;&lt;access-date&gt;28 February 2020&lt;/access-date&gt;&lt;/record&gt;&lt;/Cite&gt;&lt;/EndNote&gt;</w:instrText>
      </w:r>
      <w:r w:rsidR="006E28BF">
        <w:fldChar w:fldCharType="separate"/>
      </w:r>
      <w:r w:rsidR="00113630">
        <w:rPr>
          <w:noProof/>
        </w:rPr>
        <w:t>Geological and Bioregional Assessment Program (2019d)</w:t>
      </w:r>
      <w:r w:rsidR="006E28BF">
        <w:fldChar w:fldCharType="end"/>
      </w:r>
      <w:r w:rsidR="00572EF6">
        <w:br/>
        <w:t xml:space="preserve">Element: GBA-BEE-2-349 </w:t>
      </w:r>
    </w:p>
    <w:p w14:paraId="2D024D86" w14:textId="3BD25E20" w:rsidR="00572EF6" w:rsidRPr="008610F9" w:rsidRDefault="00572EF6" w:rsidP="00572EF6">
      <w:pPr>
        <w:pStyle w:val="BodyText"/>
      </w:pPr>
      <w:r>
        <w:t xml:space="preserve">Approximately 29% of all samples available for this study were sourced from the CLA system; they are mostly assigned to two clusters, with </w:t>
      </w:r>
      <w:r w:rsidR="00D71ECF">
        <w:t xml:space="preserve">approximately </w:t>
      </w:r>
      <w:r>
        <w:t xml:space="preserve">17% of the hydrochemical records attributed to </w:t>
      </w:r>
      <w:r w:rsidR="002E1294">
        <w:t>C</w:t>
      </w:r>
      <w:r>
        <w:t>luster 2 corresponding to lower CLA aquifers (Tindall, Gum Ridge and Montejinni) and 12% of samples assigned to Cluster 4 originating from the upper CLA (Jinduckin, Anthony Lagoon and Hooker Creek).</w:t>
      </w:r>
    </w:p>
    <w:p w14:paraId="4C64C5F3" w14:textId="232D17E2" w:rsidR="00572EF6" w:rsidRPr="008610F9" w:rsidRDefault="00572EF6" w:rsidP="00572EF6">
      <w:pPr>
        <w:pStyle w:val="BodyText"/>
        <w:rPr>
          <w:highlight w:val="yellow"/>
        </w:rPr>
      </w:pPr>
      <w:r w:rsidRPr="008610F9">
        <w:t>As described above, 203 sample records from the combined CLA system (</w:t>
      </w:r>
      <w:r>
        <w:t>u</w:t>
      </w:r>
      <w:r w:rsidRPr="008610F9">
        <w:t xml:space="preserve">pper and </w:t>
      </w:r>
      <w:r>
        <w:t>l</w:t>
      </w:r>
      <w:r w:rsidRPr="008610F9">
        <w:t xml:space="preserve">ower) are assigned </w:t>
      </w:r>
      <w:r w:rsidRPr="009C200B">
        <w:t xml:space="preserve">to </w:t>
      </w:r>
      <w:r>
        <w:t>C</w:t>
      </w:r>
      <w:r w:rsidRPr="009C200B">
        <w:t>luster 4, which</w:t>
      </w:r>
      <w:r w:rsidRPr="008610F9">
        <w:t xml:space="preserve"> has the highest me</w:t>
      </w:r>
      <w:r>
        <w:t>dian</w:t>
      </w:r>
      <w:r w:rsidRPr="008610F9">
        <w:t xml:space="preserve"> </w:t>
      </w:r>
      <w:r>
        <w:t>e</w:t>
      </w:r>
      <w:r w:rsidRPr="008610F9">
        <w:t xml:space="preserve">lectrical </w:t>
      </w:r>
      <w:r>
        <w:t>c</w:t>
      </w:r>
      <w:r w:rsidRPr="008610F9">
        <w:t>onductivity (EC) (1860 µS/cm), the lowest HCO</w:t>
      </w:r>
      <w:r w:rsidRPr="00533E2A">
        <w:rPr>
          <w:rStyle w:val="Subscript"/>
        </w:rPr>
        <w:t>3</w:t>
      </w:r>
      <w:r w:rsidRPr="008610F9">
        <w:t xml:space="preserve">/Cl ratio, </w:t>
      </w:r>
      <w:r>
        <w:t xml:space="preserve">a </w:t>
      </w:r>
      <w:r w:rsidRPr="008610F9">
        <w:t>predominance of Na over Ca and Mg</w:t>
      </w:r>
      <w:r>
        <w:t>,</w:t>
      </w:r>
      <w:r w:rsidRPr="008610F9">
        <w:t xml:space="preserve"> and the highest SO</w:t>
      </w:r>
      <w:r w:rsidRPr="00533E2A">
        <w:rPr>
          <w:rStyle w:val="Subscript"/>
        </w:rPr>
        <w:t>4</w:t>
      </w:r>
      <w:r w:rsidRPr="008610F9">
        <w:t xml:space="preserve"> among all clusters</w:t>
      </w:r>
      <w:r>
        <w:t xml:space="preserve"> </w:t>
      </w:r>
      <w:r w:rsidRPr="008610F9">
        <w:t>(</w:t>
      </w:r>
      <w:r w:rsidR="005A6E56">
        <w:fldChar w:fldCharType="begin"/>
      </w:r>
      <w:r w:rsidR="005A6E56">
        <w:instrText xml:space="preserve"> REF _Ref34248398 \h </w:instrText>
      </w:r>
      <w:r w:rsidR="005A6E56">
        <w:fldChar w:fldCharType="separate"/>
      </w:r>
      <w:r w:rsidR="00B177F5">
        <w:t xml:space="preserve">Figure </w:t>
      </w:r>
      <w:r w:rsidR="00B177F5">
        <w:rPr>
          <w:rFonts w:asciiTheme="minorHAnsi" w:hAnsiTheme="minorHAnsi" w:cstheme="minorBidi"/>
          <w:noProof/>
        </w:rPr>
        <w:t>32</w:t>
      </w:r>
      <w:r w:rsidR="005A6E56">
        <w:fldChar w:fldCharType="end"/>
      </w:r>
      <w:r w:rsidR="005A6E56">
        <w:t>)</w:t>
      </w:r>
      <w:r w:rsidRPr="008610F9">
        <w:t>.</w:t>
      </w:r>
    </w:p>
    <w:p w14:paraId="510AE4ED" w14:textId="77777777" w:rsidR="00572EF6" w:rsidRPr="008610F9" w:rsidRDefault="00572EF6" w:rsidP="00572EF6">
      <w:pPr>
        <w:pStyle w:val="BodyText"/>
      </w:pPr>
      <w:r w:rsidRPr="009C200B">
        <w:t>Cluster 2 has the second</w:t>
      </w:r>
      <w:r w:rsidRPr="008610F9">
        <w:t xml:space="preserve"> highest me</w:t>
      </w:r>
      <w:r>
        <w:t>dian</w:t>
      </w:r>
      <w:r w:rsidRPr="008610F9">
        <w:t xml:space="preserve"> salinity among all samples (EC of 1490 µS/cm) and is represented predominantly by samples from </w:t>
      </w:r>
      <w:r>
        <w:t>the l</w:t>
      </w:r>
      <w:r w:rsidRPr="008610F9">
        <w:t>ower CLA (148 samples)</w:t>
      </w:r>
      <w:r>
        <w:t>. It is characterised by a</w:t>
      </w:r>
      <w:r w:rsidRPr="008610F9">
        <w:t xml:space="preserve"> dominance of Cl over HCO</w:t>
      </w:r>
      <w:r w:rsidRPr="00533E2A">
        <w:rPr>
          <w:rStyle w:val="Subscript"/>
        </w:rPr>
        <w:t>3</w:t>
      </w:r>
      <w:r w:rsidRPr="008610F9">
        <w:t xml:space="preserve"> and SO</w:t>
      </w:r>
      <w:r w:rsidRPr="00533E2A">
        <w:rPr>
          <w:rStyle w:val="Subscript"/>
        </w:rPr>
        <w:t>4</w:t>
      </w:r>
      <w:r w:rsidRPr="008610F9">
        <w:t xml:space="preserve"> and Na + K over Ca and Mg.</w:t>
      </w:r>
    </w:p>
    <w:p w14:paraId="29FD3649" w14:textId="627589FD" w:rsidR="00572EF6" w:rsidRPr="008610F9" w:rsidRDefault="00572EF6" w:rsidP="00572EF6">
      <w:pPr>
        <w:pStyle w:val="BodyText"/>
      </w:pPr>
      <w:r>
        <w:t xml:space="preserve">Majority of samples in HCA clusters 1 and 5 are from the CLA, corresponding to </w:t>
      </w:r>
      <w:r w:rsidR="00D71ECF">
        <w:t xml:space="preserve">approximately </w:t>
      </w:r>
      <w:r>
        <w:t>13% each of all samples (n=112 and 110, respectively). Cluster 1 has the third highest median salinity (EC of 985 µS/cm) and similar ionic ratios to Cluster 2 (</w:t>
      </w:r>
      <w:r w:rsidR="007B5D99">
        <w:fldChar w:fldCharType="begin"/>
      </w:r>
      <w:r w:rsidR="007B5D99">
        <w:instrText xml:space="preserve"> REF _Ref34248398 \h </w:instrText>
      </w:r>
      <w:r w:rsidR="007B5D99">
        <w:fldChar w:fldCharType="separate"/>
      </w:r>
      <w:r w:rsidR="00B177F5">
        <w:t xml:space="preserve">Figure </w:t>
      </w:r>
      <w:r w:rsidR="00B177F5">
        <w:rPr>
          <w:rFonts w:asciiTheme="minorHAnsi" w:hAnsiTheme="minorHAnsi" w:cstheme="minorBidi"/>
          <w:noProof/>
        </w:rPr>
        <w:t>32</w:t>
      </w:r>
      <w:r w:rsidR="007B5D99">
        <w:fldChar w:fldCharType="end"/>
      </w:r>
      <w:r>
        <w:t>). The largest number of samples (n=24) from the Antrim Plateau Volcanics are assigned to Cluster 2. This suggests that it would be difficult to differentiate using chemistry alone</w:t>
      </w:r>
      <w:r w:rsidR="00306623">
        <w:t>, waters</w:t>
      </w:r>
      <w:r>
        <w:t xml:space="preserve"> from the Antrim Plateau Volcanics from those in the lower CLA.</w:t>
      </w:r>
    </w:p>
    <w:p w14:paraId="72184E5B" w14:textId="77777777" w:rsidR="00572EF6" w:rsidRPr="009C200B" w:rsidRDefault="00572EF6" w:rsidP="00572EF6">
      <w:pPr>
        <w:pStyle w:val="BodyText"/>
      </w:pPr>
      <w:r w:rsidRPr="009C200B">
        <w:t>Cluster 5 has the second freshest median EC value (701 µS/cm), with very strong dominance of HCO</w:t>
      </w:r>
      <w:r w:rsidRPr="00533E2A">
        <w:rPr>
          <w:rStyle w:val="Subscript"/>
        </w:rPr>
        <w:t>3</w:t>
      </w:r>
      <w:r w:rsidRPr="009C200B">
        <w:t xml:space="preserve"> over Cl/SO</w:t>
      </w:r>
      <w:r w:rsidRPr="00533E2A">
        <w:rPr>
          <w:rStyle w:val="Subscript"/>
        </w:rPr>
        <w:t xml:space="preserve">4 </w:t>
      </w:r>
      <w:r w:rsidRPr="009C200B">
        <w:t>and</w:t>
      </w:r>
      <w:r w:rsidRPr="00533E2A">
        <w:rPr>
          <w:rStyle w:val="Subscript"/>
        </w:rPr>
        <w:t xml:space="preserve"> </w:t>
      </w:r>
      <w:r w:rsidRPr="009C200B">
        <w:t>dominance of Ca+Mg over Na+K, which indicates the influence of recharge and less potential for mixing and interaction with underlying Proterozoic units.</w:t>
      </w:r>
    </w:p>
    <w:p w14:paraId="2982EFF9" w14:textId="551EC6B4" w:rsidR="00572EF6" w:rsidRDefault="00572EF6" w:rsidP="00572EF6">
      <w:pPr>
        <w:pStyle w:val="BodyText"/>
      </w:pPr>
      <w:r>
        <w:t xml:space="preserve">Cluster 3 presents the lowest mean EC value among all groups (118 µS/cm) and is dominated by surface water samples (n=15 out of 21), Proterozoic (n=13) and </w:t>
      </w:r>
      <w:r w:rsidR="00306623">
        <w:t>Bukalara</w:t>
      </w:r>
      <w:r>
        <w:t xml:space="preserve"> Sandstone (n=4). Groundwaters in this cluster are characterised by dominance of ions Na+K and HCO</w:t>
      </w:r>
      <w:r w:rsidRPr="68E66425">
        <w:rPr>
          <w:rStyle w:val="Subscript"/>
        </w:rPr>
        <w:t>3</w:t>
      </w:r>
      <w:r>
        <w:t xml:space="preserve">. As discussed in Section </w:t>
      </w:r>
      <w:r>
        <w:fldChar w:fldCharType="begin"/>
      </w:r>
      <w:r>
        <w:instrText xml:space="preserve"> REF _Ref14787265 \r \h  \* MERGEFORMAT </w:instrText>
      </w:r>
      <w:r>
        <w:fldChar w:fldCharType="separate"/>
      </w:r>
      <w:r w:rsidR="00B177F5">
        <w:t>3.4.2.1</w:t>
      </w:r>
      <w:r>
        <w:fldChar w:fldCharType="end"/>
      </w:r>
      <w:r>
        <w:t>, groundwater chemistry data obtained from the Proterozoic system is predominantly from bores located near areas of outcrop, outside of the Beetaloo GBA region.</w:t>
      </w:r>
    </w:p>
    <w:p w14:paraId="66D0DBF2" w14:textId="08220A10" w:rsidR="004C61C4" w:rsidRPr="00B82D7D" w:rsidRDefault="004C61C4" w:rsidP="004C61C4">
      <w:pPr>
        <w:pStyle w:val="BodyText"/>
        <w:rPr>
          <w:rFonts w:cstheme="minorHAnsi"/>
        </w:rPr>
      </w:pPr>
      <w:r>
        <w:rPr>
          <w:rFonts w:cstheme="minorHAnsi"/>
        </w:rPr>
        <w:t>There also appears to be a</w:t>
      </w:r>
      <w:r w:rsidRPr="00B82D7D">
        <w:rPr>
          <w:rFonts w:cstheme="minorHAnsi"/>
        </w:rPr>
        <w:t xml:space="preserve"> spat</w:t>
      </w:r>
      <w:r>
        <w:rPr>
          <w:rFonts w:cstheme="minorHAnsi"/>
        </w:rPr>
        <w:t xml:space="preserve">ial control </w:t>
      </w:r>
      <w:r w:rsidRPr="00B82D7D">
        <w:rPr>
          <w:rFonts w:cstheme="minorHAnsi"/>
        </w:rPr>
        <w:t>on the distribution of hydrochemical clusters in the Beetaloo GBA region</w:t>
      </w:r>
      <w:r>
        <w:rPr>
          <w:rFonts w:cstheme="minorHAnsi"/>
        </w:rPr>
        <w:t xml:space="preserve"> </w:t>
      </w:r>
      <w:r w:rsidR="007B5D99">
        <w:rPr>
          <w:rFonts w:cstheme="minorHAnsi"/>
        </w:rPr>
        <w:t>(</w:t>
      </w:r>
      <w:r w:rsidR="007B5D99">
        <w:rPr>
          <w:rFonts w:cstheme="minorHAnsi"/>
        </w:rPr>
        <w:fldChar w:fldCharType="begin"/>
      </w:r>
      <w:r w:rsidR="007B5D99">
        <w:rPr>
          <w:rFonts w:cstheme="minorHAnsi"/>
        </w:rPr>
        <w:instrText xml:space="preserve"> REF _Ref34248436 \h </w:instrText>
      </w:r>
      <w:r w:rsidR="007B5D99">
        <w:rPr>
          <w:rFonts w:cstheme="minorHAnsi"/>
        </w:rPr>
      </w:r>
      <w:r w:rsidR="007B5D99">
        <w:rPr>
          <w:rFonts w:cstheme="minorHAnsi"/>
        </w:rPr>
        <w:fldChar w:fldCharType="separate"/>
      </w:r>
      <w:r w:rsidR="00B177F5">
        <w:t xml:space="preserve">Figure </w:t>
      </w:r>
      <w:r w:rsidR="00B177F5">
        <w:rPr>
          <w:rFonts w:asciiTheme="minorHAnsi" w:hAnsiTheme="minorHAnsi" w:cstheme="minorBidi"/>
          <w:noProof/>
        </w:rPr>
        <w:t>33</w:t>
      </w:r>
      <w:r w:rsidR="007B5D99">
        <w:rPr>
          <w:rFonts w:cstheme="minorHAnsi"/>
        </w:rPr>
        <w:fldChar w:fldCharType="end"/>
      </w:r>
      <w:r w:rsidR="007B5D99">
        <w:rPr>
          <w:rFonts w:cstheme="minorHAnsi"/>
        </w:rPr>
        <w:t xml:space="preserve">). </w:t>
      </w:r>
      <w:r w:rsidRPr="00B82D7D">
        <w:rPr>
          <w:rFonts w:cstheme="minorHAnsi"/>
        </w:rPr>
        <w:t xml:space="preserve">The great majority (94%) of samples assigned to </w:t>
      </w:r>
      <w:r>
        <w:rPr>
          <w:rFonts w:cstheme="minorHAnsi"/>
        </w:rPr>
        <w:t>C</w:t>
      </w:r>
      <w:r w:rsidRPr="00B82D7D">
        <w:rPr>
          <w:rFonts w:cstheme="minorHAnsi"/>
        </w:rPr>
        <w:t xml:space="preserve">luster 5 is </w:t>
      </w:r>
      <w:r>
        <w:rPr>
          <w:rFonts w:cstheme="minorHAnsi"/>
        </w:rPr>
        <w:t>located</w:t>
      </w:r>
      <w:r w:rsidRPr="00B82D7D">
        <w:rPr>
          <w:rFonts w:cstheme="minorHAnsi"/>
        </w:rPr>
        <w:t xml:space="preserve"> </w:t>
      </w:r>
      <w:r w:rsidR="00D71ECF">
        <w:rPr>
          <w:rFonts w:cstheme="minorHAnsi"/>
        </w:rPr>
        <w:t xml:space="preserve">in </w:t>
      </w:r>
      <w:r>
        <w:rPr>
          <w:rFonts w:cstheme="minorHAnsi"/>
        </w:rPr>
        <w:t xml:space="preserve">Wiso Basin in the </w:t>
      </w:r>
      <w:r w:rsidR="00306623">
        <w:rPr>
          <w:rFonts w:cstheme="minorHAnsi"/>
        </w:rPr>
        <w:t>western</w:t>
      </w:r>
      <w:r>
        <w:rPr>
          <w:rFonts w:cstheme="minorHAnsi"/>
        </w:rPr>
        <w:t xml:space="preserve"> part of the Beetaloo GBA region. Furthermore, the</w:t>
      </w:r>
      <w:r w:rsidRPr="00B82D7D">
        <w:rPr>
          <w:rFonts w:cstheme="minorHAnsi"/>
        </w:rPr>
        <w:t xml:space="preserve"> great majority of the samples from this cluster (~70%) </w:t>
      </w:r>
      <w:r>
        <w:rPr>
          <w:rFonts w:cstheme="minorHAnsi"/>
        </w:rPr>
        <w:t xml:space="preserve">are attributed to </w:t>
      </w:r>
      <w:r w:rsidRPr="00B82D7D">
        <w:rPr>
          <w:rFonts w:cstheme="minorHAnsi"/>
        </w:rPr>
        <w:t>the lower CLA aquifer.</w:t>
      </w:r>
    </w:p>
    <w:p w14:paraId="05CD619A" w14:textId="09F8C37B" w:rsidR="0004034C" w:rsidRDefault="5C5372B5" w:rsidP="0004034C">
      <w:pPr>
        <w:pStyle w:val="BodyText"/>
      </w:pPr>
      <w:r>
        <w:t>Similarly, samples assigned to clusters 2 and 4, the clusters with the highest median EC values among the five groups, are predominantly located near the southern and eastern margins of the Beetaloo GBA region, along the Daly Waters High and near the Mataranka Thermal Pools.</w:t>
      </w:r>
    </w:p>
    <w:p w14:paraId="69343025" w14:textId="267F99BA" w:rsidR="5C5372B5" w:rsidRDefault="5C5372B5" w:rsidP="5C5372B5">
      <w:pPr>
        <w:pStyle w:val="BodyText"/>
      </w:pPr>
      <w:r>
        <w:rPr>
          <w:noProof/>
        </w:rPr>
        <w:drawing>
          <wp:inline distT="0" distB="0" distL="0" distR="0" wp14:anchorId="3B4AAAC1" wp14:editId="655E56BC">
            <wp:extent cx="6120000" cy="7182396"/>
            <wp:effectExtent l="0" t="0" r="0" b="0"/>
            <wp:docPr id="2078568600" name="Picture 2078568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cstate="screen">
                      <a:extLst>
                        <a:ext uri="{28A0092B-C50C-407E-A947-70E740481C1C}">
                          <a14:useLocalDpi xmlns:a14="http://schemas.microsoft.com/office/drawing/2010/main" val="0"/>
                        </a:ext>
                      </a:extLst>
                    </a:blip>
                    <a:stretch>
                      <a:fillRect/>
                    </a:stretch>
                  </pic:blipFill>
                  <pic:spPr>
                    <a:xfrm>
                      <a:off x="0" y="0"/>
                      <a:ext cx="6120000" cy="7182396"/>
                    </a:xfrm>
                    <a:prstGeom prst="rect">
                      <a:avLst/>
                    </a:prstGeom>
                  </pic:spPr>
                </pic:pic>
              </a:graphicData>
            </a:graphic>
          </wp:inline>
        </w:drawing>
      </w:r>
    </w:p>
    <w:p w14:paraId="3325F4E9" w14:textId="37AF4584" w:rsidR="0004034C" w:rsidRPr="00150110" w:rsidRDefault="0004034C" w:rsidP="0004034C">
      <w:pPr>
        <w:pStyle w:val="Caption"/>
      </w:pPr>
      <w:bookmarkStart w:id="731" w:name="_Ref34248436"/>
      <w:bookmarkStart w:id="732" w:name="_Toc38990487"/>
      <w:r>
        <w:t xml:space="preserve">Figure </w:t>
      </w:r>
      <w:r>
        <w:fldChar w:fldCharType="begin"/>
      </w:r>
      <w:r w:rsidRPr="52036272">
        <w:rPr>
          <w:rFonts w:asciiTheme="minorHAnsi" w:hAnsiTheme="minorHAnsi" w:cstheme="minorBidi"/>
        </w:rPr>
        <w:instrText xml:space="preserve"> SEQ Figure \* ARABIC </w:instrText>
      </w:r>
      <w:r>
        <w:rPr>
          <w:rFonts w:asciiTheme="minorHAnsi" w:hAnsiTheme="minorHAnsi" w:cstheme="minorBidi"/>
        </w:rPr>
        <w:fldChar w:fldCharType="separate"/>
      </w:r>
      <w:r w:rsidR="00B177F5">
        <w:rPr>
          <w:rFonts w:asciiTheme="minorHAnsi" w:hAnsiTheme="minorHAnsi" w:cstheme="minorBidi"/>
          <w:noProof/>
        </w:rPr>
        <w:t>33</w:t>
      </w:r>
      <w:r>
        <w:fldChar w:fldCharType="end"/>
      </w:r>
      <w:bookmarkEnd w:id="731"/>
      <w:r>
        <w:t xml:space="preserve"> Spatial distribution of different clusters for groundwater and surface water samples across the Beetaloo GBA extended region</w:t>
      </w:r>
      <w:bookmarkEnd w:id="732"/>
    </w:p>
    <w:p w14:paraId="7985C22C" w14:textId="3EFEEB0D" w:rsidR="00736B3E" w:rsidRPr="00736B3E" w:rsidRDefault="00D5341F" w:rsidP="00331469">
      <w:pPr>
        <w:pStyle w:val="SourceornoteforTableorFigure"/>
      </w:pPr>
      <w:r>
        <w:t>EC = electrical conductivity; GW = groundwater; SW = surface water</w:t>
      </w:r>
      <w:r>
        <w:br/>
      </w:r>
      <w:r w:rsidR="0004034C" w:rsidRPr="008057AB">
        <w:t xml:space="preserve">Data: </w:t>
      </w:r>
      <w:r>
        <w:t>a</w:t>
      </w:r>
      <w:r w:rsidR="00A2434C">
        <w:t xml:space="preserve">lluvium footprint from </w:t>
      </w:r>
      <w:r w:rsidR="00A2434C" w:rsidRPr="000C31B4">
        <w:fldChar w:fldCharType="begin"/>
      </w:r>
      <w:r w:rsidR="00A1583F">
        <w:instrText xml:space="preserve"> ADDIN EN.CITE &lt;EndNote&gt;&lt;Cite AuthorYear="1"&gt;&lt;Author&gt;Geoscience Australia&lt;/Author&gt;&lt;Year&gt;2012&lt;/Year&gt;&lt;RecNum&gt;763&lt;/RecNum&gt;&lt;DisplayText&gt;Geoscience Australia (2012)&lt;/DisplayText&gt;&lt;record&gt;&lt;rec-number&gt;763&lt;/rec-number&gt;&lt;foreign-keys&gt;&lt;key app="EN" db-id="wdf9tzzdhw2saee559kv0vezt0wfsta0zedv" timestamp="1551312235"&gt;763&lt;/key&gt;&lt;/foreign-keys&gt;&lt;ref-type name="Dataset"&gt;59&lt;/ref-type&gt;&lt;contributors&gt;&lt;authors&gt;&lt;author&gt;Geoscience Australia,&lt;/author&gt;&lt;/authors&gt;&lt;secondary-authors&gt;&lt;author&gt;Geoscience Australia&lt;/author&gt;&lt;/secondary-authors&gt;&lt;/contributors&gt;&lt;titles&gt;&lt;title&gt;Surface geology of Australia 1:1 million&lt;/title&gt;&lt;/titles&gt;&lt;keywords&gt;&lt;keyword&gt;GEOLOGY Mapping&lt;/keyword&gt;&lt;/keywords&gt;&lt;dates&gt;&lt;year&gt;2012&lt;/year&gt;&lt;/dates&gt;&lt;pub-location&gt;Canberra&lt;/pub-location&gt;&lt;label&gt;A74CCABD-CB40-4741-A301-DAC9F53CEAE1&lt;/label&gt;&lt;urls&gt;&lt;related-urls&gt;&lt;url&gt;http://pid.geoscience.gov.au/dataset/ga/74619&lt;/url&gt;&lt;/related-urls&gt;&lt;/urls&gt;&lt;custom2&gt;unit of observation&lt;/custom2&gt;&lt;custom3&gt;spatial&lt;/custom3&gt;&lt;custom4&gt;dataset&lt;/custom4&gt;&lt;access-date&gt;27 March 2018&lt;/access-date&gt;&lt;/record&gt;&lt;/Cite&gt;&lt;/EndNote&gt;</w:instrText>
      </w:r>
      <w:r w:rsidR="00A2434C" w:rsidRPr="000C31B4">
        <w:fldChar w:fldCharType="separate"/>
      </w:r>
      <w:r w:rsidR="00260364">
        <w:rPr>
          <w:noProof/>
        </w:rPr>
        <w:t>Geoscience Australia (2012)</w:t>
      </w:r>
      <w:r w:rsidR="00A2434C" w:rsidRPr="000C31B4">
        <w:fldChar w:fldCharType="end"/>
      </w:r>
      <w:r w:rsidR="00F00CC6">
        <w:t>; hydrochemistry data used for cluster analysis from</w:t>
      </w:r>
      <w:r w:rsidR="0000286A">
        <w:t xml:space="preserve"> </w:t>
      </w:r>
      <w:r w:rsidR="00315F62">
        <w:fldChar w:fldCharType="begin"/>
      </w:r>
      <w:r w:rsidR="00113630">
        <w:instrText xml:space="preserve"> ADDIN EN.CITE &lt;EndNote&gt;&lt;Cite AuthorYear="1"&gt;&lt;Author&gt;Geological and Bioregional Assessment Program&lt;/Author&gt;&lt;Year&gt;2019&lt;/Year&gt;&lt;RecNum&gt;1432&lt;/RecNum&gt;&lt;DisplayText&gt;Geological and Bioregional Assessment Program (2019d)&lt;/DisplayText&gt;&lt;record&gt;&lt;rec-number&gt;1432&lt;/rec-number&gt;&lt;foreign-keys&gt;&lt;key app="EN" db-id="wdf9tzzdhw2saee559kv0vezt0wfsta0zedv" timestamp="1583207810"&gt;1432&lt;/key&gt;&lt;/foreign-keys&gt;&lt;ref-type name="Dataset"&gt;59&lt;/ref-type&gt;&lt;contributors&gt;&lt;authors&gt;&lt;author&gt;Geological and Bioregional Assessment Program,&lt;/author&gt;&lt;/authors&gt;&lt;secondary-authors&gt;&lt;author&gt;CSIRO,&lt;/author&gt;&lt;/secondary-authors&gt;&lt;/contributors&gt;&lt;titles&gt;&lt;title&gt;Beetaloo GBA Groundwater and surface water sample locations included in hydrochemical cluster analysis by CSIRO&lt;/title&gt;&lt;/titles&gt;&lt;keywords&gt;&lt;keyword&gt;Groundwater&lt;/keyword&gt;&lt;/keywords&gt;&lt;dates&gt;&lt;year&gt;2019&lt;/year&gt;&lt;/dates&gt;&lt;pub-location&gt;Canberra&lt;/pub-location&gt;&lt;label&gt;52556C6B-A44C-4AD4-8FB4-F9F609B1E228&lt;/label&gt;&lt;urls&gt;&lt;related-urls&gt;&lt;url&gt;https://repo.bioregionalassessments.gov.au/metadata/52556C6B-A44C-4AD4-8FB4-F9F609B1E228&lt;/url&gt;&lt;/related-urls&gt;&lt;/urls&gt;&lt;custom2&gt;unit of observation&lt;/custom2&gt;&lt;custom3&gt;tabular&lt;/custom3&gt;&lt;custom4&gt;dataset&lt;/custom4&gt;&lt;access-date&gt;28 February 2020&lt;/access-date&gt;&lt;/record&gt;&lt;/Cite&gt;&lt;/EndNote&gt;</w:instrText>
      </w:r>
      <w:r w:rsidR="00315F62">
        <w:fldChar w:fldCharType="separate"/>
      </w:r>
      <w:r w:rsidR="00113630">
        <w:rPr>
          <w:noProof/>
        </w:rPr>
        <w:t>Geological and Bioregional Assessment Program (2019d)</w:t>
      </w:r>
      <w:r w:rsidR="00315F62">
        <w:fldChar w:fldCharType="end"/>
      </w:r>
      <w:r w:rsidR="00F00CC6">
        <w:t xml:space="preserve">, faults from </w:t>
      </w:r>
      <w:r w:rsidR="00315F62" w:rsidRPr="000C31B4">
        <w:fldChar w:fldCharType="begin"/>
      </w:r>
      <w:r w:rsidR="00F76E0D">
        <w:instrText xml:space="preserve"> ADDIN EN.CITE &lt;EndNote&gt;&lt;Cite AuthorYear="1"&gt;&lt;Author&gt;Betts&lt;/Author&gt;&lt;Year&gt;2015&lt;/Year&gt;&lt;RecNum&gt;804&lt;/RecNum&gt;&lt;DisplayText&gt;Betts et al. (2015)&lt;/DisplayText&gt;&lt;record&gt;&lt;rec-number&gt;804&lt;/rec-number&gt;&lt;foreign-keys&gt;&lt;key app="EN" db-id="wdf9tzzdhw2saee559kv0vezt0wfsta0zedv" timestamp="1552630691"&gt;804&lt;/key&gt;&lt;/foreign-keys&gt;&lt;ref-type name="Report"&gt;27&lt;/ref-type&gt;&lt;contributors&gt;&lt;authors&gt;&lt;author&gt;Betts, P.&lt;/author&gt;&lt;author&gt;Armit, R.&lt;/author&gt;&lt;author&gt;Ailleres, L.&lt;/author&gt;&lt;/authors&gt;&lt;tertiary-authors&gt;&lt;author&gt;Northern Territory Geological Survey&lt;/author&gt;&lt;/tertiary-authors&gt;&lt;subsidiary-authors&gt;&lt;author&gt;Department of Mines and Energy&lt;/author&gt;&lt;/subsidiary-authors&gt;&lt;/contributors&gt;&lt;titles&gt;&lt;title&gt;Potential-field interpretation mapping of the greater McArthur Basin. PGN Geoscience Report 15/2014&lt;/title&gt;&lt;secondary-title&gt;&amp;apos;Geophysical and structural interpretation of the greater McArthur Basin&amp;apos;. Northern Territory Geological Survey, Digital Information Package DIP 015&lt;/secondary-title&gt;&lt;/titles&gt;&lt;pages&gt;70&lt;/pages&gt;&lt;dates&gt;&lt;year&gt;2015&lt;/year&gt;&lt;/dates&gt;&lt;pub-location&gt;Darwin&lt;/pub-location&gt;&lt;publisher&gt;Northern Territory Geological Survey&lt;/publisher&gt;&lt;urls&gt;&lt;related-urls&gt;&lt;url&gt;&lt;style face="underline" font="default" size="100%"&gt;https://geoscience.nt.gov.au/gemis/ntgsjspui/handle/1/81754&lt;/style&gt;&lt;/url&gt;&lt;/related-urls&gt;&lt;/urls&gt;&lt;access-date&gt;24 October 2019&lt;/access-date&gt;&lt;/record&gt;&lt;/Cite&gt;&lt;/EndNote&gt;</w:instrText>
      </w:r>
      <w:r w:rsidR="00315F62" w:rsidRPr="000C31B4">
        <w:fldChar w:fldCharType="separate"/>
      </w:r>
      <w:r w:rsidR="00054600">
        <w:rPr>
          <w:noProof/>
        </w:rPr>
        <w:t>Betts et al. (2015)</w:t>
      </w:r>
      <w:r w:rsidR="00315F62" w:rsidRPr="000C31B4">
        <w:fldChar w:fldCharType="end"/>
      </w:r>
      <w:r w:rsidR="00315F62">
        <w:t xml:space="preserve"> </w:t>
      </w:r>
      <w:r w:rsidR="0004034C" w:rsidRPr="008057AB">
        <w:br/>
        <w:t>Element: GBA-BEE-2-</w:t>
      </w:r>
      <w:r w:rsidR="007A2174">
        <w:t>422</w:t>
      </w:r>
      <w:r w:rsidR="0004034C" w:rsidRPr="008057AB">
        <w:t xml:space="preserve"> </w:t>
      </w:r>
    </w:p>
    <w:p w14:paraId="5B1E139F" w14:textId="25DA55B9" w:rsidR="009676EE" w:rsidRDefault="009676EE" w:rsidP="00C00F6D">
      <w:pPr>
        <w:pStyle w:val="Heading4"/>
      </w:pPr>
      <w:r>
        <w:t>Groundwater quality</w:t>
      </w:r>
      <w:bookmarkEnd w:id="722"/>
      <w:bookmarkEnd w:id="723"/>
    </w:p>
    <w:p w14:paraId="2BE3B1F9" w14:textId="69ED3B38" w:rsidR="009676EE" w:rsidRDefault="009676EE" w:rsidP="00C00F6D">
      <w:pPr>
        <w:pStyle w:val="Heading5"/>
      </w:pPr>
      <w:bookmarkStart w:id="733" w:name="_Ref945596"/>
      <w:bookmarkStart w:id="734" w:name="_Ref14787265"/>
      <w:r>
        <w:t>Roper Group and other Proterozoic</w:t>
      </w:r>
      <w:r w:rsidR="0041133E">
        <w:t xml:space="preserve"> rocks below the Bukalara Sandstone</w:t>
      </w:r>
      <w:r>
        <w:t xml:space="preserve"> </w:t>
      </w:r>
      <w:bookmarkEnd w:id="724"/>
      <w:bookmarkEnd w:id="733"/>
      <w:bookmarkEnd w:id="734"/>
    </w:p>
    <w:p w14:paraId="6B1CA3F9" w14:textId="6FFFF5D1" w:rsidR="00DB515B" w:rsidRDefault="00807829" w:rsidP="00E2259E">
      <w:pPr>
        <w:pStyle w:val="BodyText"/>
      </w:pPr>
      <w:r>
        <w:t>D</w:t>
      </w:r>
      <w:r w:rsidRPr="00271D28">
        <w:t xml:space="preserve">rill stem tests (DST) </w:t>
      </w:r>
      <w:r>
        <w:t>in</w:t>
      </w:r>
      <w:r w:rsidRPr="00271D28">
        <w:t xml:space="preserve"> the </w:t>
      </w:r>
      <w:r w:rsidRPr="00001C61">
        <w:t xml:space="preserve">Jamison </w:t>
      </w:r>
      <w:r w:rsidR="00130DF5" w:rsidRPr="00001C61">
        <w:t>sandstone</w:t>
      </w:r>
      <w:r w:rsidRPr="00001C61">
        <w:t>,</w:t>
      </w:r>
      <w:r w:rsidRPr="00271D28">
        <w:t xml:space="preserve"> Hayfield mudstone and the Moroak Sandstone </w:t>
      </w:r>
      <w:r>
        <w:t xml:space="preserve">indicate </w:t>
      </w:r>
      <w:r w:rsidRPr="00271D28">
        <w:t>extreme variability in Proterozoic salinity levels</w:t>
      </w:r>
      <w:r w:rsidR="00C83B61">
        <w:t xml:space="preserve"> in the Beetaloo GBA region and surrounds</w:t>
      </w:r>
      <w:r w:rsidRPr="00271D28">
        <w:t xml:space="preserve">. </w:t>
      </w:r>
      <w:r w:rsidRPr="00E43A80">
        <w:fldChar w:fldCharType="begin"/>
      </w:r>
      <w:r w:rsidR="008F30E0">
        <w:instrText xml:space="preserve"> ADDIN EN.CITE &lt;EndNote&gt;&lt;Cite AuthorYear="1"&gt;&lt;Author&gt;Fulton&lt;/Author&gt;&lt;Year&gt;2015&lt;/Year&gt;&lt;RecNum&gt;671&lt;/RecNum&gt;&lt;DisplayText&gt;Fulton and Knapton (2015b)&lt;/DisplayText&gt;&lt;record&gt;&lt;rec-number&gt;671&lt;/rec-number&gt;&lt;foreign-keys&gt;&lt;key app="EN" db-id="wdf9tzzdhw2saee559kv0vezt0wfsta0zedv" timestamp="1545264407"&gt;671&lt;/key&gt;&lt;key app="ENWeb" db-id=""&gt;0&lt;/key&gt;&lt;/foreign-keys&gt;&lt;ref-type name="Report"&gt;27&lt;/ref-type&gt;&lt;contributors&gt;&lt;authors&gt;&lt;author&gt;Fulton, S.&lt;/author&gt;&lt;author&gt;Knapton, A.&lt;/author&gt;&lt;/authors&gt;&lt;/contributors&gt;&lt;titles&gt;&lt;title&gt;Beetaloo Basin hydrogeological assessment. Cloud GMS&lt;/title&gt;&lt;/titles&gt;&lt;pages&gt;70&lt;/pages&gt;&lt;dates&gt;&lt;year&gt;2015&lt;/year&gt;&lt;pub-dates&gt;&lt;date&gt;February 2015&lt;/date&gt;&lt;/pub-dates&gt;&lt;/dates&gt;&lt;publisher&gt;Origin Energy Report 1 for Fracking Enquiry NT&lt;/publisher&gt;&lt;urls&gt;&lt;related-urls&gt;&lt;url&gt;https://frackinginquiry.nt.gov.au/?a=410609&lt;/url&gt;&lt;/related-urls&gt;&lt;/urls&gt;&lt;access-date&gt;28 November 2019&lt;/access-date&gt;&lt;/record&gt;&lt;/Cite&gt;&lt;/EndNote&gt;</w:instrText>
      </w:r>
      <w:r w:rsidRPr="00E43A80">
        <w:fldChar w:fldCharType="separate"/>
      </w:r>
      <w:r w:rsidR="008F30E0">
        <w:rPr>
          <w:noProof/>
        </w:rPr>
        <w:t>Fulton and Knapton (2015b)</w:t>
      </w:r>
      <w:r w:rsidRPr="00E43A80">
        <w:fldChar w:fldCharType="end"/>
      </w:r>
      <w:r w:rsidRPr="00271D28">
        <w:t xml:space="preserve"> report </w:t>
      </w:r>
      <w:r w:rsidR="007B3DB1">
        <w:t xml:space="preserve">that </w:t>
      </w:r>
      <w:r>
        <w:t>EC</w:t>
      </w:r>
      <w:r w:rsidRPr="00271D28">
        <w:t xml:space="preserve"> rang</w:t>
      </w:r>
      <w:r w:rsidR="007B3DB1">
        <w:t>es</w:t>
      </w:r>
      <w:r w:rsidRPr="00271D28">
        <w:t xml:space="preserve"> from 32,000</w:t>
      </w:r>
      <w:r w:rsidR="00D5341F">
        <w:t xml:space="preserve"> to </w:t>
      </w:r>
      <w:r w:rsidRPr="00271D28">
        <w:t>159,000</w:t>
      </w:r>
      <w:r w:rsidRPr="3C583D25">
        <w:rPr>
          <w:rFonts w:ascii="Symbol" w:eastAsiaTheme="minorEastAsia" w:hAnsi="Symbol" w:cs="Symbol"/>
          <w:color w:val="auto"/>
        </w:rPr>
        <w:t></w:t>
      </w:r>
      <w:r w:rsidRPr="3C583D25">
        <w:rPr>
          <w:rFonts w:ascii="Symbol" w:eastAsiaTheme="minorEastAsia" w:hAnsi="Symbol" w:cs="Symbol"/>
          <w:color w:val="auto"/>
        </w:rPr>
        <w:t></w:t>
      </w:r>
      <w:r w:rsidRPr="00271D28">
        <w:t>S/cm</w:t>
      </w:r>
      <w:r w:rsidR="007B3DB1">
        <w:t xml:space="preserve"> in these units</w:t>
      </w:r>
      <w:r w:rsidRPr="00271D28">
        <w:t xml:space="preserve">, with </w:t>
      </w:r>
      <w:r w:rsidR="002E6955" w:rsidRPr="00271D28">
        <w:t>a</w:t>
      </w:r>
      <w:r w:rsidRPr="00271D28">
        <w:t xml:space="preserve"> </w:t>
      </w:r>
      <w:r w:rsidR="00590005">
        <w:t>mean</w:t>
      </w:r>
      <w:r w:rsidRPr="00271D28">
        <w:t xml:space="preserve"> of 114,000</w:t>
      </w:r>
      <w:r w:rsidRPr="3C583D25">
        <w:rPr>
          <w:rFonts w:ascii="Symbol" w:eastAsiaTheme="minorEastAsia" w:hAnsi="Symbol" w:cs="Symbol"/>
          <w:color w:val="auto"/>
        </w:rPr>
        <w:t></w:t>
      </w:r>
      <w:r w:rsidRPr="3C583D25">
        <w:rPr>
          <w:rFonts w:ascii="Symbol" w:eastAsiaTheme="minorEastAsia" w:hAnsi="Symbol" w:cs="Symbol"/>
          <w:color w:val="auto"/>
        </w:rPr>
        <w:t></w:t>
      </w:r>
      <w:r w:rsidRPr="00271D28">
        <w:t>S/cm</w:t>
      </w:r>
      <w:r>
        <w:t>.</w:t>
      </w:r>
      <w:r w:rsidR="007B3DB1">
        <w:t xml:space="preserve"> </w:t>
      </w:r>
      <w:r w:rsidR="00471FC8">
        <w:t xml:space="preserve">In comparison, seawater has an approximate EC of 55,000 </w:t>
      </w:r>
      <w:r w:rsidR="00471FC8" w:rsidRPr="3C583D25">
        <w:rPr>
          <w:rFonts w:ascii="Symbol" w:eastAsiaTheme="minorEastAsia" w:hAnsi="Symbol" w:cs="Symbol"/>
          <w:color w:val="auto"/>
        </w:rPr>
        <w:t></w:t>
      </w:r>
      <w:r w:rsidR="00471FC8" w:rsidRPr="3C583D25">
        <w:rPr>
          <w:rFonts w:ascii="Symbol" w:eastAsiaTheme="minorEastAsia" w:hAnsi="Symbol" w:cs="Symbol"/>
          <w:color w:val="auto"/>
        </w:rPr>
        <w:t></w:t>
      </w:r>
      <w:r w:rsidR="00471FC8" w:rsidRPr="00271D28">
        <w:t>S/cm</w:t>
      </w:r>
      <w:r w:rsidR="00471FC8">
        <w:t xml:space="preserve">, </w:t>
      </w:r>
      <w:r w:rsidR="00C83B61">
        <w:t>e</w:t>
      </w:r>
      <w:r w:rsidR="00471FC8">
        <w:t>quat</w:t>
      </w:r>
      <w:r w:rsidR="00C83B61">
        <w:t>ing</w:t>
      </w:r>
      <w:r w:rsidR="00471FC8">
        <w:t xml:space="preserve"> to</w:t>
      </w:r>
      <w:r w:rsidR="00E45128">
        <w:t xml:space="preserve"> a TDS co</w:t>
      </w:r>
      <w:r w:rsidR="00471FC8">
        <w:t>n</w:t>
      </w:r>
      <w:r w:rsidR="00E45128">
        <w:t>c</w:t>
      </w:r>
      <w:r w:rsidR="00471FC8">
        <w:t>entrat</w:t>
      </w:r>
      <w:r w:rsidR="00E45128">
        <w:t>i</w:t>
      </w:r>
      <w:r w:rsidR="00471FC8">
        <w:t>on of 32,500</w:t>
      </w:r>
      <w:r w:rsidR="004F1008">
        <w:t> </w:t>
      </w:r>
      <w:r w:rsidR="00471FC8">
        <w:t xml:space="preserve">mg/L </w:t>
      </w:r>
      <w:r w:rsidR="00E45128">
        <w:t>a</w:t>
      </w:r>
      <w:r w:rsidR="007B3DB1">
        <w:t>ssuming a</w:t>
      </w:r>
      <w:r w:rsidR="00E45128">
        <w:t>n EC to TDS</w:t>
      </w:r>
      <w:r w:rsidR="007B3DB1">
        <w:t xml:space="preserve"> conversion factor of 0.64 </w:t>
      </w:r>
      <w:r w:rsidR="007E0011" w:rsidRPr="0041133E">
        <w:fldChar w:fldCharType="begin"/>
      </w:r>
      <w:r w:rsidR="00220954">
        <w:instrText xml:space="preserve"> ADDIN EN.CITE &lt;EndNote&gt;&lt;Cite&gt;&lt;Author&gt;Cook&lt;/Author&gt;&lt;Year&gt;2013&lt;/Year&gt;&lt;RecNum&gt;781&lt;/RecNum&gt;&lt;DisplayText&gt;(Cook et al., 2013)&lt;/DisplayText&gt;&lt;record&gt;&lt;rec-number&gt;781&lt;/rec-number&gt;&lt;foreign-keys&gt;&lt;key app="EN" db-id="stztfvp5bww9ztep9wgv0aaswpt5dr9r2f09" timestamp="1561959379" guid="d7c763d7-f482-48a0-931a-873ede3de10f"&gt;781&lt;/key&gt;&lt;/foreign-keys&gt;&lt;ref-type name="Report"&gt;27&lt;/ref-type&gt;&lt;contributors&gt;&lt;authors&gt;&lt;author&gt;Cook, SB&lt;/author&gt;&lt;author&gt;Dixon-Jain, P&lt;/author&gt;&lt;author&gt;Hocking, M&lt;/author&gt;&lt;author&gt;Sundaram, B&lt;/author&gt;&lt;author&gt;Morgan, L.K&lt;/author&gt;&lt;author&gt;Ivkovic, KM&lt;/author&gt;&lt;author&gt;Werner, AD&lt;/author&gt;&lt;author&gt;Norman, R&lt;/author&gt;&lt;author&gt;Caruana, L&lt;/author&gt;&lt;author&gt;Garlapati, N&lt;/author&gt;&lt;/authors&gt;&lt;/contributors&gt;&lt;titles&gt;&lt;title&gt;A national-scale vulnerability assessment of SWI intrusion: Vulnerability Factor Analysis&lt;/title&gt;&lt;/titles&gt;&lt;number&gt;Record 2013/08&lt;/number&gt;&lt;dates&gt;&lt;year&gt;2013&lt;/year&gt;&lt;/dates&gt;&lt;publisher&gt;Geoscience Australia, Canberra and National Centre for Groundwater Research and Training, Adelaide&lt;/publisher&gt;&lt;urls&gt;&lt;/urls&gt;&lt;/record&gt;&lt;/Cite&gt;&lt;/EndNote&gt;</w:instrText>
      </w:r>
      <w:r w:rsidR="007E0011" w:rsidRPr="0041133E">
        <w:fldChar w:fldCharType="separate"/>
      </w:r>
      <w:r w:rsidR="0061129D">
        <w:rPr>
          <w:noProof/>
        </w:rPr>
        <w:t>(Cook et al., 2013)</w:t>
      </w:r>
      <w:r w:rsidR="007E0011" w:rsidRPr="0041133E">
        <w:fldChar w:fldCharType="end"/>
      </w:r>
      <w:r w:rsidR="00384C01" w:rsidRPr="0041133E">
        <w:t>.</w:t>
      </w:r>
      <w:r w:rsidR="00EE17FB" w:rsidRPr="0041133E">
        <w:t xml:space="preserve"> </w:t>
      </w:r>
      <w:r w:rsidR="00C83B61" w:rsidRPr="0041133E">
        <w:fldChar w:fldCharType="begin"/>
      </w:r>
      <w:r w:rsidR="00F76E0D">
        <w:instrText xml:space="preserve"> ADDIN EN.CITE &lt;EndNote&gt;&lt;Cite AuthorYear="1"&gt;&lt;Author&gt;EcOz Environmental Consultants&lt;/Author&gt;&lt;Year&gt;2015&lt;/Year&gt;&lt;RecNum&gt;702&lt;/RecNum&gt;&lt;DisplayText&gt;EcOz Environmental Consultants (2015)&lt;/DisplayText&gt;&lt;record&gt;&lt;rec-number&gt;702&lt;/rec-number&gt;&lt;foreign-keys&gt;&lt;key app="EN" db-id="wdf9tzzdhw2saee559kv0vezt0wfsta0zedv" timestamp="1545264527"&gt;702&lt;/key&gt;&lt;/foreign-keys&gt;&lt;ref-type name="Report"&gt;27&lt;/ref-type&gt;&lt;contributors&gt;&lt;authors&gt;&lt;author&gt;EcOz Environmental Consultants,&lt;/author&gt;&lt;/authors&gt;&lt;secondary-authors&gt;&lt;author&gt;EcOz Environmental Consultants&lt;/author&gt;&lt;/secondary-authors&gt;&lt;/contributors&gt;&lt;titles&gt;&lt;title&gt;Surface and groundwater characterisation report – Sturt Plateau Region NT. Report prepared for Pangaea Resources for submission to the NT fracking inquiry&lt;/title&gt;&lt;/titles&gt;&lt;pages&gt;53&lt;/pages&gt;&lt;dates&gt;&lt;year&gt;2015&lt;/year&gt;&lt;pub-dates&gt;&lt;date&gt;2/10/2015&lt;/date&gt;&lt;/pub-dates&gt;&lt;/dates&gt;&lt;pub-location&gt;Darwin&lt;/pub-location&gt;&lt;urls&gt;&lt;related-urls&gt;&lt;url&gt;https://frackinginquiry.nt.gov.au/?a=424269&lt;/url&gt;&lt;/related-urls&gt;&lt;/urls&gt;&lt;access-date&gt;28 November 2019&lt;/access-date&gt;&lt;/record&gt;&lt;/Cite&gt;&lt;/EndNote&gt;</w:instrText>
      </w:r>
      <w:r w:rsidR="00C83B61" w:rsidRPr="0041133E">
        <w:fldChar w:fldCharType="separate"/>
      </w:r>
      <w:r w:rsidR="00C83B61" w:rsidRPr="0041133E">
        <w:rPr>
          <w:noProof/>
        </w:rPr>
        <w:t>EcOz Environmental Consultants (2015)</w:t>
      </w:r>
      <w:r w:rsidR="00C83B61" w:rsidRPr="0041133E">
        <w:fldChar w:fldCharType="end"/>
      </w:r>
      <w:r w:rsidR="00C83B61" w:rsidRPr="0041133E">
        <w:t xml:space="preserve"> reported that </w:t>
      </w:r>
      <w:r w:rsidR="00DB515B" w:rsidRPr="0041133E">
        <w:t xml:space="preserve">salinity is influenced by local processes such as secondary porosity and groundwater recharge volumes. </w:t>
      </w:r>
      <w:r w:rsidR="00FF2E04">
        <w:t>W</w:t>
      </w:r>
      <w:r w:rsidRPr="00271D28">
        <w:t>ithout</w:t>
      </w:r>
      <w:r w:rsidRPr="00271D28" w:rsidDel="00C83B61">
        <w:t xml:space="preserve"> </w:t>
      </w:r>
      <w:r w:rsidRPr="00271D28">
        <w:t xml:space="preserve">secondary porosity and dilution from </w:t>
      </w:r>
      <w:r w:rsidR="00C83B61">
        <w:t>recharge</w:t>
      </w:r>
      <w:r w:rsidRPr="00271D28">
        <w:t>,</w:t>
      </w:r>
      <w:r w:rsidRPr="00271D28" w:rsidDel="00FF2E04">
        <w:t xml:space="preserve"> </w:t>
      </w:r>
      <w:r w:rsidRPr="00271D28">
        <w:t xml:space="preserve">salts </w:t>
      </w:r>
      <w:r w:rsidR="00FF2E04">
        <w:t xml:space="preserve">entrained during sedimentation may </w:t>
      </w:r>
      <w:r w:rsidRPr="00271D28">
        <w:t xml:space="preserve">remain present in </w:t>
      </w:r>
      <w:r w:rsidR="00C83B61">
        <w:t xml:space="preserve">Proterozoic formations in </w:t>
      </w:r>
      <w:r w:rsidRPr="00271D28">
        <w:t>significant concentrations.</w:t>
      </w:r>
      <w:r w:rsidR="00843737">
        <w:t xml:space="preserve"> </w:t>
      </w:r>
    </w:p>
    <w:p w14:paraId="06357848" w14:textId="4BA6C809" w:rsidR="00807829" w:rsidRDefault="007E0011" w:rsidP="00E2259E">
      <w:pPr>
        <w:pStyle w:val="BodyText"/>
      </w:pPr>
      <w:r w:rsidRPr="00E43A80">
        <w:fldChar w:fldCharType="begin"/>
      </w:r>
      <w:r w:rsidR="008F30E0">
        <w:instrText xml:space="preserve"> ADDIN EN.CITE &lt;EndNote&gt;&lt;Cite AuthorYear="1"&gt;&lt;Author&gt;Fulton&lt;/Author&gt;&lt;Year&gt;2015&lt;/Year&gt;&lt;RecNum&gt;671&lt;/RecNum&gt;&lt;DisplayText&gt;Fulton and Knapton (2015b)&lt;/DisplayText&gt;&lt;record&gt;&lt;rec-number&gt;671&lt;/rec-number&gt;&lt;foreign-keys&gt;&lt;key app="EN" db-id="wdf9tzzdhw2saee559kv0vezt0wfsta0zedv" timestamp="1545264407"&gt;671&lt;/key&gt;&lt;key app="ENWeb" db-id=""&gt;0&lt;/key&gt;&lt;/foreign-keys&gt;&lt;ref-type name="Report"&gt;27&lt;/ref-type&gt;&lt;contributors&gt;&lt;authors&gt;&lt;author&gt;Fulton, S.&lt;/author&gt;&lt;author&gt;Knapton, A.&lt;/author&gt;&lt;/authors&gt;&lt;/contributors&gt;&lt;titles&gt;&lt;title&gt;Beetaloo Basin hydrogeological assessment. Cloud GMS&lt;/title&gt;&lt;/titles&gt;&lt;pages&gt;70&lt;/pages&gt;&lt;dates&gt;&lt;year&gt;2015&lt;/year&gt;&lt;pub-dates&gt;&lt;date&gt;February 2015&lt;/date&gt;&lt;/pub-dates&gt;&lt;/dates&gt;&lt;publisher&gt;Origin Energy Report 1 for Fracking Enquiry NT&lt;/publisher&gt;&lt;urls&gt;&lt;related-urls&gt;&lt;url&gt;https://frackinginquiry.nt.gov.au/?a=410609&lt;/url&gt;&lt;/related-urls&gt;&lt;/urls&gt;&lt;access-date&gt;28 November 2019&lt;/access-date&gt;&lt;/record&gt;&lt;/Cite&gt;&lt;/EndNote&gt;</w:instrText>
      </w:r>
      <w:r w:rsidRPr="00E43A80">
        <w:fldChar w:fldCharType="separate"/>
      </w:r>
      <w:r w:rsidR="008F30E0">
        <w:rPr>
          <w:noProof/>
        </w:rPr>
        <w:t>Fulton and Knapton (2015b)</w:t>
      </w:r>
      <w:r w:rsidRPr="00E43A80">
        <w:fldChar w:fldCharType="end"/>
      </w:r>
      <w:r w:rsidRPr="00271D28">
        <w:t xml:space="preserve"> </w:t>
      </w:r>
      <w:r w:rsidR="00C83B61">
        <w:t>report that</w:t>
      </w:r>
      <w:r w:rsidRPr="00271D28">
        <w:t xml:space="preserve"> the Proterozoic formation waters have a strong Na</w:t>
      </w:r>
      <w:r w:rsidR="00C83B61">
        <w:t>-</w:t>
      </w:r>
      <w:r w:rsidRPr="00271D28">
        <w:t>Cl signature</w:t>
      </w:r>
      <w:r w:rsidR="00E754D3">
        <w:t xml:space="preserve"> in their investigation area</w:t>
      </w:r>
      <w:r w:rsidRPr="00271D28">
        <w:t xml:space="preserve"> and </w:t>
      </w:r>
      <w:r w:rsidR="00C83B61">
        <w:t xml:space="preserve">therefore </w:t>
      </w:r>
      <w:r w:rsidR="00590005">
        <w:t xml:space="preserve">can </w:t>
      </w:r>
      <w:r w:rsidRPr="00271D28">
        <w:t xml:space="preserve">clearly </w:t>
      </w:r>
      <w:r w:rsidR="00590005">
        <w:t xml:space="preserve">be </w:t>
      </w:r>
      <w:r w:rsidRPr="00271D28">
        <w:t>distinguished from CLA groundwater.</w:t>
      </w:r>
      <w:r w:rsidRPr="00271D28">
        <w:rPr>
          <w:rStyle w:val="BodyTextChar"/>
        </w:rPr>
        <w:t xml:space="preserve"> </w:t>
      </w:r>
      <w:r w:rsidRPr="00271D28">
        <w:t>This</w:t>
      </w:r>
      <w:r w:rsidR="00E754D3">
        <w:t xml:space="preserve"> difference</w:t>
      </w:r>
      <w:r w:rsidRPr="00271D28">
        <w:t xml:space="preserve"> supports the conceptual model that </w:t>
      </w:r>
      <w:r w:rsidR="00C83B61">
        <w:t xml:space="preserve">aquitard </w:t>
      </w:r>
      <w:r w:rsidRPr="00271D28">
        <w:t>formations</w:t>
      </w:r>
      <w:r w:rsidR="00C83B61">
        <w:t xml:space="preserve"> </w:t>
      </w:r>
      <w:r w:rsidR="009A2641">
        <w:t>have</w:t>
      </w:r>
      <w:r w:rsidR="00C83B61">
        <w:t xml:space="preserve"> generally inhibit</w:t>
      </w:r>
      <w:r w:rsidR="009A2641">
        <w:t>ed</w:t>
      </w:r>
      <w:r w:rsidR="00C83B61">
        <w:t xml:space="preserve"> extensive mixing between </w:t>
      </w:r>
      <w:r w:rsidRPr="00271D28">
        <w:t xml:space="preserve">Proterozoic </w:t>
      </w:r>
      <w:r w:rsidR="00C83B61">
        <w:t>rocks and overlying sequences</w:t>
      </w:r>
      <w:r w:rsidR="00590BAF">
        <w:t xml:space="preserve"> in the Beetaloo GBA region</w:t>
      </w:r>
      <w:r w:rsidR="00C83B61">
        <w:t>.</w:t>
      </w:r>
      <w:r w:rsidR="00C83B61" w:rsidRPr="00271D28" w:rsidDel="00C83B61">
        <w:t xml:space="preserve"> </w:t>
      </w:r>
    </w:p>
    <w:p w14:paraId="359BA7FE" w14:textId="23F371AC" w:rsidR="00E2259E" w:rsidRPr="002B2961" w:rsidRDefault="00590005" w:rsidP="50BA1442">
      <w:pPr>
        <w:pStyle w:val="BodyText"/>
        <w:rPr>
          <w:highlight w:val="yellow"/>
        </w:rPr>
      </w:pPr>
      <w:r>
        <w:t xml:space="preserve">None of the water quality measurements </w:t>
      </w:r>
      <w:r w:rsidR="00C83B61">
        <w:t xml:space="preserve">for </w:t>
      </w:r>
      <w:r w:rsidR="00807829" w:rsidRPr="00ED145E">
        <w:t xml:space="preserve">the Proterozoic units </w:t>
      </w:r>
      <w:r w:rsidR="00C83B61">
        <w:t xml:space="preserve">reported in </w:t>
      </w:r>
      <w:r w:rsidR="00C83B61">
        <w:fldChar w:fldCharType="begin"/>
      </w:r>
      <w:r w:rsidR="00C83B61">
        <w:instrText xml:space="preserve"> REF _Ref9521092 \h </w:instrText>
      </w:r>
      <w:r w:rsidR="00C83B61">
        <w:fldChar w:fldCharType="separate"/>
      </w:r>
      <w:r w:rsidR="00B177F5">
        <w:t xml:space="preserve">Table </w:t>
      </w:r>
      <w:r w:rsidR="00B177F5">
        <w:rPr>
          <w:noProof/>
        </w:rPr>
        <w:t>6</w:t>
      </w:r>
      <w:r w:rsidR="00C83B61">
        <w:fldChar w:fldCharType="end"/>
      </w:r>
      <w:r w:rsidR="00C83B61">
        <w:t xml:space="preserve"> </w:t>
      </w:r>
      <w:r>
        <w:t>are taken from bores located within the</w:t>
      </w:r>
      <w:r w:rsidR="00807829" w:rsidRPr="00ED145E">
        <w:t xml:space="preserve"> Beetaloo GBA region (</w:t>
      </w:r>
      <w:r w:rsidR="00807829" w:rsidRPr="00ED145E">
        <w:fldChar w:fldCharType="begin"/>
      </w:r>
      <w:r w:rsidR="00807829" w:rsidRPr="00ED145E">
        <w:instrText xml:space="preserve"> REF _Ref536005855 \h </w:instrText>
      </w:r>
      <w:r w:rsidR="00807829" w:rsidRPr="00973940">
        <w:instrText xml:space="preserve"> \* MERGEFORMAT </w:instrText>
      </w:r>
      <w:r w:rsidR="00807829" w:rsidRPr="00ED145E">
        <w:fldChar w:fldCharType="separate"/>
      </w:r>
      <w:r w:rsidR="00B177F5" w:rsidRPr="00ED145E">
        <w:t xml:space="preserve">Figure </w:t>
      </w:r>
      <w:r w:rsidR="00B177F5">
        <w:rPr>
          <w:noProof/>
        </w:rPr>
        <w:t>34</w:t>
      </w:r>
      <w:r w:rsidR="00807829" w:rsidRPr="00ED145E">
        <w:fldChar w:fldCharType="end"/>
      </w:r>
      <w:r w:rsidR="00807829">
        <w:t>)</w:t>
      </w:r>
      <w:r>
        <w:t xml:space="preserve">. It is evident that there </w:t>
      </w:r>
      <w:r w:rsidR="00D5341F">
        <w:t>are</w:t>
      </w:r>
      <w:r>
        <w:t xml:space="preserve"> significant differences in hydrochemistry of water samples obtained from Proterozoic rocks at depth in the Beetaloo GBA region and from Proterozoic rocks near surface, situated outside the region. </w:t>
      </w:r>
      <w:r w:rsidR="00807829" w:rsidRPr="00ED145E">
        <w:t xml:space="preserve">Proterozoic </w:t>
      </w:r>
      <w:r>
        <w:t>aquifers</w:t>
      </w:r>
      <w:r w:rsidR="00807829" w:rsidRPr="00ED145E">
        <w:t xml:space="preserve"> are </w:t>
      </w:r>
      <w:r>
        <w:t xml:space="preserve">much </w:t>
      </w:r>
      <w:r w:rsidR="00807829" w:rsidRPr="00ED145E">
        <w:t xml:space="preserve">closer to the surface thus more likely to receive </w:t>
      </w:r>
      <w:r w:rsidR="00807829" w:rsidRPr="00271D28">
        <w:t xml:space="preserve">recharge, resulting in </w:t>
      </w:r>
      <w:r w:rsidR="00FF2E04">
        <w:t xml:space="preserve">substantially reduced salinity. </w:t>
      </w:r>
      <w:r w:rsidR="00E2259E" w:rsidRPr="00ED145E" w:rsidDel="00FF2E04">
        <w:t>TDS</w:t>
      </w:r>
      <w:r w:rsidR="00F11BCE" w:rsidRPr="00271D28">
        <w:t xml:space="preserve"> concentrations </w:t>
      </w:r>
      <w:r w:rsidR="00E2259E" w:rsidRPr="00271D28">
        <w:t>in these samples</w:t>
      </w:r>
      <w:r w:rsidR="00FF2E04">
        <w:t xml:space="preserve"> range from </w:t>
      </w:r>
      <w:r w:rsidR="00FF2E04" w:rsidRPr="00271D28">
        <w:t>30 to 1410 mg/</w:t>
      </w:r>
      <w:r w:rsidR="00FF2E04">
        <w:t>L (</w:t>
      </w:r>
      <w:r w:rsidR="00FF2E04" w:rsidRPr="00271D28">
        <w:t>average of 309 mg/</w:t>
      </w:r>
      <w:r w:rsidR="00FF2E04">
        <w:t>L)</w:t>
      </w:r>
      <w:r w:rsidR="00E754D3">
        <w:t>,</w:t>
      </w:r>
      <w:r w:rsidR="00E2259E" w:rsidRPr="00271D28">
        <w:t xml:space="preserve"> </w:t>
      </w:r>
      <w:r w:rsidR="00E754D3">
        <w:t>so</w:t>
      </w:r>
      <w:r w:rsidR="00FF2E04">
        <w:t xml:space="preserve"> they </w:t>
      </w:r>
      <w:r w:rsidR="00E2259E" w:rsidRPr="00271D28">
        <w:t xml:space="preserve">can be considered non-saline </w:t>
      </w:r>
      <w:r w:rsidR="00A541ED" w:rsidRPr="00E43A80">
        <w:fldChar w:fldCharType="begin"/>
      </w:r>
      <w:r w:rsidR="00F76E0D">
        <w:instrText xml:space="preserve"> ADDIN EN.CITE &lt;EndNote&gt;&lt;Cite&gt;&lt;Author&gt;FAO&lt;/Author&gt;&lt;Year&gt;1992&lt;/Year&gt;&lt;RecNum&gt;732&lt;/RecNum&gt;&lt;DisplayText&gt;(FAO, 1992)&lt;/DisplayText&gt;&lt;record&gt;&lt;rec-number&gt;732&lt;/rec-number&gt;&lt;foreign-keys&gt;&lt;key app="EN" db-id="wdf9tzzdhw2saee559kv0vezt0wfsta0zedv" timestamp="1550544783"&gt;732&lt;/key&gt;&lt;/foreign-keys&gt;&lt;ref-type name="Report"&gt;27&lt;/ref-type&gt;&lt;contributors&gt;&lt;authors&gt;&lt;author&gt;FAO&lt;/author&gt;&lt;/authors&gt;&lt;/contributors&gt;&lt;titles&gt;&lt;title&gt;The use of saline waters for crop production - FAO irrigation and drainage paper 48. Rome: FAO&lt;/title&gt;&lt;/titles&gt;&lt;dates&gt;&lt;year&gt;1992&lt;/year&gt;&lt;/dates&gt;&lt;pub-location&gt;Rome&lt;/pub-location&gt;&lt;publisher&gt;Food and Agriculture Organization of the United Nations&lt;/publisher&gt;&lt;urls&gt;&lt;related-urls&gt;&lt;url&gt;&lt;style face="underline" font="default" size="100%"&gt;http://www.fao.org/docrep/T0667E/T0667E00.htm&lt;/style&gt;&lt;/url&gt;&lt;/related-urls&gt;&lt;/urls&gt;&lt;access-date&gt;24 October 2019&lt;/access-date&gt;&lt;/record&gt;&lt;/Cite&gt;&lt;/EndNote&gt;</w:instrText>
      </w:r>
      <w:r w:rsidR="00A541ED" w:rsidRPr="00E43A80">
        <w:fldChar w:fldCharType="separate"/>
      </w:r>
      <w:r w:rsidR="00A541ED" w:rsidRPr="00271D28">
        <w:rPr>
          <w:noProof/>
        </w:rPr>
        <w:t>(FAO, 1992)</w:t>
      </w:r>
      <w:r w:rsidR="00A541ED" w:rsidRPr="00E43A80">
        <w:fldChar w:fldCharType="end"/>
      </w:r>
      <w:r w:rsidR="00FF2E04">
        <w:t>. They</w:t>
      </w:r>
      <w:r w:rsidR="00E2259E" w:rsidRPr="00271D28">
        <w:t xml:space="preserve"> </w:t>
      </w:r>
      <w:r w:rsidR="00FF2E04">
        <w:t>generally</w:t>
      </w:r>
      <w:r w:rsidR="00E2259E" w:rsidRPr="00271D28">
        <w:t xml:space="preserve"> show </w:t>
      </w:r>
      <w:r w:rsidR="00FF2E04" w:rsidRPr="00271D28">
        <w:t>lowe</w:t>
      </w:r>
      <w:r w:rsidR="00FF2E04">
        <w:t>r</w:t>
      </w:r>
      <w:r w:rsidR="00FF2E04" w:rsidRPr="00271D28">
        <w:t xml:space="preserve"> </w:t>
      </w:r>
      <w:r w:rsidR="00E2259E" w:rsidRPr="00271D28">
        <w:t xml:space="preserve">salinity </w:t>
      </w:r>
      <w:r w:rsidR="00FF2E04">
        <w:t>than</w:t>
      </w:r>
      <w:r w:rsidR="00E2259E" w:rsidRPr="00271D28">
        <w:t xml:space="preserve"> the</w:t>
      </w:r>
      <w:r w:rsidR="00FF2E04">
        <w:t xml:space="preserve"> other </w:t>
      </w:r>
      <w:r w:rsidR="00E2259E" w:rsidRPr="00271D28">
        <w:t>lithostratigraphic groups</w:t>
      </w:r>
      <w:r w:rsidR="00590BAF">
        <w:t xml:space="preserve">. </w:t>
      </w:r>
      <w:r w:rsidR="00590BAF" w:rsidRPr="00271D28">
        <w:t>The ionic composition of</w:t>
      </w:r>
      <w:r w:rsidR="00590BAF">
        <w:t xml:space="preserve"> Proterozoic </w:t>
      </w:r>
      <w:r w:rsidR="00590BAF" w:rsidRPr="00271D28">
        <w:t>groundwater samples i</w:t>
      </w:r>
      <w:r w:rsidR="00590BAF">
        <w:t xml:space="preserve">n </w:t>
      </w:r>
      <w:r w:rsidR="00590BAF">
        <w:fldChar w:fldCharType="begin"/>
      </w:r>
      <w:r w:rsidR="00590BAF">
        <w:instrText xml:space="preserve"> REF _Ref9521092 \h </w:instrText>
      </w:r>
      <w:r w:rsidR="00590BAF">
        <w:fldChar w:fldCharType="separate"/>
      </w:r>
      <w:r w:rsidR="00B177F5">
        <w:t xml:space="preserve">Table </w:t>
      </w:r>
      <w:r w:rsidR="00B177F5">
        <w:rPr>
          <w:noProof/>
        </w:rPr>
        <w:t>6</w:t>
      </w:r>
      <w:r w:rsidR="00590BAF">
        <w:fldChar w:fldCharType="end"/>
      </w:r>
      <w:r w:rsidR="00590BAF">
        <w:t xml:space="preserve"> is</w:t>
      </w:r>
      <w:r w:rsidR="00590BAF" w:rsidRPr="00271D28">
        <w:t xml:space="preserve"> typically Mg-Ca</w:t>
      </w:r>
      <w:r w:rsidR="0041133E" w:rsidRPr="2777F559">
        <w:t xml:space="preserve"> Na - </w:t>
      </w:r>
      <w:r w:rsidR="00590BAF" w:rsidRPr="2777F559">
        <w:t>HCO</w:t>
      </w:r>
      <w:r w:rsidR="00590BAF" w:rsidRPr="00001C61">
        <w:rPr>
          <w:rStyle w:val="Subscript"/>
        </w:rPr>
        <w:t>3</w:t>
      </w:r>
      <w:r w:rsidR="00590BAF" w:rsidRPr="2777F559">
        <w:t xml:space="preserve"> (</w:t>
      </w:r>
      <w:r w:rsidR="00590BAF" w:rsidRPr="2777F559">
        <w:fldChar w:fldCharType="begin"/>
      </w:r>
      <w:r w:rsidR="00590BAF" w:rsidRPr="00271D28">
        <w:rPr>
          <w:iCs/>
        </w:rPr>
        <w:instrText xml:space="preserve"> REF _Ref164780 \h </w:instrText>
      </w:r>
      <w:r w:rsidR="00590BAF" w:rsidRPr="00154068">
        <w:rPr>
          <w:iCs/>
        </w:rPr>
        <w:instrText xml:space="preserve"> \* MERGEFORMAT </w:instrText>
      </w:r>
      <w:r w:rsidR="00590BAF" w:rsidRPr="2777F559">
        <w:rPr>
          <w:iCs/>
        </w:rPr>
        <w:fldChar w:fldCharType="separate"/>
      </w:r>
      <w:r w:rsidR="00B177F5" w:rsidRPr="00ED145E">
        <w:t xml:space="preserve">Figure </w:t>
      </w:r>
      <w:r w:rsidR="00B177F5">
        <w:rPr>
          <w:noProof/>
        </w:rPr>
        <w:t>35</w:t>
      </w:r>
      <w:r w:rsidR="00590BAF" w:rsidRPr="2777F559">
        <w:fldChar w:fldCharType="end"/>
      </w:r>
      <w:r w:rsidR="00590BAF" w:rsidRPr="2777F559">
        <w:t xml:space="preserve">), possibly indicating </w:t>
      </w:r>
      <w:r w:rsidR="00590BAF" w:rsidRPr="00271D28">
        <w:t>interaction with the overlying CLA</w:t>
      </w:r>
      <w:r w:rsidR="00590BAF">
        <w:t xml:space="preserve"> in places</w:t>
      </w:r>
      <w:r w:rsidR="00590BAF" w:rsidRPr="00271D28">
        <w:t xml:space="preserve">. </w:t>
      </w:r>
      <w:r w:rsidR="00590BAF">
        <w:t xml:space="preserve">However, these samples </w:t>
      </w:r>
      <w:r w:rsidR="00FF2E04">
        <w:t>are not considered likely to be representative of</w:t>
      </w:r>
      <w:r w:rsidR="00590BAF">
        <w:t xml:space="preserve"> </w:t>
      </w:r>
      <w:r w:rsidR="00FF2E04">
        <w:t xml:space="preserve">groundwater in </w:t>
      </w:r>
      <w:r w:rsidR="00590BAF">
        <w:t xml:space="preserve">Proterozoic units of </w:t>
      </w:r>
      <w:r w:rsidR="00FF2E04">
        <w:t>the Beetaloo GBA region</w:t>
      </w:r>
      <w:r w:rsidR="009A2641">
        <w:t xml:space="preserve"> based on DST data</w:t>
      </w:r>
      <w:r w:rsidR="00FF2E04">
        <w:t>.</w:t>
      </w:r>
      <w:r w:rsidR="00E754D3">
        <w:t xml:space="preserve"> </w:t>
      </w:r>
    </w:p>
    <w:p w14:paraId="4AF4DA74" w14:textId="2B888A47" w:rsidR="004B3C18" w:rsidRPr="00001C61" w:rsidRDefault="00E754D3" w:rsidP="00C00F6D">
      <w:pPr>
        <w:pStyle w:val="BodyText"/>
      </w:pPr>
      <w:r>
        <w:t xml:space="preserve">In summary, due to sample numbers and data distribution, there is </w:t>
      </w:r>
      <w:r w:rsidR="00590005">
        <w:t>great</w:t>
      </w:r>
      <w:r w:rsidR="00E2259E" w:rsidRPr="00271D28">
        <w:t xml:space="preserve"> uncertainty </w:t>
      </w:r>
      <w:r>
        <w:t xml:space="preserve">in </w:t>
      </w:r>
      <w:r w:rsidR="00590005">
        <w:t xml:space="preserve">understanding </w:t>
      </w:r>
      <w:r>
        <w:t xml:space="preserve">groundwater </w:t>
      </w:r>
      <w:r w:rsidR="007D10DD">
        <w:t>chemistry</w:t>
      </w:r>
      <w:r w:rsidR="00E2259E" w:rsidRPr="00271D28">
        <w:t xml:space="preserve"> of the Proterozoic units within the Beetaloo GBA region</w:t>
      </w:r>
      <w:r w:rsidR="00E2259E" w:rsidRPr="00271D28" w:rsidDel="00E754D3">
        <w:t xml:space="preserve"> </w:t>
      </w:r>
      <w:r w:rsidR="00E2259E" w:rsidRPr="00271D28">
        <w:t xml:space="preserve">compared to </w:t>
      </w:r>
      <w:r w:rsidR="00E2259E" w:rsidRPr="00271D28" w:rsidDel="00E754D3">
        <w:t xml:space="preserve">some </w:t>
      </w:r>
      <w:r w:rsidR="00E2259E" w:rsidRPr="00271D28">
        <w:t xml:space="preserve">other </w:t>
      </w:r>
      <w:r w:rsidR="00590005">
        <w:t>aquifers</w:t>
      </w:r>
      <w:r w:rsidR="00E2259E" w:rsidRPr="00271D28">
        <w:t xml:space="preserve">. </w:t>
      </w:r>
    </w:p>
    <w:p w14:paraId="38A84DE4" w14:textId="0982EED7" w:rsidR="004B3C18" w:rsidRPr="00ED145E" w:rsidRDefault="00897E46" w:rsidP="00C00F6D">
      <w:pPr>
        <w:pStyle w:val="BodyText"/>
      </w:pPr>
      <w:r>
        <w:rPr>
          <w:noProof/>
        </w:rPr>
        <w:drawing>
          <wp:inline distT="0" distB="0" distL="0" distR="0" wp14:anchorId="583807E0" wp14:editId="184E5A59">
            <wp:extent cx="6115050" cy="6600825"/>
            <wp:effectExtent l="0" t="0" r="0" b="9525"/>
            <wp:docPr id="1695607636" name="Picture 31" descr="T:\proj\ba2\Stage2\3_Beetaloo\MapsAndFigures\Figures\GBA-BEE-2-213_Proterozoic_Salin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pic:nvPicPr>
                  <pic:blipFill>
                    <a:blip r:embed="rId95">
                      <a:extLst>
                        <a:ext uri="{28A0092B-C50C-407E-A947-70E740481C1C}">
                          <a14:useLocalDpi xmlns:a14="http://schemas.microsoft.com/office/drawing/2010/main" val="0"/>
                        </a:ext>
                      </a:extLst>
                    </a:blip>
                    <a:stretch>
                      <a:fillRect/>
                    </a:stretch>
                  </pic:blipFill>
                  <pic:spPr>
                    <a:xfrm>
                      <a:off x="0" y="0"/>
                      <a:ext cx="6115050" cy="6600825"/>
                    </a:xfrm>
                    <a:prstGeom prst="rect">
                      <a:avLst/>
                    </a:prstGeom>
                  </pic:spPr>
                </pic:pic>
              </a:graphicData>
            </a:graphic>
          </wp:inline>
        </w:drawing>
      </w:r>
    </w:p>
    <w:p w14:paraId="374ABA3F" w14:textId="396F06A3" w:rsidR="00712C17" w:rsidRPr="006F18C7" w:rsidRDefault="004B3C18" w:rsidP="00712C17">
      <w:pPr>
        <w:pStyle w:val="Caption"/>
        <w:contextualSpacing/>
      </w:pPr>
      <w:bookmarkStart w:id="735" w:name="_Ref536005855"/>
      <w:bookmarkStart w:id="736" w:name="_Toc271959"/>
      <w:bookmarkStart w:id="737" w:name="_Toc4072444"/>
      <w:bookmarkStart w:id="738" w:name="_Toc4670967"/>
      <w:bookmarkStart w:id="739" w:name="_Toc4754387"/>
      <w:bookmarkStart w:id="740" w:name="_Toc5020772"/>
      <w:bookmarkStart w:id="741" w:name="_Toc5021579"/>
      <w:bookmarkStart w:id="742" w:name="_Toc5097105"/>
      <w:bookmarkStart w:id="743" w:name="_Toc5108497"/>
      <w:bookmarkStart w:id="744" w:name="_Toc5284161"/>
      <w:bookmarkStart w:id="745" w:name="_Toc5635375"/>
      <w:bookmarkStart w:id="746" w:name="_Toc5808334"/>
      <w:bookmarkStart w:id="747" w:name="_Toc5895026"/>
      <w:bookmarkStart w:id="748" w:name="_Toc6308915"/>
      <w:bookmarkStart w:id="749" w:name="_Toc6327580"/>
      <w:bookmarkStart w:id="750" w:name="_Toc38990488"/>
      <w:r w:rsidRPr="00ED145E">
        <w:t xml:space="preserve">Figure </w:t>
      </w:r>
      <w:r w:rsidRPr="00CF40AD">
        <w:fldChar w:fldCharType="begin"/>
      </w:r>
      <w:r w:rsidRPr="006F18C7">
        <w:rPr>
          <w:noProof/>
        </w:rPr>
        <w:instrText xml:space="preserve"> SEQ Figure \* ARABIC </w:instrText>
      </w:r>
      <w:r w:rsidRPr="00CF40AD">
        <w:rPr>
          <w:noProof/>
        </w:rPr>
        <w:fldChar w:fldCharType="separate"/>
      </w:r>
      <w:r w:rsidR="00B177F5">
        <w:rPr>
          <w:noProof/>
        </w:rPr>
        <w:t>34</w:t>
      </w:r>
      <w:r w:rsidRPr="00CF40AD">
        <w:fldChar w:fldCharType="end"/>
      </w:r>
      <w:bookmarkEnd w:id="735"/>
      <w:r w:rsidRPr="00ED145E">
        <w:t xml:space="preserve"> Groundwater salinity </w:t>
      </w:r>
      <w:r w:rsidRPr="006F18C7">
        <w:t>in the Proterozoic units and Bukalara Sandstone</w:t>
      </w:r>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p>
    <w:p w14:paraId="30661138" w14:textId="39E787A2" w:rsidR="00F67163" w:rsidRPr="00395A43" w:rsidRDefault="00D5341F" w:rsidP="008A3884">
      <w:pPr>
        <w:pStyle w:val="SourceornoteforTableorFigure"/>
      </w:pPr>
      <w:r>
        <w:t>TDS = total dissolved solids</w:t>
      </w:r>
      <w:r>
        <w:br/>
      </w:r>
      <w:r w:rsidR="00712C17" w:rsidRPr="00CF40AD">
        <w:t xml:space="preserve">Data: </w:t>
      </w:r>
      <w:r w:rsidR="00A541ED" w:rsidRPr="00CF40AD">
        <w:fldChar w:fldCharType="begin"/>
      </w:r>
      <w:r w:rsidR="008F30E0">
        <w:instrText xml:space="preserve"> ADDIN EN.CITE &lt;EndNote&gt;&lt;Cite AuthorYear="1"&gt;&lt;Author&gt;Geological and Bioregional Assessment Program&lt;/Author&gt;&lt;Year&gt;2019&lt;/Year&gt;&lt;RecNum&gt;886&lt;/RecNum&gt;&lt;DisplayText&gt;Geological and Bioregional Assessment Program (2019h)&lt;/DisplayText&gt;&lt;record&gt;&lt;rec-number&gt;886&lt;/rec-number&gt;&lt;foreign-keys&gt;&lt;key app="EN" db-id="wdf9tzzdhw2saee559kv0vezt0wfsta0zedv" timestamp="1553830844"&gt;886&lt;/key&gt;&lt;/foreign-keys&gt;&lt;ref-type name="Dataset"&gt;59&lt;/ref-type&gt;&lt;contributors&gt;&lt;authors&gt;&lt;author&gt;Geological and Bioregional Assessment Program,&lt;/author&gt;&lt;/authors&gt;&lt;secondary-authors&gt;&lt;author&gt;Geoscience Australia,&lt;/author&gt;&lt;/secondary-authors&gt;&lt;/contributors&gt;&lt;titles&gt;&lt;title&gt;Groundwater chemistry in the Beetaloo GBA groundwater bore data extraction area&lt;/title&gt;&lt;/titles&gt;&lt;dates&gt;&lt;year&gt;2019&lt;/year&gt;&lt;/dates&gt;&lt;label&gt;A0654187-3282-4DB6-B5A4-668A897D4D79&lt;/label&gt;&lt;urls&gt;&lt;related-urls&gt;&lt;url&gt;https://repo.bioregionalassessments.gov.au/metadata/A0654187-3282-4DB6-B5A4-668A897D4D79&lt;/url&gt;&lt;/related-urls&gt;&lt;/urls&gt;&lt;remote-database-name&gt;Beetaloo_GBA_Hydrochemistry.xlsx&lt;/remote-database-name&gt;&lt;language&gt;English&lt;/language&gt;&lt;access-date&gt;03 April 2019&lt;/access-date&gt;&lt;/record&gt;&lt;/Cite&gt;&lt;/EndNote&gt;</w:instrText>
      </w:r>
      <w:r w:rsidR="00A541ED" w:rsidRPr="00CF40AD">
        <w:fldChar w:fldCharType="separate"/>
      </w:r>
      <w:r w:rsidR="008F30E0">
        <w:rPr>
          <w:noProof/>
        </w:rPr>
        <w:t>Geological and Bioregional Assessment Program (2019h)</w:t>
      </w:r>
      <w:r w:rsidR="00A541ED" w:rsidRPr="00CF40AD">
        <w:fldChar w:fldCharType="end"/>
      </w:r>
      <w:r w:rsidR="000D3C6E" w:rsidRPr="00CF40AD">
        <w:t xml:space="preserve"> </w:t>
      </w:r>
      <w:r w:rsidR="004F1008">
        <w:br/>
      </w:r>
      <w:r w:rsidR="00897E46">
        <w:t>Element: GBA-BEE-2-213</w:t>
      </w:r>
    </w:p>
    <w:p w14:paraId="67D66380" w14:textId="7BEFC296" w:rsidR="004B3C18" w:rsidRPr="00CF40AD" w:rsidRDefault="004B3C18" w:rsidP="00C00F6D">
      <w:pPr>
        <w:pStyle w:val="BodyText"/>
        <w:rPr>
          <w:highlight w:val="yellow"/>
        </w:rPr>
      </w:pPr>
    </w:p>
    <w:p w14:paraId="193C7E98" w14:textId="597C8BAB" w:rsidR="004B3C18" w:rsidRPr="00CF40AD" w:rsidRDefault="004B3C18" w:rsidP="00C00F6D">
      <w:pPr>
        <w:pStyle w:val="BodyText"/>
        <w:rPr>
          <w:highlight w:val="yellow"/>
        </w:rPr>
      </w:pPr>
    </w:p>
    <w:p w14:paraId="39F9A4DA" w14:textId="77777777" w:rsidR="009676EE" w:rsidRPr="00ED145E" w:rsidRDefault="009676EE" w:rsidP="00C00F6D">
      <w:pPr>
        <w:pStyle w:val="BodyText"/>
        <w:keepNext/>
      </w:pPr>
      <w:r w:rsidRPr="00E43A80">
        <w:rPr>
          <w:noProof/>
        </w:rPr>
        <w:drawing>
          <wp:inline distT="0" distB="0" distL="0" distR="0" wp14:anchorId="4E005DB8" wp14:editId="75227B3A">
            <wp:extent cx="6120000" cy="5990400"/>
            <wp:effectExtent l="0" t="0" r="0" b="0"/>
            <wp:docPr id="1749833732" name="Picture 174983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cstate="screen">
                      <a:extLst>
                        <a:ext uri="{28A0092B-C50C-407E-A947-70E740481C1C}">
                          <a14:useLocalDpi xmlns:a14="http://schemas.microsoft.com/office/drawing/2010/main" val="0"/>
                        </a:ext>
                      </a:extLst>
                    </a:blip>
                    <a:srcRect l="11358" t="16331" r="39479" b="14485"/>
                    <a:stretch/>
                  </pic:blipFill>
                  <pic:spPr bwMode="auto">
                    <a:xfrm>
                      <a:off x="0" y="0"/>
                      <a:ext cx="6120000" cy="5990400"/>
                    </a:xfrm>
                    <a:prstGeom prst="rect">
                      <a:avLst/>
                    </a:prstGeom>
                    <a:ln>
                      <a:noFill/>
                    </a:ln>
                    <a:extLst>
                      <a:ext uri="{53640926-AAD7-44D8-BBD7-CCE9431645EC}">
                        <a14:shadowObscured xmlns:a14="http://schemas.microsoft.com/office/drawing/2010/main"/>
                      </a:ext>
                    </a:extLst>
                  </pic:spPr>
                </pic:pic>
              </a:graphicData>
            </a:graphic>
          </wp:inline>
        </w:drawing>
      </w:r>
    </w:p>
    <w:p w14:paraId="596DFA0B" w14:textId="447314F1" w:rsidR="00712C17" w:rsidRPr="00ED145E" w:rsidRDefault="009676EE" w:rsidP="00712C17">
      <w:pPr>
        <w:pStyle w:val="Caption"/>
      </w:pPr>
      <w:bookmarkStart w:id="751" w:name="_Ref164780"/>
      <w:bookmarkStart w:id="752" w:name="_Toc271960"/>
      <w:bookmarkStart w:id="753" w:name="_Toc4072446"/>
      <w:bookmarkStart w:id="754" w:name="_Toc4670969"/>
      <w:bookmarkStart w:id="755" w:name="_Toc4754389"/>
      <w:bookmarkStart w:id="756" w:name="_Toc5020774"/>
      <w:bookmarkStart w:id="757" w:name="_Toc5021581"/>
      <w:bookmarkStart w:id="758" w:name="_Toc5097107"/>
      <w:bookmarkStart w:id="759" w:name="_Toc5108499"/>
      <w:bookmarkStart w:id="760" w:name="_Toc5284163"/>
      <w:bookmarkStart w:id="761" w:name="_Toc5635377"/>
      <w:bookmarkStart w:id="762" w:name="_Toc5808336"/>
      <w:bookmarkStart w:id="763" w:name="_Toc5895028"/>
      <w:bookmarkStart w:id="764" w:name="_Toc6308917"/>
      <w:bookmarkStart w:id="765" w:name="_Toc6327582"/>
      <w:bookmarkStart w:id="766" w:name="_Toc38990489"/>
      <w:r w:rsidRPr="00ED145E">
        <w:t xml:space="preserve">Figure </w:t>
      </w:r>
      <w:r w:rsidRPr="00CF40AD">
        <w:fldChar w:fldCharType="begin"/>
      </w:r>
      <w:r w:rsidRPr="00981F6E">
        <w:rPr>
          <w:noProof/>
        </w:rPr>
        <w:instrText xml:space="preserve"> SEQ Figure \* ARABIC </w:instrText>
      </w:r>
      <w:r w:rsidRPr="00CF40AD">
        <w:rPr>
          <w:noProof/>
        </w:rPr>
        <w:fldChar w:fldCharType="separate"/>
      </w:r>
      <w:r w:rsidR="00B177F5">
        <w:rPr>
          <w:noProof/>
        </w:rPr>
        <w:t>35</w:t>
      </w:r>
      <w:r w:rsidRPr="00CF40AD">
        <w:fldChar w:fldCharType="end"/>
      </w:r>
      <w:bookmarkEnd w:id="751"/>
      <w:r w:rsidRPr="00ED145E">
        <w:t xml:space="preserve"> Piper diagram of stratigraphic units in the Beetaloo GBA region</w:t>
      </w:r>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r w:rsidR="00712C17" w:rsidRPr="00ED145E">
        <w:t xml:space="preserve"> </w:t>
      </w:r>
    </w:p>
    <w:p w14:paraId="393606C1" w14:textId="6EBE7FE2" w:rsidR="009676EE" w:rsidRPr="009752A7" w:rsidRDefault="00712C17" w:rsidP="009752A7">
      <w:pPr>
        <w:pStyle w:val="SourceornoteforTableorFigure"/>
      </w:pPr>
      <w:r w:rsidRPr="00981F6E">
        <w:t xml:space="preserve">Data: </w:t>
      </w:r>
      <w:r w:rsidR="00A541ED" w:rsidRPr="00E43A80">
        <w:fldChar w:fldCharType="begin"/>
      </w:r>
      <w:r w:rsidR="008F30E0">
        <w:instrText xml:space="preserve"> ADDIN EN.CITE &lt;EndNote&gt;&lt;Cite AuthorYear="1"&gt;&lt;Author&gt;Geological and Bioregional Assessment Program&lt;/Author&gt;&lt;Year&gt;2019&lt;/Year&gt;&lt;RecNum&gt;886&lt;/RecNum&gt;&lt;DisplayText&gt;Geological and Bioregional Assessment Program (2019h)&lt;/DisplayText&gt;&lt;record&gt;&lt;rec-number&gt;886&lt;/rec-number&gt;&lt;foreign-keys&gt;&lt;key app="EN" db-id="wdf9tzzdhw2saee559kv0vezt0wfsta0zedv" timestamp="1553830844"&gt;886&lt;/key&gt;&lt;/foreign-keys&gt;&lt;ref-type name="Dataset"&gt;59&lt;/ref-type&gt;&lt;contributors&gt;&lt;authors&gt;&lt;author&gt;Geological and Bioregional Assessment Program,&lt;/author&gt;&lt;/authors&gt;&lt;secondary-authors&gt;&lt;author&gt;Geoscience Australia,&lt;/author&gt;&lt;/secondary-authors&gt;&lt;/contributors&gt;&lt;titles&gt;&lt;title&gt;Groundwater chemistry in the Beetaloo GBA groundwater bore data extraction area&lt;/title&gt;&lt;/titles&gt;&lt;dates&gt;&lt;year&gt;2019&lt;/year&gt;&lt;/dates&gt;&lt;label&gt;A0654187-3282-4DB6-B5A4-668A897D4D79&lt;/label&gt;&lt;urls&gt;&lt;related-urls&gt;&lt;url&gt;https://repo.bioregionalassessments.gov.au/metadata/A0654187-3282-4DB6-B5A4-668A897D4D79&lt;/url&gt;&lt;/related-urls&gt;&lt;/urls&gt;&lt;remote-database-name&gt;Beetaloo_GBA_Hydrochemistry.xlsx&lt;/remote-database-name&gt;&lt;language&gt;English&lt;/language&gt;&lt;access-date&gt;03 April 2019&lt;/access-date&gt;&lt;/record&gt;&lt;/Cite&gt;&lt;/EndNote&gt;</w:instrText>
      </w:r>
      <w:r w:rsidR="00A541ED" w:rsidRPr="00E43A80">
        <w:fldChar w:fldCharType="separate"/>
      </w:r>
      <w:r w:rsidR="008F30E0">
        <w:rPr>
          <w:noProof/>
        </w:rPr>
        <w:t>Geological and Bioregional Assessment Program (2019h)</w:t>
      </w:r>
      <w:r w:rsidR="00A541ED" w:rsidRPr="00E43A80">
        <w:fldChar w:fldCharType="end"/>
      </w:r>
      <w:r w:rsidR="000844FB">
        <w:rPr>
          <w:rFonts w:cs="Calibri"/>
        </w:rPr>
        <w:br/>
      </w:r>
      <w:r w:rsidR="00897E46">
        <w:t xml:space="preserve">Element: </w:t>
      </w:r>
      <w:r w:rsidR="000844FB" w:rsidRPr="00A674A1">
        <w:t>GBA-BEE-2-339</w:t>
      </w:r>
    </w:p>
    <w:p w14:paraId="45ABA35E" w14:textId="77777777" w:rsidR="00E2259E" w:rsidRPr="00A72537" w:rsidRDefault="00E2259E" w:rsidP="00CF40AD">
      <w:pPr>
        <w:pStyle w:val="Heading5"/>
      </w:pPr>
      <w:r w:rsidRPr="00A72537">
        <w:t>Bukalara Sandstone</w:t>
      </w:r>
    </w:p>
    <w:p w14:paraId="64A715AE" w14:textId="72A85AA7" w:rsidR="00E2259E" w:rsidRPr="00865CB6" w:rsidRDefault="009A2641" w:rsidP="00E2259E">
      <w:pPr>
        <w:pStyle w:val="BodyText"/>
      </w:pPr>
      <w:r>
        <w:t>Groundwater analyses</w:t>
      </w:r>
      <w:r w:rsidR="000C6BB8" w:rsidRPr="00A72537">
        <w:t xml:space="preserve"> for th</w:t>
      </w:r>
      <w:r w:rsidR="000C6BB8">
        <w:t xml:space="preserve">e Bukalara Sandstone </w:t>
      </w:r>
      <w:r>
        <w:t>a</w:t>
      </w:r>
      <w:r w:rsidR="000C6BB8">
        <w:t>re</w:t>
      </w:r>
      <w:r w:rsidR="000C6BB8" w:rsidRPr="00A72537">
        <w:t xml:space="preserve"> </w:t>
      </w:r>
      <w:r>
        <w:t>only available outside</w:t>
      </w:r>
      <w:r w:rsidR="000C6BB8" w:rsidRPr="00A72537">
        <w:t xml:space="preserve"> the Beetaloo GBA region</w:t>
      </w:r>
      <w:r w:rsidR="00590005">
        <w:t>,</w:t>
      </w:r>
      <w:r w:rsidR="000C6BB8" w:rsidRPr="00A72537">
        <w:t xml:space="preserve"> </w:t>
      </w:r>
      <w:r>
        <w:t>to the north</w:t>
      </w:r>
      <w:r w:rsidR="007E4714">
        <w:t>-</w:t>
      </w:r>
      <w:r>
        <w:t xml:space="preserve">east </w:t>
      </w:r>
      <w:r w:rsidR="000C6BB8">
        <w:t>(</w:t>
      </w:r>
      <w:r w:rsidR="000C6BB8" w:rsidRPr="00E43A80">
        <w:fldChar w:fldCharType="begin"/>
      </w:r>
      <w:r w:rsidR="000C6BB8" w:rsidRPr="00A72537">
        <w:instrText xml:space="preserve"> REF _Ref536005855 \h </w:instrText>
      </w:r>
      <w:r w:rsidR="000C6BB8" w:rsidRPr="00154068">
        <w:instrText xml:space="preserve"> \* MERGEFORMAT </w:instrText>
      </w:r>
      <w:r w:rsidR="000C6BB8" w:rsidRPr="00E43A80">
        <w:fldChar w:fldCharType="separate"/>
      </w:r>
      <w:r w:rsidR="00B177F5" w:rsidRPr="00ED145E">
        <w:t xml:space="preserve">Figure </w:t>
      </w:r>
      <w:r w:rsidR="00B177F5">
        <w:rPr>
          <w:noProof/>
        </w:rPr>
        <w:t>34</w:t>
      </w:r>
      <w:r w:rsidR="000C6BB8" w:rsidRPr="00E43A80">
        <w:fldChar w:fldCharType="end"/>
      </w:r>
      <w:r w:rsidR="000C6BB8">
        <w:t xml:space="preserve">). </w:t>
      </w:r>
      <w:r>
        <w:t>I</w:t>
      </w:r>
      <w:r w:rsidR="000C6BB8">
        <w:t>t is un</w:t>
      </w:r>
      <w:r w:rsidR="00FE4E6C">
        <w:t>certain</w:t>
      </w:r>
      <w:r w:rsidR="000C6BB8">
        <w:t xml:space="preserve"> if they are representative of groundwater quality </w:t>
      </w:r>
      <w:r>
        <w:t>in the Beetaloo GBA region itself</w:t>
      </w:r>
      <w:r w:rsidR="000C6BB8" w:rsidRPr="00A72537">
        <w:t xml:space="preserve">. </w:t>
      </w:r>
      <w:r w:rsidR="00E2259E" w:rsidRPr="00A72537">
        <w:t>Salinity levels (TDS) range from 73 mg/</w:t>
      </w:r>
      <w:r w:rsidR="00E9244A">
        <w:t>L</w:t>
      </w:r>
      <w:r w:rsidR="00E2259E" w:rsidRPr="00A72537">
        <w:t xml:space="preserve"> to 1510 mg/</w:t>
      </w:r>
      <w:r w:rsidR="00E9244A">
        <w:t>L</w:t>
      </w:r>
      <w:r w:rsidR="00E2259E" w:rsidRPr="00A72537">
        <w:t xml:space="preserve"> with an average of 577 mg/</w:t>
      </w:r>
      <w:r w:rsidR="00E9244A">
        <w:t>L</w:t>
      </w:r>
      <w:r w:rsidR="00E2259E" w:rsidRPr="00A72537">
        <w:t xml:space="preserve">. </w:t>
      </w:r>
      <w:r w:rsidR="000C6BB8">
        <w:t>T</w:t>
      </w:r>
      <w:r w:rsidR="00E2259E" w:rsidRPr="00DE4C0C">
        <w:t>here is</w:t>
      </w:r>
      <w:r w:rsidR="00E2259E" w:rsidRPr="00DE4C0C" w:rsidDel="00BF672E">
        <w:t xml:space="preserve"> </w:t>
      </w:r>
      <w:r w:rsidR="00CC35BE" w:rsidRPr="00DE4C0C">
        <w:t xml:space="preserve">substantial </w:t>
      </w:r>
      <w:r w:rsidR="00E2259E" w:rsidRPr="00DE4C0C">
        <w:t>variability in TDS within this unit, with some of the highest concentration samples (&gt;1500 mg/</w:t>
      </w:r>
      <w:r w:rsidR="00E9244A">
        <w:t>L</w:t>
      </w:r>
      <w:r w:rsidR="00E2259E" w:rsidRPr="00DE4C0C">
        <w:t xml:space="preserve">) in proximity (~10 km) to the lowest concentration </w:t>
      </w:r>
      <w:r w:rsidR="00E2259E" w:rsidRPr="00865CB6">
        <w:t>samples (&lt;200 mg/</w:t>
      </w:r>
      <w:r w:rsidR="00E9244A">
        <w:t>L</w:t>
      </w:r>
      <w:r w:rsidR="00E2259E" w:rsidRPr="00865CB6">
        <w:t>). Waters of the Bukalara Sandstone show mixed Na-</w:t>
      </w:r>
      <w:r w:rsidR="00DE4C0C" w:rsidRPr="00CF40AD">
        <w:t>Mg-Ca</w:t>
      </w:r>
      <w:r w:rsidR="00E2259E" w:rsidRPr="00865CB6">
        <w:t xml:space="preserve"> </w:t>
      </w:r>
      <w:r w:rsidR="00E2259E" w:rsidRPr="2777F559">
        <w:t>cationic</w:t>
      </w:r>
      <w:r w:rsidR="00590005">
        <w:t xml:space="preserve"> signature</w:t>
      </w:r>
      <w:r w:rsidR="00E2259E" w:rsidRPr="2777F559">
        <w:t xml:space="preserve"> and generally a </w:t>
      </w:r>
      <w:r w:rsidR="00B15394" w:rsidRPr="0019036A">
        <w:t>mi</w:t>
      </w:r>
      <w:r w:rsidR="00B15394" w:rsidRPr="003B1A10">
        <w:t xml:space="preserve">xed </w:t>
      </w:r>
      <w:r w:rsidR="00E2259E" w:rsidRPr="00863DA9">
        <w:t>HCO</w:t>
      </w:r>
      <w:r w:rsidR="00E2259E" w:rsidRPr="00001C61">
        <w:rPr>
          <w:rStyle w:val="Subscript"/>
        </w:rPr>
        <w:t>3</w:t>
      </w:r>
      <w:r w:rsidR="00B15394" w:rsidRPr="00545AC8">
        <w:t>- SO</w:t>
      </w:r>
      <w:r w:rsidR="00B15394" w:rsidRPr="00001C61">
        <w:rPr>
          <w:rStyle w:val="Subscript"/>
        </w:rPr>
        <w:t>4</w:t>
      </w:r>
      <w:r w:rsidR="00B15394" w:rsidRPr="2777F559">
        <w:t>-</w:t>
      </w:r>
      <w:r w:rsidR="00395A3F" w:rsidRPr="2777F559">
        <w:t xml:space="preserve">Cl </w:t>
      </w:r>
      <w:r w:rsidR="00E2259E" w:rsidRPr="2777F559">
        <w:t>anionic signature</w:t>
      </w:r>
      <w:r w:rsidR="005C7C08" w:rsidRPr="2777F559">
        <w:t xml:space="preserve"> (</w:t>
      </w:r>
      <w:r w:rsidR="005C7C08" w:rsidRPr="2777F559">
        <w:fldChar w:fldCharType="begin"/>
      </w:r>
      <w:r w:rsidR="005C7C08" w:rsidRPr="00865CB6">
        <w:rPr>
          <w:iCs/>
        </w:rPr>
        <w:instrText xml:space="preserve"> REF _Ref164780 \h </w:instrText>
      </w:r>
      <w:r w:rsidR="006F18C7" w:rsidRPr="0060550E">
        <w:rPr>
          <w:iCs/>
        </w:rPr>
        <w:instrText xml:space="preserve"> \* MERGEFORMAT </w:instrText>
      </w:r>
      <w:r w:rsidR="005C7C08" w:rsidRPr="2777F559">
        <w:fldChar w:fldCharType="separate"/>
      </w:r>
      <w:r w:rsidR="00B177F5" w:rsidRPr="00ED145E">
        <w:t xml:space="preserve">Figure </w:t>
      </w:r>
      <w:r w:rsidR="00B177F5">
        <w:rPr>
          <w:noProof/>
        </w:rPr>
        <w:t>35</w:t>
      </w:r>
      <w:r w:rsidR="005C7C08" w:rsidRPr="2777F559">
        <w:fldChar w:fldCharType="end"/>
      </w:r>
      <w:r w:rsidR="005C7C08" w:rsidRPr="2777F559">
        <w:t>)</w:t>
      </w:r>
      <w:r w:rsidR="00DE4C0C" w:rsidRPr="2777F559">
        <w:t>.</w:t>
      </w:r>
    </w:p>
    <w:p w14:paraId="78F792EB" w14:textId="77777777" w:rsidR="00E2259E" w:rsidRPr="00865CB6" w:rsidRDefault="00E2259E" w:rsidP="005B07E3">
      <w:pPr>
        <w:pStyle w:val="Heading5"/>
      </w:pPr>
      <w:bookmarkStart w:id="767" w:name="_Ref5783929"/>
      <w:r w:rsidRPr="00865CB6">
        <w:t>Antrim Plateau Volcanics</w:t>
      </w:r>
      <w:bookmarkEnd w:id="767"/>
    </w:p>
    <w:p w14:paraId="4CCC31FD" w14:textId="1A36D97E" w:rsidR="00E2259E" w:rsidRPr="00DE4C0C" w:rsidRDefault="00292093" w:rsidP="00E2259E">
      <w:pPr>
        <w:pStyle w:val="BodyText"/>
        <w:rPr>
          <w:iCs/>
        </w:rPr>
      </w:pPr>
      <w:r w:rsidRPr="00865CB6">
        <w:t>Most groundwater samples for the Antrim Plateau Volcanics are from the northern parts of the region (</w:t>
      </w:r>
      <w:r w:rsidRPr="003B1A10">
        <w:fldChar w:fldCharType="begin"/>
      </w:r>
      <w:r w:rsidRPr="00865CB6">
        <w:instrText xml:space="preserve"> REF _Ref536019117 \h  \* MERGEFORMAT </w:instrText>
      </w:r>
      <w:r w:rsidRPr="003B1A10">
        <w:fldChar w:fldCharType="separate"/>
      </w:r>
      <w:r w:rsidR="00B177F5" w:rsidRPr="00ED145E">
        <w:t xml:space="preserve">Figure </w:t>
      </w:r>
      <w:r w:rsidR="00B177F5">
        <w:rPr>
          <w:noProof/>
        </w:rPr>
        <w:t>36</w:t>
      </w:r>
      <w:r w:rsidRPr="003B1A10">
        <w:fldChar w:fldCharType="end"/>
      </w:r>
      <w:r w:rsidRPr="00865CB6">
        <w:t xml:space="preserve">), and it is unknown if they are representative of groundwater further south. Where information is available, </w:t>
      </w:r>
      <w:r w:rsidR="00F04A27" w:rsidRPr="00865CB6">
        <w:t xml:space="preserve">groundwater quality is typically </w:t>
      </w:r>
      <w:r w:rsidR="00DE4C0C" w:rsidRPr="00CF40AD">
        <w:t>non-</w:t>
      </w:r>
      <w:r w:rsidR="00F04A27" w:rsidRPr="00865CB6">
        <w:t xml:space="preserve">saline </w:t>
      </w:r>
      <w:r w:rsidR="00A541ED" w:rsidRPr="003B1A10">
        <w:fldChar w:fldCharType="begin"/>
      </w:r>
      <w:r w:rsidR="00F76E0D">
        <w:instrText xml:space="preserve"> ADDIN EN.CITE &lt;EndNote&gt;&lt;Cite&gt;&lt;Author&gt;FAO&lt;/Author&gt;&lt;Year&gt;1992&lt;/Year&gt;&lt;RecNum&gt;732&lt;/RecNum&gt;&lt;DisplayText&gt;(FAO, 1992)&lt;/DisplayText&gt;&lt;record&gt;&lt;rec-number&gt;732&lt;/rec-number&gt;&lt;foreign-keys&gt;&lt;key app="EN" db-id="wdf9tzzdhw2saee559kv0vezt0wfsta0zedv" timestamp="1550544783"&gt;732&lt;/key&gt;&lt;/foreign-keys&gt;&lt;ref-type name="Report"&gt;27&lt;/ref-type&gt;&lt;contributors&gt;&lt;authors&gt;&lt;author&gt;FAO&lt;/author&gt;&lt;/authors&gt;&lt;/contributors&gt;&lt;titles&gt;&lt;title&gt;The use of saline waters for crop production - FAO irrigation and drainage paper 48. Rome: FAO&lt;/title&gt;&lt;/titles&gt;&lt;dates&gt;&lt;year&gt;1992&lt;/year&gt;&lt;/dates&gt;&lt;pub-location&gt;Rome&lt;/pub-location&gt;&lt;publisher&gt;Food and Agriculture Organization of the United Nations&lt;/publisher&gt;&lt;urls&gt;&lt;related-urls&gt;&lt;url&gt;&lt;style face="underline" font="default" size="100%"&gt;http://www.fao.org/docrep/T0667E/T0667E00.htm&lt;/style&gt;&lt;/url&gt;&lt;/related-urls&gt;&lt;/urls&gt;&lt;access-date&gt;24 October 2019&lt;/access-date&gt;&lt;/record&gt;&lt;/Cite&gt;&lt;/EndNote&gt;</w:instrText>
      </w:r>
      <w:r w:rsidR="00A541ED" w:rsidRPr="003B1A10">
        <w:fldChar w:fldCharType="separate"/>
      </w:r>
      <w:r w:rsidR="00A541ED" w:rsidRPr="00865CB6">
        <w:rPr>
          <w:noProof/>
        </w:rPr>
        <w:t>(FAO, 1992)</w:t>
      </w:r>
      <w:r w:rsidR="00A541ED" w:rsidRPr="003B1A10">
        <w:fldChar w:fldCharType="end"/>
      </w:r>
      <w:r w:rsidRPr="00865CB6">
        <w:t>, with</w:t>
      </w:r>
      <w:r w:rsidR="00F04A27" w:rsidRPr="00865CB6">
        <w:t xml:space="preserve"> </w:t>
      </w:r>
      <w:r w:rsidR="00E2259E" w:rsidRPr="00865CB6">
        <w:t>TDS rang</w:t>
      </w:r>
      <w:r w:rsidRPr="00865CB6">
        <w:t>ing</w:t>
      </w:r>
      <w:r w:rsidR="00E2259E" w:rsidRPr="00865CB6">
        <w:t xml:space="preserve"> from </w:t>
      </w:r>
      <w:r w:rsidR="00DE4C0C" w:rsidRPr="00CF40AD">
        <w:t>210-872</w:t>
      </w:r>
      <w:r w:rsidR="00E2259E" w:rsidRPr="00865CB6">
        <w:t xml:space="preserve"> mg/</w:t>
      </w:r>
      <w:r w:rsidR="0057355B">
        <w:t>L</w:t>
      </w:r>
      <w:r w:rsidR="00E2259E" w:rsidRPr="00865CB6">
        <w:t xml:space="preserve"> </w:t>
      </w:r>
      <w:r w:rsidRPr="00865CB6">
        <w:t>(</w:t>
      </w:r>
      <w:r w:rsidR="00E2259E" w:rsidRPr="00865CB6">
        <w:t xml:space="preserve">average </w:t>
      </w:r>
      <w:r w:rsidR="00DE4C0C" w:rsidRPr="00865CB6">
        <w:t>496</w:t>
      </w:r>
      <w:r w:rsidR="00E2259E" w:rsidRPr="00CF40AD">
        <w:t xml:space="preserve"> mg/</w:t>
      </w:r>
      <w:r w:rsidR="0057355B">
        <w:t>L</w:t>
      </w:r>
      <w:r w:rsidRPr="00865CB6">
        <w:t>)</w:t>
      </w:r>
      <w:r w:rsidR="00E2259E" w:rsidRPr="00CF40AD">
        <w:t xml:space="preserve">. </w:t>
      </w:r>
      <w:r w:rsidR="00E2259E" w:rsidRPr="003B1A10">
        <w:fldChar w:fldCharType="begin"/>
      </w:r>
      <w:r w:rsidR="00E2259E" w:rsidRPr="00CF40AD">
        <w:instrText xml:space="preserve"> REF _Ref536019117 \h </w:instrText>
      </w:r>
      <w:r w:rsidR="006F18C7" w:rsidRPr="00CF40AD">
        <w:instrText xml:space="preserve"> \* MERGEFORMAT </w:instrText>
      </w:r>
      <w:r w:rsidR="00E2259E" w:rsidRPr="003B1A10">
        <w:fldChar w:fldCharType="separate"/>
      </w:r>
      <w:r w:rsidR="00B177F5" w:rsidRPr="00ED145E">
        <w:t xml:space="preserve">Figure </w:t>
      </w:r>
      <w:r w:rsidR="00B177F5">
        <w:rPr>
          <w:noProof/>
        </w:rPr>
        <w:t>36</w:t>
      </w:r>
      <w:r w:rsidR="00E2259E" w:rsidRPr="003B1A10">
        <w:fldChar w:fldCharType="end"/>
      </w:r>
      <w:r w:rsidR="00E2259E" w:rsidRPr="00CF40AD">
        <w:t xml:space="preserve"> presents the available information for this unit, with no distinct spatial trends evident. </w:t>
      </w:r>
      <w:r w:rsidRPr="00865CB6">
        <w:t>Groundw</w:t>
      </w:r>
      <w:r w:rsidR="00E2259E" w:rsidRPr="00CF40AD">
        <w:t>aters of the Antrim Plateau Volcanics and equivalents show a general Ca</w:t>
      </w:r>
      <w:r w:rsidR="00DE4C0C" w:rsidRPr="00CF40AD">
        <w:t>-Na</w:t>
      </w:r>
      <w:r w:rsidR="00E2259E" w:rsidRPr="00CF40AD">
        <w:t xml:space="preserve"> cationic and HCO</w:t>
      </w:r>
      <w:r w:rsidR="00E2259E" w:rsidRPr="00001C61">
        <w:rPr>
          <w:rStyle w:val="Subscript"/>
        </w:rPr>
        <w:t>3</w:t>
      </w:r>
      <w:r w:rsidR="00E2259E" w:rsidRPr="00CF40AD">
        <w:t xml:space="preserve"> anionic-dominated signature</w:t>
      </w:r>
      <w:r w:rsidR="005C7C08" w:rsidRPr="00CF40AD">
        <w:t xml:space="preserve"> (</w:t>
      </w:r>
      <w:r w:rsidR="005C7C08" w:rsidRPr="00E43A80">
        <w:fldChar w:fldCharType="begin"/>
      </w:r>
      <w:r w:rsidR="005C7C08" w:rsidRPr="00CF40AD">
        <w:instrText xml:space="preserve"> REF _Ref164780 \h </w:instrText>
      </w:r>
      <w:r w:rsidR="006F18C7" w:rsidRPr="00CF40AD">
        <w:instrText xml:space="preserve"> \* MERGEFORMAT </w:instrText>
      </w:r>
      <w:r w:rsidR="005C7C08" w:rsidRPr="00E43A80">
        <w:rPr>
          <w:iCs/>
        </w:rPr>
        <w:fldChar w:fldCharType="separate"/>
      </w:r>
      <w:r w:rsidR="00B177F5" w:rsidRPr="00ED145E">
        <w:t xml:space="preserve">Figure </w:t>
      </w:r>
      <w:r w:rsidR="00B177F5">
        <w:rPr>
          <w:noProof/>
        </w:rPr>
        <w:t>35</w:t>
      </w:r>
      <w:r w:rsidR="005C7C08" w:rsidRPr="00E43A80">
        <w:fldChar w:fldCharType="end"/>
      </w:r>
      <w:r w:rsidR="005C7C08" w:rsidRPr="00CF40AD">
        <w:t>)</w:t>
      </w:r>
      <w:r w:rsidR="00696D57">
        <w:t>. Chemistry may</w:t>
      </w:r>
      <w:r w:rsidR="00E2259E" w:rsidRPr="00CF40AD">
        <w:t xml:space="preserve"> </w:t>
      </w:r>
      <w:r w:rsidR="00CD75AC" w:rsidRPr="00CF40AD">
        <w:t xml:space="preserve">possibly </w:t>
      </w:r>
      <w:r w:rsidR="00696D57">
        <w:t>be</w:t>
      </w:r>
      <w:r w:rsidR="00CD75AC">
        <w:t xml:space="preserve"> </w:t>
      </w:r>
      <w:r w:rsidR="00B715E5" w:rsidRPr="00CF40AD">
        <w:t>commensurate with</w:t>
      </w:r>
      <w:r w:rsidR="00E2259E" w:rsidRPr="00CF40AD">
        <w:t xml:space="preserve"> interaction with the CLA</w:t>
      </w:r>
      <w:r w:rsidR="00B715E5" w:rsidRPr="00CF40AD">
        <w:t>,</w:t>
      </w:r>
      <w:r w:rsidR="00E2259E" w:rsidRPr="00CF40AD">
        <w:t xml:space="preserve"> at least in areas where fracturing/weathering has occurred</w:t>
      </w:r>
      <w:r w:rsidR="40810253" w:rsidRPr="00CF40AD">
        <w:t>,</w:t>
      </w:r>
      <w:r w:rsidR="00E2259E" w:rsidRPr="00CF40AD">
        <w:t xml:space="preserve"> and the formation exhibits aquifer properties. </w:t>
      </w:r>
    </w:p>
    <w:p w14:paraId="50A6910C" w14:textId="77777777" w:rsidR="00E2259E" w:rsidRPr="00DE4C0C" w:rsidRDefault="00E2259E" w:rsidP="005B07E3">
      <w:pPr>
        <w:pStyle w:val="Heading5"/>
      </w:pPr>
      <w:bookmarkStart w:id="768" w:name="_Ref5787383"/>
      <w:r w:rsidRPr="00DE4C0C">
        <w:t>Cambrian Limestone Aquifer</w:t>
      </w:r>
      <w:bookmarkEnd w:id="768"/>
    </w:p>
    <w:p w14:paraId="21155200" w14:textId="4133DE49" w:rsidR="00481A75" w:rsidRPr="00481A75" w:rsidRDefault="00481A75" w:rsidP="00CF40AD">
      <w:pPr>
        <w:pStyle w:val="BodyText"/>
      </w:pPr>
      <w:r>
        <w:t xml:space="preserve">Although there are abundant hydrochemistry data for the CLA systems, </w:t>
      </w:r>
      <w:r w:rsidRPr="00E43A80">
        <w:fldChar w:fldCharType="begin"/>
      </w:r>
      <w:r w:rsidRPr="004667CC">
        <w:instrText xml:space="preserve"> REF _Ref170861 \h </w:instrText>
      </w:r>
      <w:r w:rsidRPr="00154068">
        <w:instrText xml:space="preserve"> \* MERGEFORMAT </w:instrText>
      </w:r>
      <w:r w:rsidRPr="00E43A80">
        <w:fldChar w:fldCharType="separate"/>
      </w:r>
      <w:r w:rsidR="00B177F5" w:rsidRPr="00ED145E">
        <w:t>Figu</w:t>
      </w:r>
      <w:r w:rsidR="00B177F5" w:rsidRPr="00981F6E">
        <w:t xml:space="preserve">re </w:t>
      </w:r>
      <w:r w:rsidR="00B177F5">
        <w:rPr>
          <w:noProof/>
        </w:rPr>
        <w:t>37</w:t>
      </w:r>
      <w:r w:rsidRPr="00E43A80">
        <w:fldChar w:fldCharType="end"/>
      </w:r>
      <w:r>
        <w:t xml:space="preserve"> shows that groundwater chemistry is variable and spatial coverage is localised in both the upper and lower CLA. The discussions below pertain to the locations where data are available, and detailed chemistry may vary elsewhere.</w:t>
      </w:r>
    </w:p>
    <w:p w14:paraId="211766E8" w14:textId="567ACD3C" w:rsidR="00E2259E" w:rsidRPr="00DE4C0C" w:rsidRDefault="00E2259E" w:rsidP="005B07E3">
      <w:pPr>
        <w:pStyle w:val="Heading6"/>
      </w:pPr>
      <w:r w:rsidRPr="00DE4C0C">
        <w:t>Gum Ridge Formation</w:t>
      </w:r>
      <w:r w:rsidR="00F040AB" w:rsidRPr="00DE4C0C">
        <w:t xml:space="preserve"> and equivalents</w:t>
      </w:r>
      <w:r w:rsidRPr="00DE4C0C">
        <w:t xml:space="preserve"> (</w:t>
      </w:r>
      <w:r w:rsidR="00BB6D37">
        <w:t>l</w:t>
      </w:r>
      <w:r w:rsidRPr="00DE4C0C">
        <w:t>ower CLA)</w:t>
      </w:r>
    </w:p>
    <w:p w14:paraId="19D39B30" w14:textId="2E4ACB9A" w:rsidR="00E2259E" w:rsidRPr="004667CC" w:rsidRDefault="00DE4C0C" w:rsidP="00E2259E">
      <w:pPr>
        <w:pStyle w:val="BodyText"/>
      </w:pPr>
      <w:r>
        <w:t xml:space="preserve">Salinity levels </w:t>
      </w:r>
      <w:r w:rsidR="00CE2E83">
        <w:t>(TDS)</w:t>
      </w:r>
      <w:r>
        <w:t xml:space="preserve"> in the lower CLA ranged from 93 </w:t>
      </w:r>
      <w:r w:rsidR="006B4766">
        <w:t>to</w:t>
      </w:r>
      <w:r>
        <w:t xml:space="preserve"> 1990 mg/</w:t>
      </w:r>
      <w:r w:rsidR="0057355B">
        <w:t>L</w:t>
      </w:r>
      <w:r w:rsidR="00696D57">
        <w:t xml:space="preserve"> (</w:t>
      </w:r>
      <w:r>
        <w:t>average of 820 mg/</w:t>
      </w:r>
      <w:r w:rsidR="0057355B">
        <w:t>L</w:t>
      </w:r>
      <w:r w:rsidR="00696D57">
        <w:t>),</w:t>
      </w:r>
      <w:r>
        <w:t xml:space="preserve"> and are generally classed as slightly saline </w:t>
      </w:r>
      <w:r w:rsidRPr="004D7726">
        <w:fldChar w:fldCharType="begin"/>
      </w:r>
      <w:r w:rsidR="00F76E0D">
        <w:instrText xml:space="preserve"> ADDIN EN.CITE &lt;EndNote&gt;&lt;Cite&gt;&lt;Author&gt;FAO&lt;/Author&gt;&lt;Year&gt;1992&lt;/Year&gt;&lt;RecNum&gt;732&lt;/RecNum&gt;&lt;DisplayText&gt;(FAO, 1992)&lt;/DisplayText&gt;&lt;record&gt;&lt;rec-number&gt;732&lt;/rec-number&gt;&lt;foreign-keys&gt;&lt;key app="EN" db-id="wdf9tzzdhw2saee559kv0vezt0wfsta0zedv" timestamp="1550544783"&gt;732&lt;/key&gt;&lt;/foreign-keys&gt;&lt;ref-type name="Report"&gt;27&lt;/ref-type&gt;&lt;contributors&gt;&lt;authors&gt;&lt;author&gt;FAO&lt;/author&gt;&lt;/authors&gt;&lt;/contributors&gt;&lt;titles&gt;&lt;title&gt;The use of saline waters for crop production - FAO irrigation and drainage paper 48. Rome: FAO&lt;/title&gt;&lt;/titles&gt;&lt;dates&gt;&lt;year&gt;1992&lt;/year&gt;&lt;/dates&gt;&lt;pub-location&gt;Rome&lt;/pub-location&gt;&lt;publisher&gt;Food and Agriculture Organization of the United Nations&lt;/publisher&gt;&lt;urls&gt;&lt;related-urls&gt;&lt;url&gt;&lt;style face="underline" font="default" size="100%"&gt;http://www.fao.org/docrep/T0667E/T0667E00.htm&lt;/style&gt;&lt;/url&gt;&lt;/related-urls&gt;&lt;/urls&gt;&lt;access-date&gt;24 October 2019&lt;/access-date&gt;&lt;/record&gt;&lt;/Cite&gt;&lt;/EndNote&gt;</w:instrText>
      </w:r>
      <w:r w:rsidRPr="004D7726">
        <w:fldChar w:fldCharType="separate"/>
      </w:r>
      <w:r w:rsidRPr="004D7726">
        <w:rPr>
          <w:noProof/>
        </w:rPr>
        <w:t>(FAO, 1992)</w:t>
      </w:r>
      <w:r w:rsidRPr="004D7726">
        <w:fldChar w:fldCharType="end"/>
      </w:r>
      <w:r>
        <w:t xml:space="preserve">. </w:t>
      </w:r>
      <w:r w:rsidR="00AE2878" w:rsidRPr="00DE4C0C">
        <w:t>TDS groundwater concentrations</w:t>
      </w:r>
      <w:r w:rsidR="00E2259E" w:rsidRPr="00DE4C0C">
        <w:t xml:space="preserve"> for these units </w:t>
      </w:r>
      <w:r w:rsidR="00E2259E" w:rsidRPr="004667CC">
        <w:t xml:space="preserve">are presented in </w:t>
      </w:r>
      <w:r w:rsidR="00E2259E" w:rsidRPr="00E43A80">
        <w:fldChar w:fldCharType="begin"/>
      </w:r>
      <w:r w:rsidR="00E2259E" w:rsidRPr="004667CC">
        <w:instrText xml:space="preserve"> REF _Ref536019117 \h </w:instrText>
      </w:r>
      <w:r w:rsidR="006F18C7" w:rsidRPr="00CF40AD">
        <w:instrText xml:space="preserve"> \* MERGEFORMAT </w:instrText>
      </w:r>
      <w:r w:rsidR="00E2259E" w:rsidRPr="00E43A80">
        <w:fldChar w:fldCharType="separate"/>
      </w:r>
      <w:r w:rsidR="00B177F5" w:rsidRPr="00ED145E">
        <w:t xml:space="preserve">Figure </w:t>
      </w:r>
      <w:r w:rsidR="00B177F5">
        <w:rPr>
          <w:noProof/>
        </w:rPr>
        <w:t>36</w:t>
      </w:r>
      <w:r w:rsidR="00E2259E" w:rsidRPr="00E43A80">
        <w:fldChar w:fldCharType="end"/>
      </w:r>
      <w:r w:rsidR="00E2259E" w:rsidRPr="004667CC">
        <w:t>,</w:t>
      </w:r>
      <w:r w:rsidR="00AE2878" w:rsidRPr="004667CC">
        <w:t xml:space="preserve"> while</w:t>
      </w:r>
      <w:r w:rsidR="00E2259E" w:rsidRPr="004667CC">
        <w:t xml:space="preserve"> </w:t>
      </w:r>
      <w:r w:rsidR="00E2259E" w:rsidRPr="00E43A80">
        <w:fldChar w:fldCharType="begin"/>
      </w:r>
      <w:r w:rsidR="00E2259E" w:rsidRPr="004667CC">
        <w:instrText xml:space="preserve"> REF _Ref170861 \h </w:instrText>
      </w:r>
      <w:r w:rsidR="006F18C7" w:rsidRPr="00CF40AD">
        <w:instrText xml:space="preserve"> \* MERGEFORMAT </w:instrText>
      </w:r>
      <w:r w:rsidR="00E2259E" w:rsidRPr="00E43A80">
        <w:fldChar w:fldCharType="separate"/>
      </w:r>
      <w:r w:rsidR="00B177F5" w:rsidRPr="00ED145E">
        <w:t>Figu</w:t>
      </w:r>
      <w:r w:rsidR="00B177F5" w:rsidRPr="00981F6E">
        <w:t xml:space="preserve">re </w:t>
      </w:r>
      <w:r w:rsidR="00B177F5">
        <w:rPr>
          <w:noProof/>
        </w:rPr>
        <w:t>37</w:t>
      </w:r>
      <w:r w:rsidR="00E2259E" w:rsidRPr="00E43A80">
        <w:fldChar w:fldCharType="end"/>
      </w:r>
      <w:r w:rsidR="00E2259E" w:rsidRPr="004667CC">
        <w:t xml:space="preserve"> presents a colour-coded piper diagram showing ionic composition variations. </w:t>
      </w:r>
    </w:p>
    <w:p w14:paraId="65F55029" w14:textId="403E66CD" w:rsidR="00E2259E" w:rsidRPr="004667CC" w:rsidRDefault="00E2259E" w:rsidP="00E2259E">
      <w:pPr>
        <w:pStyle w:val="BodyText"/>
      </w:pPr>
      <w:r w:rsidRPr="004667CC">
        <w:t>Salinity levels in the waters of the Tindall Limestone</w:t>
      </w:r>
      <w:r w:rsidR="004667CC" w:rsidRPr="00CF40AD">
        <w:t xml:space="preserve"> (Daly Basin) </w:t>
      </w:r>
      <w:r w:rsidRPr="004667CC">
        <w:t>and Montejinni Limestone</w:t>
      </w:r>
      <w:r w:rsidR="004667CC" w:rsidRPr="00CF40AD">
        <w:t xml:space="preserve"> (Wiso Basin)</w:t>
      </w:r>
      <w:r w:rsidRPr="004667CC">
        <w:t xml:space="preserve"> are typically of better quality (</w:t>
      </w:r>
      <w:r w:rsidR="00CE2E83">
        <w:t>TDS</w:t>
      </w:r>
      <w:r w:rsidR="004667CC" w:rsidRPr="00CF40AD">
        <w:t>~</w:t>
      </w:r>
      <w:r w:rsidRPr="004667CC">
        <w:t>500 mg/</w:t>
      </w:r>
      <w:r w:rsidR="0057355B">
        <w:t>L</w:t>
      </w:r>
      <w:r w:rsidRPr="004667CC">
        <w:t xml:space="preserve">) than the waters of the Gum Ridge </w:t>
      </w:r>
      <w:r w:rsidR="0017117F" w:rsidRPr="004667CC">
        <w:t xml:space="preserve">Formation </w:t>
      </w:r>
      <w:r w:rsidR="004667CC" w:rsidRPr="00CF40AD">
        <w:t xml:space="preserve">(Georgina Basin) </w:t>
      </w:r>
      <w:r w:rsidRPr="004667CC">
        <w:t>where salinity generally ranges from 50</w:t>
      </w:r>
      <w:r w:rsidR="00EA6795" w:rsidRPr="004667CC">
        <w:t>0-1500 mg/L.</w:t>
      </w:r>
      <w:r w:rsidR="00EA6795" w:rsidRPr="004667CC" w:rsidDel="004667CC">
        <w:t xml:space="preserve"> </w:t>
      </w:r>
      <w:r w:rsidR="00AE2878" w:rsidRPr="004667CC">
        <w:t>L</w:t>
      </w:r>
      <w:r w:rsidRPr="004667CC">
        <w:t>ower salinity in the Tinda</w:t>
      </w:r>
      <w:r w:rsidR="00AE2878" w:rsidRPr="004667CC">
        <w:t>l</w:t>
      </w:r>
      <w:r w:rsidRPr="004667CC">
        <w:t xml:space="preserve">l Limestone and Montejinni Limestone is thought to be a result of increased direct recharge due to erosion of overlying Cretaceous material and the presence of sinkholes in the landscape. </w:t>
      </w:r>
    </w:p>
    <w:p w14:paraId="0F1118ED" w14:textId="1109EE40" w:rsidR="00E2259E" w:rsidRPr="00CF40AD" w:rsidRDefault="00E713E9" w:rsidP="00E2259E">
      <w:pPr>
        <w:pStyle w:val="BodyText"/>
      </w:pPr>
      <w:r>
        <w:t>Groundwater from the</w:t>
      </w:r>
      <w:r w:rsidR="00E2259E" w:rsidRPr="00CF40AD">
        <w:t xml:space="preserve"> Montejinni Limestone (Wiso Basin) and the western portion of the Tindall Limestone (Daly Basin)</w:t>
      </w:r>
      <w:r>
        <w:t>,</w:t>
      </w:r>
      <w:r w:rsidR="00E2259E" w:rsidRPr="00CF40AD">
        <w:t xml:space="preserve"> show </w:t>
      </w:r>
      <w:r w:rsidRPr="00CF40AD">
        <w:t>an</w:t>
      </w:r>
      <w:r w:rsidR="00E2259E" w:rsidRPr="00CF40AD">
        <w:t xml:space="preserve"> </w:t>
      </w:r>
      <w:r w:rsidR="00E2259E" w:rsidRPr="00CF40AD">
        <w:rPr>
          <w:iCs/>
        </w:rPr>
        <w:t>Mg</w:t>
      </w:r>
      <w:r w:rsidR="007D45BA">
        <w:rPr>
          <w:iCs/>
        </w:rPr>
        <w:t xml:space="preserve"> - </w:t>
      </w:r>
      <w:r w:rsidR="00E2259E" w:rsidDel="004667CC">
        <w:t>Ca</w:t>
      </w:r>
      <w:r w:rsidR="00E2259E" w:rsidRPr="00CF40AD" w:rsidDel="004667CC">
        <w:t xml:space="preserve"> </w:t>
      </w:r>
      <w:r w:rsidR="00E2259E" w:rsidRPr="00CF40AD">
        <w:t>cationic and HCO</w:t>
      </w:r>
      <w:r w:rsidR="00E2259E" w:rsidRPr="00001C61">
        <w:rPr>
          <w:rStyle w:val="Subscript"/>
        </w:rPr>
        <w:t>3</w:t>
      </w:r>
      <w:r w:rsidR="00E2259E" w:rsidRPr="00CF40AD">
        <w:t xml:space="preserve"> anionic signature</w:t>
      </w:r>
      <w:r w:rsidR="004667CC" w:rsidRPr="00CF40AD">
        <w:t>.</w:t>
      </w:r>
      <w:r w:rsidR="00E2259E" w:rsidRPr="00CF40AD">
        <w:t xml:space="preserve"> This area of the CLA aquifer </w:t>
      </w:r>
      <w:r w:rsidR="005C7C08" w:rsidRPr="00CF40AD">
        <w:t xml:space="preserve">is shown spatially </w:t>
      </w:r>
      <w:r w:rsidR="00E2259E" w:rsidRPr="00CF40AD">
        <w:t>by the red-shaded samples presented in the colour-coded piper diagram (</w:t>
      </w:r>
      <w:r w:rsidR="00E2259E" w:rsidRPr="00CF40AD">
        <w:fldChar w:fldCharType="begin"/>
      </w:r>
      <w:r w:rsidR="00E2259E" w:rsidRPr="00CF40AD">
        <w:instrText xml:space="preserve"> REF _Ref170861 \h </w:instrText>
      </w:r>
      <w:r w:rsidR="006F18C7" w:rsidRPr="00CF40AD">
        <w:instrText xml:space="preserve"> \* MERGEFORMAT </w:instrText>
      </w:r>
      <w:r w:rsidR="00E2259E" w:rsidRPr="00CF40AD">
        <w:fldChar w:fldCharType="separate"/>
      </w:r>
      <w:r w:rsidR="00B177F5" w:rsidRPr="00ED145E">
        <w:t>Figu</w:t>
      </w:r>
      <w:r w:rsidR="00B177F5" w:rsidRPr="00981F6E">
        <w:t xml:space="preserve">re </w:t>
      </w:r>
      <w:r w:rsidR="00B177F5">
        <w:rPr>
          <w:noProof/>
        </w:rPr>
        <w:t>37</w:t>
      </w:r>
      <w:r w:rsidR="00E2259E" w:rsidRPr="00CF40AD">
        <w:fldChar w:fldCharType="end"/>
      </w:r>
      <w:r w:rsidR="00E2259E" w:rsidRPr="00CF40AD">
        <w:t>). The high proportion of</w:t>
      </w:r>
      <w:r w:rsidR="004667CC" w:rsidRPr="00CF40AD">
        <w:t xml:space="preserve"> </w:t>
      </w:r>
      <w:r w:rsidR="00E2259E" w:rsidRPr="00CF40AD">
        <w:t>Mg</w:t>
      </w:r>
      <w:r w:rsidR="007D45BA">
        <w:rPr>
          <w:iCs/>
        </w:rPr>
        <w:t xml:space="preserve"> and Ca</w:t>
      </w:r>
      <w:r w:rsidR="00E2259E" w:rsidRPr="00CF40AD">
        <w:t xml:space="preserve"> and HCO</w:t>
      </w:r>
      <w:r w:rsidR="00E2259E" w:rsidRPr="00001C61">
        <w:rPr>
          <w:rStyle w:val="Subscript"/>
        </w:rPr>
        <w:t>3</w:t>
      </w:r>
      <w:r w:rsidR="00E2259E" w:rsidRPr="00CF40AD">
        <w:t xml:space="preserve"> is characteristic of groundwater influenced by the limestone and dolomitic aquifer systems. In contrast, these waters are geochemically distinct from the groundwater of the Georgina Basin to the east</w:t>
      </w:r>
      <w:r w:rsidR="003D2727" w:rsidRPr="00CF40AD">
        <w:t xml:space="preserve">, </w:t>
      </w:r>
      <w:r w:rsidR="00E2259E" w:rsidRPr="00CF40AD">
        <w:t>which show a more mixed groundwater signature</w:t>
      </w:r>
      <w:r w:rsidR="003D2727" w:rsidRPr="00CF40AD">
        <w:t xml:space="preserve"> (</w:t>
      </w:r>
      <w:r w:rsidR="00E2259E" w:rsidRPr="00CF40AD">
        <w:t xml:space="preserve">as shown by the sharp change in colouring in </w:t>
      </w:r>
      <w:r w:rsidR="00E2259E" w:rsidRPr="00CF40AD">
        <w:fldChar w:fldCharType="begin"/>
      </w:r>
      <w:r w:rsidR="00E2259E" w:rsidRPr="00CF40AD">
        <w:instrText xml:space="preserve"> REF _Ref170861 \h </w:instrText>
      </w:r>
      <w:r w:rsidR="006F18C7" w:rsidRPr="00CF40AD">
        <w:instrText xml:space="preserve"> \* MERGEFORMAT </w:instrText>
      </w:r>
      <w:r w:rsidR="00E2259E" w:rsidRPr="00CF40AD">
        <w:fldChar w:fldCharType="separate"/>
      </w:r>
      <w:r w:rsidR="00B177F5" w:rsidRPr="00ED145E">
        <w:t>Figu</w:t>
      </w:r>
      <w:r w:rsidR="00B177F5" w:rsidRPr="00981F6E">
        <w:t xml:space="preserve">re </w:t>
      </w:r>
      <w:r w:rsidR="00B177F5">
        <w:rPr>
          <w:noProof/>
        </w:rPr>
        <w:t>37</w:t>
      </w:r>
      <w:r w:rsidR="00E2259E" w:rsidRPr="00CF40AD">
        <w:fldChar w:fldCharType="end"/>
      </w:r>
      <w:r w:rsidR="00E2259E" w:rsidRPr="00CF40AD">
        <w:t xml:space="preserve"> along the basin boundary</w:t>
      </w:r>
      <w:r w:rsidR="003D2727" w:rsidRPr="00CF40AD">
        <w:t>)</w:t>
      </w:r>
      <w:r w:rsidR="00E2259E" w:rsidRPr="00CF40AD">
        <w:t xml:space="preserve">. This demonstrates the groundwater divide that exists between the Wiso and Georgina </w:t>
      </w:r>
      <w:r w:rsidR="002E1294">
        <w:t>b</w:t>
      </w:r>
      <w:r w:rsidR="00E2259E" w:rsidRPr="00CF40AD">
        <w:t>asin</w:t>
      </w:r>
      <w:r w:rsidR="002E1294">
        <w:t>s</w:t>
      </w:r>
      <w:r w:rsidR="007B0B06" w:rsidRPr="00CF40AD">
        <w:t xml:space="preserve">, and </w:t>
      </w:r>
      <w:r w:rsidR="005F3E4D">
        <w:rPr>
          <w:iCs/>
        </w:rPr>
        <w:t>adds weight to</w:t>
      </w:r>
      <w:r w:rsidR="007B0B06" w:rsidRPr="00CF40AD">
        <w:t xml:space="preserve"> the groundwater flow interpretation in Section </w:t>
      </w:r>
      <w:r w:rsidR="007B0B06" w:rsidRPr="00CF40AD">
        <w:fldChar w:fldCharType="begin"/>
      </w:r>
      <w:r w:rsidR="007B0B06" w:rsidRPr="00CF40AD">
        <w:instrText xml:space="preserve"> REF _Ref5787823 \r \h </w:instrText>
      </w:r>
      <w:r w:rsidR="006F18C7" w:rsidRPr="00CF40AD">
        <w:instrText xml:space="preserve"> \* MERGEFORMAT </w:instrText>
      </w:r>
      <w:r w:rsidR="007B0B06" w:rsidRPr="00CF40AD">
        <w:fldChar w:fldCharType="separate"/>
      </w:r>
      <w:r w:rsidR="00B177F5" w:rsidRPr="00B177F5">
        <w:rPr>
          <w:iCs/>
        </w:rPr>
        <w:t>3.3.3.2</w:t>
      </w:r>
      <w:r w:rsidR="007B0B06" w:rsidRPr="00CF40AD">
        <w:fldChar w:fldCharType="end"/>
      </w:r>
      <w:r w:rsidR="007B0B06" w:rsidRPr="00CF40AD">
        <w:t>.</w:t>
      </w:r>
    </w:p>
    <w:p w14:paraId="0C4017D0" w14:textId="1C5A151B" w:rsidR="006C16A0" w:rsidRPr="00AC418C" w:rsidRDefault="006C16A0" w:rsidP="009172F5">
      <w:pPr>
        <w:pStyle w:val="BodyText"/>
      </w:pPr>
      <w:r w:rsidRPr="00AC418C">
        <w:t>A cluster of higher salinity bores (</w:t>
      </w:r>
      <w:r w:rsidR="00CE2E83" w:rsidRPr="00AC418C">
        <w:t>TDS</w:t>
      </w:r>
      <w:r w:rsidRPr="00AC418C">
        <w:t>&gt;1500 mg/</w:t>
      </w:r>
      <w:r w:rsidR="0057355B">
        <w:t>L</w:t>
      </w:r>
      <w:r w:rsidRPr="00AC418C">
        <w:t xml:space="preserve">) is present around the southern boundary of the western </w:t>
      </w:r>
      <w:r w:rsidR="00852BC3" w:rsidRPr="00AC418C">
        <w:t>Beetaloo GBA region (</w:t>
      </w:r>
      <w:r w:rsidR="00852BC3" w:rsidRPr="253DFC29">
        <w:fldChar w:fldCharType="begin"/>
      </w:r>
      <w:r w:rsidR="00852BC3" w:rsidRPr="004667CC">
        <w:rPr>
          <w:rFonts w:asciiTheme="majorHAnsi" w:eastAsiaTheme="minorHAnsi" w:hAnsiTheme="majorHAnsi" w:cs="Arial"/>
          <w:color w:val="auto"/>
        </w:rPr>
        <w:instrText xml:space="preserve"> REF _Ref536019117 \h </w:instrText>
      </w:r>
      <w:r w:rsidR="006F18C7" w:rsidRPr="00CF40AD">
        <w:rPr>
          <w:rFonts w:asciiTheme="majorHAnsi" w:eastAsiaTheme="minorHAnsi" w:hAnsiTheme="majorHAnsi" w:cs="Arial"/>
          <w:color w:val="auto"/>
        </w:rPr>
        <w:instrText xml:space="preserve"> \* MERGEFORMAT </w:instrText>
      </w:r>
      <w:r w:rsidR="00852BC3" w:rsidRPr="253DFC29">
        <w:rPr>
          <w:rFonts w:asciiTheme="majorHAnsi" w:eastAsiaTheme="minorHAnsi" w:hAnsiTheme="majorHAnsi" w:cs="Arial"/>
          <w:color w:val="auto"/>
        </w:rPr>
        <w:fldChar w:fldCharType="separate"/>
      </w:r>
      <w:r w:rsidR="00B177F5" w:rsidRPr="00ED145E">
        <w:t xml:space="preserve">Figure </w:t>
      </w:r>
      <w:r w:rsidR="00B177F5">
        <w:rPr>
          <w:noProof/>
        </w:rPr>
        <w:t>36</w:t>
      </w:r>
      <w:r w:rsidR="00852BC3" w:rsidRPr="253DFC29">
        <w:fldChar w:fldCharType="end"/>
      </w:r>
      <w:r w:rsidR="00852BC3" w:rsidRPr="00AC418C">
        <w:t xml:space="preserve">). In this region, the groundwater exhibits a </w:t>
      </w:r>
      <w:r w:rsidR="0051662C" w:rsidRPr="00AC418C">
        <w:t xml:space="preserve">general </w:t>
      </w:r>
      <w:r w:rsidR="00852BC3" w:rsidRPr="004667CC">
        <w:t>Na</w:t>
      </w:r>
      <w:r w:rsidR="005F3E4D">
        <w:t>-</w:t>
      </w:r>
      <w:r w:rsidR="00852BC3" w:rsidRPr="004667CC">
        <w:t>Cl</w:t>
      </w:r>
      <w:r w:rsidR="0051662C" w:rsidRPr="004667CC">
        <w:t xml:space="preserve"> dominated </w:t>
      </w:r>
      <w:r w:rsidR="00852BC3" w:rsidRPr="004667CC">
        <w:t>signature (</w:t>
      </w:r>
      <w:r w:rsidR="00852BC3" w:rsidRPr="00E43A80">
        <w:fldChar w:fldCharType="begin"/>
      </w:r>
      <w:r w:rsidR="00852BC3" w:rsidRPr="004667CC">
        <w:instrText xml:space="preserve"> REF _Ref170861 \h </w:instrText>
      </w:r>
      <w:r w:rsidR="006F18C7" w:rsidRPr="00CF40AD">
        <w:instrText xml:space="preserve"> \* MERGEFORMAT </w:instrText>
      </w:r>
      <w:r w:rsidR="00852BC3" w:rsidRPr="00E43A80">
        <w:fldChar w:fldCharType="separate"/>
      </w:r>
      <w:r w:rsidR="00B177F5" w:rsidRPr="00ED145E">
        <w:t>Figu</w:t>
      </w:r>
      <w:r w:rsidR="00B177F5" w:rsidRPr="00981F6E">
        <w:t xml:space="preserve">re </w:t>
      </w:r>
      <w:r w:rsidR="00B177F5">
        <w:rPr>
          <w:noProof/>
        </w:rPr>
        <w:t>37</w:t>
      </w:r>
      <w:r w:rsidR="00852BC3" w:rsidRPr="00E43A80">
        <w:fldChar w:fldCharType="end"/>
      </w:r>
      <w:r w:rsidR="00852BC3" w:rsidRPr="004667CC">
        <w:t>)</w:t>
      </w:r>
      <w:r w:rsidR="009172F5" w:rsidRPr="004667CC">
        <w:t>. In this region</w:t>
      </w:r>
      <w:r w:rsidR="00BF672E" w:rsidRPr="004667CC">
        <w:t>,</w:t>
      </w:r>
      <w:r w:rsidR="009172F5" w:rsidRPr="004667CC">
        <w:t xml:space="preserve"> the Antrim Plateau Volcanics are absent, </w:t>
      </w:r>
      <w:r w:rsidR="00852BC3" w:rsidRPr="004667CC">
        <w:t xml:space="preserve">which may </w:t>
      </w:r>
      <w:r w:rsidR="00696D57">
        <w:t>indicate</w:t>
      </w:r>
      <w:r w:rsidR="00852BC3" w:rsidRPr="004667CC">
        <w:t xml:space="preserve"> a degree of mixing </w:t>
      </w:r>
      <w:r w:rsidR="009172F5" w:rsidRPr="004667CC">
        <w:t xml:space="preserve">between the CLA and the </w:t>
      </w:r>
      <w:r w:rsidR="00696D57">
        <w:t xml:space="preserve">underlying </w:t>
      </w:r>
      <w:r w:rsidR="009172F5" w:rsidRPr="004667CC">
        <w:t>Na</w:t>
      </w:r>
      <w:r w:rsidR="005F3E4D">
        <w:t>-</w:t>
      </w:r>
      <w:r w:rsidR="009172F5" w:rsidRPr="004667CC">
        <w:t xml:space="preserve">Cl </w:t>
      </w:r>
      <w:r w:rsidR="00696D57">
        <w:t xml:space="preserve">groundwater of the </w:t>
      </w:r>
      <w:r w:rsidR="009172F5" w:rsidRPr="004667CC">
        <w:t>Proterozoic rocks</w:t>
      </w:r>
      <w:r w:rsidR="0051662C" w:rsidRPr="004667CC">
        <w:t xml:space="preserve"> </w:t>
      </w:r>
      <w:r w:rsidR="004D6411">
        <w:fldChar w:fldCharType="begin"/>
      </w:r>
      <w:r w:rsidR="008F30E0">
        <w:instrText xml:space="preserve"> ADDIN EN.CITE &lt;EndNote&gt;&lt;Cite&gt;&lt;Author&gt;Fulton&lt;/Author&gt;&lt;Year&gt;2015&lt;/Year&gt;&lt;RecNum&gt;671&lt;/RecNum&gt;&lt;DisplayText&gt;(Fulton and Knapton, 2015b)&lt;/DisplayText&gt;&lt;record&gt;&lt;rec-number&gt;671&lt;/rec-number&gt;&lt;foreign-keys&gt;&lt;key app="EN" db-id="wdf9tzzdhw2saee559kv0vezt0wfsta0zedv" timestamp="1545264407"&gt;671&lt;/key&gt;&lt;key app="ENWeb" db-id=""&gt;0&lt;/key&gt;&lt;/foreign-keys&gt;&lt;ref-type name="Report"&gt;27&lt;/ref-type&gt;&lt;contributors&gt;&lt;authors&gt;&lt;author&gt;Fulton, S.&lt;/author&gt;&lt;author&gt;Knapton, A.&lt;/author&gt;&lt;/authors&gt;&lt;/contributors&gt;&lt;titles&gt;&lt;title&gt;Beetaloo Basin hydrogeological assessment. Cloud GMS&lt;/title&gt;&lt;/titles&gt;&lt;pages&gt;70&lt;/pages&gt;&lt;dates&gt;&lt;year&gt;2015&lt;/year&gt;&lt;pub-dates&gt;&lt;date&gt;February 2015&lt;/date&gt;&lt;/pub-dates&gt;&lt;/dates&gt;&lt;publisher&gt;Origin Energy Report 1 for Fracking Enquiry NT&lt;/publisher&gt;&lt;urls&gt;&lt;related-urls&gt;&lt;url&gt;https://frackinginquiry.nt.gov.au/?a=410609&lt;/url&gt;&lt;/related-urls&gt;&lt;/urls&gt;&lt;access-date&gt;28 November 2019&lt;/access-date&gt;&lt;/record&gt;&lt;/Cite&gt;&lt;/EndNote&gt;</w:instrText>
      </w:r>
      <w:r w:rsidR="004D6411">
        <w:fldChar w:fldCharType="separate"/>
      </w:r>
      <w:r w:rsidR="008F30E0">
        <w:rPr>
          <w:noProof/>
        </w:rPr>
        <w:t>(Fulton and Knapton, 2015b)</w:t>
      </w:r>
      <w:r w:rsidR="004D6411">
        <w:fldChar w:fldCharType="end"/>
      </w:r>
      <w:r w:rsidR="009172F5" w:rsidRPr="004667CC">
        <w:t xml:space="preserve">. </w:t>
      </w:r>
      <w:r w:rsidR="253DFC29">
        <w:t xml:space="preserve">However, further work is required to confirm this possibility. </w:t>
      </w:r>
      <w:r w:rsidR="009172F5" w:rsidRPr="004667CC">
        <w:t xml:space="preserve">It is also noted that DENR suggest that these higher salinity bores may in fact be installed in the Anthony Lagoon Formation, further </w:t>
      </w:r>
      <w:r w:rsidR="009172F5" w:rsidRPr="009752A7">
        <w:t xml:space="preserve">emphasising that the aquifer designations in </w:t>
      </w:r>
      <w:r w:rsidR="009752A7">
        <w:fldChar w:fldCharType="begin"/>
      </w:r>
      <w:r w:rsidR="008F30E0">
        <w:instrText xml:space="preserve"> ADDIN EN.CITE &lt;EndNote&gt;&lt;Cite&gt;&lt;Author&gt;Fulton&lt;/Author&gt;&lt;Year&gt;2015&lt;/Year&gt;&lt;RecNum&gt;671&lt;/RecNum&gt;&lt;DisplayText&gt;(Fulton and Knapton, 2015b)&lt;/DisplayText&gt;&lt;record&gt;&lt;rec-number&gt;671&lt;/rec-number&gt;&lt;foreign-keys&gt;&lt;key app="EN" db-id="wdf9tzzdhw2saee559kv0vezt0wfsta0zedv" timestamp="1545264407"&gt;671&lt;/key&gt;&lt;key app="ENWeb" db-id=""&gt;0&lt;/key&gt;&lt;/foreign-keys&gt;&lt;ref-type name="Report"&gt;27&lt;/ref-type&gt;&lt;contributors&gt;&lt;authors&gt;&lt;author&gt;Fulton, S.&lt;/author&gt;&lt;author&gt;Knapton, A.&lt;/author&gt;&lt;/authors&gt;&lt;/contributors&gt;&lt;titles&gt;&lt;title&gt;Beetaloo Basin hydrogeological assessment. Cloud GMS&lt;/title&gt;&lt;/titles&gt;&lt;pages&gt;70&lt;/pages&gt;&lt;dates&gt;&lt;year&gt;2015&lt;/year&gt;&lt;pub-dates&gt;&lt;date&gt;February 2015&lt;/date&gt;&lt;/pub-dates&gt;&lt;/dates&gt;&lt;publisher&gt;Origin Energy Report 1 for Fracking Enquiry NT&lt;/publisher&gt;&lt;urls&gt;&lt;related-urls&gt;&lt;url&gt;https://frackinginquiry.nt.gov.au/?a=410609&lt;/url&gt;&lt;/related-urls&gt;&lt;/urls&gt;&lt;access-date&gt;28 November 2019&lt;/access-date&gt;&lt;/record&gt;&lt;/Cite&gt;&lt;/EndNote&gt;</w:instrText>
      </w:r>
      <w:r w:rsidR="009752A7">
        <w:fldChar w:fldCharType="separate"/>
      </w:r>
      <w:r w:rsidR="008F30E0">
        <w:rPr>
          <w:noProof/>
        </w:rPr>
        <w:t>(Fulton and Knapton, 2015b)</w:t>
      </w:r>
      <w:r w:rsidR="009752A7">
        <w:fldChar w:fldCharType="end"/>
      </w:r>
      <w:r w:rsidR="009172F5" w:rsidRPr="009752A7">
        <w:t xml:space="preserve"> require careful checking in future</w:t>
      </w:r>
      <w:r w:rsidR="009172F5" w:rsidRPr="004667CC">
        <w:t xml:space="preserve">. </w:t>
      </w:r>
    </w:p>
    <w:p w14:paraId="1DF60262" w14:textId="33BEE93C" w:rsidR="00E2259E" w:rsidRPr="00AC418C" w:rsidRDefault="00E2259E" w:rsidP="72E93E9B">
      <w:pPr>
        <w:pStyle w:val="BodyText"/>
      </w:pPr>
      <w:r w:rsidRPr="004667CC">
        <w:t xml:space="preserve">The slightly elevated salinity of the Gum Ridge Formation has been attributed to </w:t>
      </w:r>
      <w:r w:rsidR="00BF672E" w:rsidRPr="004667CC">
        <w:t xml:space="preserve">the </w:t>
      </w:r>
      <w:r w:rsidRPr="00AC418C">
        <w:t xml:space="preserve">northward flow of water from the Georgina Basin and groundwater with progressively changing hydrochemistry through intermixture of the poorer quality groundwater from the Anthony Lagoon Formation </w:t>
      </w:r>
      <w:r w:rsidR="00A541ED" w:rsidRPr="00E43A80">
        <w:fldChar w:fldCharType="begin"/>
      </w:r>
      <w:r w:rsidR="00F76E0D">
        <w:instrText xml:space="preserve"> ADDIN EN.CITE &lt;EndNote&gt;&lt;Cite&gt;&lt;Author&gt;EcOz Environmental Consultants&lt;/Author&gt;&lt;Year&gt;2015&lt;/Year&gt;&lt;RecNum&gt;702&lt;/RecNum&gt;&lt;DisplayText&gt;(EcOz Environmental Consultants, 2015)&lt;/DisplayText&gt;&lt;record&gt;&lt;rec-number&gt;702&lt;/rec-number&gt;&lt;foreign-keys&gt;&lt;key app="EN" db-id="wdf9tzzdhw2saee559kv0vezt0wfsta0zedv" timestamp="1545264527"&gt;702&lt;/key&gt;&lt;/foreign-keys&gt;&lt;ref-type name="Report"&gt;27&lt;/ref-type&gt;&lt;contributors&gt;&lt;authors&gt;&lt;author&gt;EcOz Environmental Consultants,&lt;/author&gt;&lt;/authors&gt;&lt;secondary-authors&gt;&lt;author&gt;EcOz Environmental Consultants&lt;/author&gt;&lt;/secondary-authors&gt;&lt;/contributors&gt;&lt;titles&gt;&lt;title&gt;Surface and groundwater characterisation report – Sturt Plateau Region NT. Report prepared for Pangaea Resources for submission to the NT fracking inquiry&lt;/title&gt;&lt;/titles&gt;&lt;pages&gt;53&lt;/pages&gt;&lt;dates&gt;&lt;year&gt;2015&lt;/year&gt;&lt;pub-dates&gt;&lt;date&gt;2/10/2015&lt;/date&gt;&lt;/pub-dates&gt;&lt;/dates&gt;&lt;pub-location&gt;Darwin&lt;/pub-location&gt;&lt;urls&gt;&lt;related-urls&gt;&lt;url&gt;https://frackinginquiry.nt.gov.au/?a=424269&lt;/url&gt;&lt;/related-urls&gt;&lt;/urls&gt;&lt;access-date&gt;28 November 2019&lt;/access-date&gt;&lt;/record&gt;&lt;/Cite&gt;&lt;/EndNote&gt;</w:instrText>
      </w:r>
      <w:r w:rsidR="00A541ED" w:rsidRPr="00E43A80">
        <w:fldChar w:fldCharType="separate"/>
      </w:r>
      <w:r w:rsidR="00A541ED" w:rsidRPr="004667CC">
        <w:rPr>
          <w:noProof/>
        </w:rPr>
        <w:t>(EcOz Environmental Consultants, 2015)</w:t>
      </w:r>
      <w:r w:rsidR="00A541ED" w:rsidRPr="00E43A80">
        <w:fldChar w:fldCharType="end"/>
      </w:r>
      <w:r w:rsidRPr="004667CC">
        <w:t xml:space="preserve">. </w:t>
      </w:r>
    </w:p>
    <w:p w14:paraId="2A8400DA" w14:textId="3742846D" w:rsidR="00E2259E" w:rsidRPr="00DE4C0C" w:rsidRDefault="00E2259E" w:rsidP="005B07E3">
      <w:pPr>
        <w:pStyle w:val="Heading6"/>
      </w:pPr>
      <w:r w:rsidRPr="00DE4C0C">
        <w:t>Anthony Lagoon Formation</w:t>
      </w:r>
      <w:r w:rsidR="004667CC">
        <w:t xml:space="preserve"> and equiv</w:t>
      </w:r>
      <w:r w:rsidR="005F3E4D">
        <w:t>ale</w:t>
      </w:r>
      <w:r w:rsidR="004667CC">
        <w:t>nts</w:t>
      </w:r>
      <w:r w:rsidRPr="00DE4C0C">
        <w:t xml:space="preserve"> (</w:t>
      </w:r>
      <w:r w:rsidR="00BB6D37">
        <w:t>u</w:t>
      </w:r>
      <w:r w:rsidRPr="00DE4C0C">
        <w:t>pper CLA)</w:t>
      </w:r>
    </w:p>
    <w:p w14:paraId="1F18CCC1" w14:textId="6E166E5C" w:rsidR="00AB5240" w:rsidRDefault="00E2259E" w:rsidP="00610170">
      <w:pPr>
        <w:pStyle w:val="BodyText"/>
        <w:rPr>
          <w:rFonts w:cs="Calibri"/>
        </w:rPr>
      </w:pPr>
      <w:bookmarkStart w:id="769" w:name="_Hlk35350811"/>
      <w:r w:rsidRPr="14A01913">
        <w:t>Salinity levels in the Anthony Lagoon Formation (Georgina Basin) and equivalents (Hooker Creek F</w:t>
      </w:r>
      <w:r w:rsidR="00BF672E" w:rsidRPr="14A01913">
        <w:t>or</w:t>
      </w:r>
      <w:r w:rsidRPr="14A01913">
        <w:t>m</w:t>
      </w:r>
      <w:r w:rsidR="00BF672E" w:rsidRPr="14A01913">
        <w:t>ation</w:t>
      </w:r>
      <w:r w:rsidRPr="14A01913">
        <w:t>- Wiso Basin, Jinduckin F</w:t>
      </w:r>
      <w:r w:rsidR="00BF672E" w:rsidRPr="14A01913">
        <w:t>ormation</w:t>
      </w:r>
      <w:r w:rsidRPr="14A01913">
        <w:t>- Daly Basin), collectively known as the upper CLA, range from 221 mg/</w:t>
      </w:r>
      <w:r w:rsidR="0057355B">
        <w:t>L</w:t>
      </w:r>
      <w:r w:rsidRPr="14A01913">
        <w:t xml:space="preserve"> to 2239 mg/</w:t>
      </w:r>
      <w:r w:rsidR="0057355B">
        <w:t>L</w:t>
      </w:r>
      <w:r w:rsidRPr="14A01913">
        <w:t xml:space="preserve"> (TDS) with an average of 9</w:t>
      </w:r>
      <w:r w:rsidR="00DE4C0C" w:rsidRPr="14A01913">
        <w:t>22</w:t>
      </w:r>
      <w:r w:rsidRPr="14A01913">
        <w:t xml:space="preserve"> mg/</w:t>
      </w:r>
      <w:r w:rsidR="0057355B">
        <w:t>L</w:t>
      </w:r>
      <w:r w:rsidRPr="14A01913">
        <w:t>.</w:t>
      </w:r>
      <w:r w:rsidR="14A01913" w:rsidRPr="14A01913">
        <w:rPr>
          <w:rFonts w:cs="Calibri"/>
        </w:rPr>
        <w:t xml:space="preserve"> </w:t>
      </w:r>
    </w:p>
    <w:bookmarkEnd w:id="769"/>
    <w:p w14:paraId="7FC6B162" w14:textId="5B542866" w:rsidR="00E2259E" w:rsidRPr="00610170" w:rsidRDefault="50BA1442" w:rsidP="50BA1442">
      <w:pPr>
        <w:rPr>
          <w:rStyle w:val="BodyTextChar"/>
          <w:highlight w:val="yellow"/>
        </w:rPr>
      </w:pPr>
      <w:r w:rsidRPr="50BA1442">
        <w:rPr>
          <w:rFonts w:cs="Calibri"/>
        </w:rPr>
        <w:t>The elevated salinity of the upper CLA, when compared to the lower CLA (average TDS 822 mg/</w:t>
      </w:r>
      <w:r w:rsidR="0057355B">
        <w:rPr>
          <w:rFonts w:cs="Calibri"/>
        </w:rPr>
        <w:t>L</w:t>
      </w:r>
      <w:r w:rsidRPr="50BA1442">
        <w:rPr>
          <w:rFonts w:cs="Calibri"/>
        </w:rPr>
        <w:t>), has been thought to be due to the presence of evaporite beds</w:t>
      </w:r>
      <w:r w:rsidR="006F1BCB">
        <w:rPr>
          <w:rFonts w:cs="Calibri"/>
        </w:rPr>
        <w:t xml:space="preserve"> </w:t>
      </w:r>
      <w:r w:rsidR="006F1BCB">
        <w:rPr>
          <w:rFonts w:cs="Calibri"/>
        </w:rPr>
        <w:fldChar w:fldCharType="begin"/>
      </w:r>
      <w:r w:rsidR="00F76E0D">
        <w:rPr>
          <w:rFonts w:cs="Calibri"/>
        </w:rPr>
        <w:instrText xml:space="preserve"> ADDIN EN.CITE &lt;EndNote&gt;&lt;Cite&gt;&lt;Author&gt;Yin Foo&lt;/Author&gt;&lt;Year&gt;2001&lt;/Year&gt;&lt;RecNum&gt;748&lt;/RecNum&gt;&lt;DisplayText&gt;(Yin Foo and Matthews, 2001)&lt;/DisplayText&gt;&lt;record&gt;&lt;rec-number&gt;748&lt;/rec-number&gt;&lt;foreign-keys&gt;&lt;key app="EN" db-id="wdf9tzzdhw2saee559kv0vezt0wfsta0zedv" timestamp="1550544858"&gt;748&lt;/key&gt;&lt;key app="ENWeb" db-id=""&gt;0&lt;/key&gt;&lt;/foreign-keys&gt;&lt;ref-type name="Report"&gt;27&lt;/ref-type&gt;&lt;contributors&gt;&lt;authors&gt;&lt;author&gt;Yin Foo, Des&lt;/author&gt;&lt;author&gt;Matthews, Ian&lt;/author&gt;&lt;/authors&gt;&lt;tertiary-authors&gt;&lt;author&gt;Department of Infrastructure, Planning and Environment (NT)&lt;/author&gt;&lt;/tertiary-authors&gt;&lt;/contributors&gt;&lt;titles&gt;&lt;title&gt;Hydrogeology of the Sturt plateau 1:250 000 scale map explanatory notes.&lt;/title&gt;&lt;/titles&gt;&lt;number&gt;19/2000&lt;/number&gt;&lt;dates&gt;&lt;year&gt;2001&lt;/year&gt;&lt;pub-dates&gt;&lt;date&gt;01 March 2001&lt;/date&gt;&lt;/pub-dates&gt;&lt;/dates&gt;&lt;pub-location&gt;Darwin&lt;/pub-location&gt;&lt;publisher&gt;Department of Infrastructure, Planning and Environment (NT)&lt;/publisher&gt;&lt;isbn&gt;19/2000&lt;/isbn&gt;&lt;urls&gt;&lt;related-urls&gt;&lt;url&gt;&lt;style face="underline" font="default" size="100%"&gt;http://www.territorystories.nt.gov.au/jspui/handle/10070/228887&lt;/style&gt;&lt;/url&gt;&lt;/related-urls&gt;&lt;/urls&gt;&lt;access-date&gt;28 November 2019&lt;/access-date&gt;&lt;/record&gt;&lt;/Cite&gt;&lt;/EndNote&gt;</w:instrText>
      </w:r>
      <w:r w:rsidR="006F1BCB">
        <w:rPr>
          <w:rFonts w:cs="Calibri"/>
        </w:rPr>
        <w:fldChar w:fldCharType="separate"/>
      </w:r>
      <w:r w:rsidR="006F1BCB">
        <w:rPr>
          <w:rFonts w:cs="Calibri"/>
          <w:noProof/>
        </w:rPr>
        <w:t>(Yin Foo and Matthews, 2001)</w:t>
      </w:r>
      <w:r w:rsidR="006F1BCB">
        <w:rPr>
          <w:rFonts w:cs="Calibri"/>
        </w:rPr>
        <w:fldChar w:fldCharType="end"/>
      </w:r>
      <w:r w:rsidRPr="50BA1442">
        <w:rPr>
          <w:rFonts w:cs="Calibri"/>
        </w:rPr>
        <w:t>. However, a</w:t>
      </w:r>
      <w:r w:rsidRPr="50BA1442">
        <w:rPr>
          <w:rStyle w:val="BodyTextChar"/>
        </w:rPr>
        <w:t xml:space="preserve"> recent groundwater study of the Lake Woods region </w:t>
      </w:r>
      <w:r w:rsidR="006F1BCB">
        <w:rPr>
          <w:rStyle w:val="BodyTextChar"/>
        </w:rPr>
        <w:fldChar w:fldCharType="begin"/>
      </w:r>
      <w:r w:rsidR="00F76E0D">
        <w:rPr>
          <w:rStyle w:val="BodyTextChar"/>
        </w:rPr>
        <w:instrText xml:space="preserve"> ADDIN EN.CITE &lt;EndNote&gt;&lt;Cite&gt;&lt;Author&gt;de Caritat&lt;/Author&gt;&lt;Year&gt;2019&lt;/Year&gt;&lt;RecNum&gt;910&lt;/RecNum&gt;&lt;DisplayText&gt;(de Caritat et al., 2019)&lt;/DisplayText&gt;&lt;record&gt;&lt;rec-number&gt;910&lt;/rec-number&gt;&lt;foreign-keys&gt;&lt;key app="EN" db-id="wdf9tzzdhw2saee559kv0vezt0wfsta0zedv" timestamp="1555975788"&gt;910&lt;/key&gt;&lt;/foreign-keys&gt;&lt;ref-type name="Journal Article"&gt;17&lt;/ref-type&gt;&lt;contributors&gt;&lt;authors&gt;&lt;author&gt;de Caritat, P&lt;/author&gt;&lt;author&gt;Bastrakov, EN&lt;/author&gt;&lt;author&gt;Jaireth, S&lt;/author&gt;&lt;author&gt;English, PM&lt;/author&gt;&lt;author&gt;Clarke, JDA&lt;/author&gt;&lt;author&gt;Mernagh, TP&lt;/author&gt;&lt;author&gt;Wygralak, AS&lt;/author&gt;&lt;author&gt;Dulfer, HE&lt;/author&gt;&lt;author&gt;Trafford, J &lt;/author&gt;&lt;/authors&gt;&lt;/contributors&gt;&lt;titles&gt;&lt;title&gt;Groundwater geochemistry, hydrogeology and potash mineral potential of the Lake Woods region, Northern Territory, Australia&lt;/title&gt;&lt;secondary-title&gt;Australian Journal of Earth Sciences&lt;/secondary-title&gt;&lt;/titles&gt;&lt;periodical&gt;&lt;full-title&gt;Australian Journal of Earth Sciences&lt;/full-title&gt;&lt;/periodical&gt;&lt;pages&gt;1-20&lt;/pages&gt;&lt;dates&gt;&lt;year&gt;2019&lt;/year&gt;&lt;/dates&gt;&lt;urls&gt;&lt;/urls&gt;&lt;electronic-resource-num&gt;10.1080/08120099.2018.1543208&lt;/electronic-resource-num&gt;&lt;/record&gt;&lt;/Cite&gt;&lt;/EndNote&gt;</w:instrText>
      </w:r>
      <w:r w:rsidR="006F1BCB">
        <w:rPr>
          <w:rStyle w:val="BodyTextChar"/>
        </w:rPr>
        <w:fldChar w:fldCharType="separate"/>
      </w:r>
      <w:r w:rsidR="006F1BCB">
        <w:rPr>
          <w:rStyle w:val="BodyTextChar"/>
          <w:noProof/>
        </w:rPr>
        <w:t>(de Caritat et al., 2019)</w:t>
      </w:r>
      <w:r w:rsidR="006F1BCB">
        <w:rPr>
          <w:rStyle w:val="BodyTextChar"/>
        </w:rPr>
        <w:fldChar w:fldCharType="end"/>
      </w:r>
      <w:r w:rsidR="006F1BCB">
        <w:rPr>
          <w:rStyle w:val="BodyTextChar"/>
        </w:rPr>
        <w:t xml:space="preserve"> </w:t>
      </w:r>
      <w:r w:rsidRPr="50BA1442">
        <w:rPr>
          <w:noProof/>
        </w:rPr>
        <w:t>showed that</w:t>
      </w:r>
      <w:r w:rsidRPr="50BA1442">
        <w:rPr>
          <w:color w:val="000000" w:themeColor="text1"/>
        </w:rPr>
        <w:t xml:space="preserve"> that gypsum dissolution was not an important process and that the dominant single source of S with a δ</w:t>
      </w:r>
      <w:r w:rsidRPr="50BA1442">
        <w:rPr>
          <w:rStyle w:val="Superscript"/>
        </w:rPr>
        <w:t>34</w:t>
      </w:r>
      <w:r w:rsidRPr="50BA1442">
        <w:rPr>
          <w:color w:val="000000" w:themeColor="text1"/>
        </w:rPr>
        <w:t>S value of approximately +20</w:t>
      </w:r>
      <w:r w:rsidR="006C2E5C">
        <w:rPr>
          <w:rFonts w:cs="Calibri"/>
          <w:color w:val="000000" w:themeColor="text1"/>
        </w:rPr>
        <w:t>%</w:t>
      </w:r>
      <w:r w:rsidRPr="50BA1442">
        <w:rPr>
          <w:rFonts w:cs="Calibri"/>
          <w:color w:val="000000" w:themeColor="text1"/>
        </w:rPr>
        <w:t xml:space="preserve">, derived from </w:t>
      </w:r>
      <w:r w:rsidRPr="50BA1442">
        <w:rPr>
          <w:color w:val="000000" w:themeColor="text1"/>
        </w:rPr>
        <w:t>sea water through precipitation, specifically during summer monsoons.</w:t>
      </w:r>
    </w:p>
    <w:p w14:paraId="5E9AC5E8" w14:textId="2E90DA59" w:rsidR="00E2259E" w:rsidRPr="00AC418C" w:rsidRDefault="00E2259E" w:rsidP="50BA1442">
      <w:pPr>
        <w:pStyle w:val="BodyText"/>
      </w:pPr>
      <w:r w:rsidRPr="007D45BA">
        <w:t xml:space="preserve">The available </w:t>
      </w:r>
      <w:r w:rsidR="002143E8">
        <w:t>hydro</w:t>
      </w:r>
      <w:r w:rsidRPr="007D45BA">
        <w:t>chemistry</w:t>
      </w:r>
      <w:r w:rsidR="002143E8">
        <w:t xml:space="preserve"> data (</w:t>
      </w:r>
      <w:r w:rsidRPr="00E43A80">
        <w:fldChar w:fldCharType="begin"/>
      </w:r>
      <w:r w:rsidRPr="007D45BA">
        <w:instrText xml:space="preserve"> REF _Ref170861 \h </w:instrText>
      </w:r>
      <w:r w:rsidR="006F18C7" w:rsidRPr="0060550E">
        <w:instrText xml:space="preserve"> \* MERGEFORMAT </w:instrText>
      </w:r>
      <w:r w:rsidRPr="00E43A80">
        <w:fldChar w:fldCharType="separate"/>
      </w:r>
      <w:r w:rsidR="00B177F5" w:rsidRPr="00ED145E">
        <w:t>Figu</w:t>
      </w:r>
      <w:r w:rsidR="00B177F5" w:rsidRPr="00981F6E">
        <w:t xml:space="preserve">re </w:t>
      </w:r>
      <w:r w:rsidR="00B177F5">
        <w:rPr>
          <w:noProof/>
        </w:rPr>
        <w:t>37</w:t>
      </w:r>
      <w:r w:rsidRPr="00E43A80">
        <w:fldChar w:fldCharType="end"/>
      </w:r>
      <w:r w:rsidR="002143E8">
        <w:t>)</w:t>
      </w:r>
      <w:r w:rsidRPr="007D45BA">
        <w:t xml:space="preserve"> show </w:t>
      </w:r>
      <w:r w:rsidR="007D45BA" w:rsidRPr="00CF40AD">
        <w:t xml:space="preserve">spatial </w:t>
      </w:r>
      <w:r w:rsidR="005867A6" w:rsidRPr="005867A6">
        <w:t>similarities</w:t>
      </w:r>
      <w:r w:rsidR="007D45BA" w:rsidRPr="00CF40AD">
        <w:t xml:space="preserve"> between the upper CLA and </w:t>
      </w:r>
      <w:r w:rsidR="002143E8">
        <w:t>l</w:t>
      </w:r>
      <w:r w:rsidR="007D45BA" w:rsidRPr="00CF40AD">
        <w:t>ower CLA</w:t>
      </w:r>
      <w:r w:rsidR="002143E8">
        <w:t xml:space="preserve">. </w:t>
      </w:r>
      <w:r w:rsidRPr="007D45BA" w:rsidDel="007D45BA">
        <w:t xml:space="preserve">The </w:t>
      </w:r>
      <w:r w:rsidRPr="007D45BA">
        <w:t xml:space="preserve">groundwater of the Jinduckin </w:t>
      </w:r>
      <w:r w:rsidR="00E26121" w:rsidRPr="007D45BA">
        <w:t>F</w:t>
      </w:r>
      <w:r w:rsidR="00E26121">
        <w:t>ormation</w:t>
      </w:r>
      <w:r w:rsidR="00E26121" w:rsidRPr="007D45BA">
        <w:t xml:space="preserve"> </w:t>
      </w:r>
      <w:r w:rsidRPr="007D45BA">
        <w:t xml:space="preserve">(the </w:t>
      </w:r>
      <w:r w:rsidR="00A00A2A">
        <w:t>four</w:t>
      </w:r>
      <w:r w:rsidRPr="007D45BA">
        <w:t xml:space="preserve"> samples in the </w:t>
      </w:r>
      <w:r w:rsidR="007E4714">
        <w:t>‘</w:t>
      </w:r>
      <w:r w:rsidR="00BB6D37">
        <w:t>u</w:t>
      </w:r>
      <w:r w:rsidRPr="007D45BA">
        <w:t>pper CLA</w:t>
      </w:r>
      <w:r w:rsidR="007E4714">
        <w:t>’</w:t>
      </w:r>
      <w:r w:rsidRPr="007D45BA">
        <w:t xml:space="preserve"> area in the Daly Basin</w:t>
      </w:r>
      <w:r w:rsidR="00E250E1" w:rsidRPr="007D45BA">
        <w:t xml:space="preserve"> on </w:t>
      </w:r>
      <w:r w:rsidR="00E250E1" w:rsidRPr="50BA1442">
        <w:fldChar w:fldCharType="begin"/>
      </w:r>
      <w:r w:rsidR="00E250E1" w:rsidRPr="007D45BA">
        <w:rPr>
          <w:rFonts w:asciiTheme="majorHAnsi" w:eastAsiaTheme="minorHAnsi" w:hAnsiTheme="majorHAnsi" w:cs="Arial"/>
          <w:color w:val="auto"/>
        </w:rPr>
        <w:instrText xml:space="preserve"> REF _Ref170861 \h </w:instrText>
      </w:r>
      <w:r w:rsidR="006F18C7" w:rsidRPr="00CF40AD">
        <w:rPr>
          <w:rFonts w:asciiTheme="majorHAnsi" w:eastAsiaTheme="minorHAnsi" w:hAnsiTheme="majorHAnsi" w:cs="Arial"/>
          <w:color w:val="auto"/>
        </w:rPr>
        <w:instrText xml:space="preserve"> \* MERGEFORMAT </w:instrText>
      </w:r>
      <w:r w:rsidR="00E250E1" w:rsidRPr="50BA1442">
        <w:rPr>
          <w:rFonts w:asciiTheme="majorHAnsi" w:eastAsiaTheme="minorHAnsi" w:hAnsiTheme="majorHAnsi" w:cs="Arial"/>
          <w:color w:val="auto"/>
        </w:rPr>
        <w:fldChar w:fldCharType="separate"/>
      </w:r>
      <w:r w:rsidR="00B177F5" w:rsidRPr="00ED145E">
        <w:t>Figu</w:t>
      </w:r>
      <w:r w:rsidR="00B177F5" w:rsidRPr="00981F6E">
        <w:t xml:space="preserve">re </w:t>
      </w:r>
      <w:r w:rsidR="00B177F5">
        <w:rPr>
          <w:noProof/>
        </w:rPr>
        <w:t>37</w:t>
      </w:r>
      <w:r w:rsidR="00E250E1" w:rsidRPr="50BA1442">
        <w:fldChar w:fldCharType="end"/>
      </w:r>
      <w:r w:rsidR="007B0B06" w:rsidRPr="007D45BA">
        <w:t>)</w:t>
      </w:r>
      <w:r w:rsidR="00234C5B">
        <w:t>, for example,</w:t>
      </w:r>
      <w:r w:rsidRPr="007D45BA">
        <w:t xml:space="preserve"> </w:t>
      </w:r>
      <w:r w:rsidR="00234C5B" w:rsidRPr="007D45BA">
        <w:t>ha</w:t>
      </w:r>
      <w:r w:rsidR="00234C5B">
        <w:t>s</w:t>
      </w:r>
      <w:r w:rsidR="003D2727" w:rsidRPr="007D45BA">
        <w:t xml:space="preserve"> </w:t>
      </w:r>
      <w:r w:rsidR="00076271" w:rsidRPr="007D45BA">
        <w:t>an</w:t>
      </w:r>
      <w:r w:rsidR="000010F8" w:rsidRPr="007D45BA">
        <w:t xml:space="preserve"> Mg</w:t>
      </w:r>
      <w:r w:rsidRPr="50BA1442">
        <w:t>-Ca cationic and HCO</w:t>
      </w:r>
      <w:r w:rsidRPr="00001C61">
        <w:rPr>
          <w:rStyle w:val="Subscript"/>
        </w:rPr>
        <w:t>3</w:t>
      </w:r>
      <w:r w:rsidRPr="50BA1442">
        <w:t xml:space="preserve"> anionic signature that is very similar to the underlying </w:t>
      </w:r>
      <w:r w:rsidR="003D2727" w:rsidRPr="50BA1442">
        <w:t>Tindall Limestone</w:t>
      </w:r>
      <w:r w:rsidR="007D45BA" w:rsidRPr="00CF40AD">
        <w:t xml:space="preserve"> (</w:t>
      </w:r>
      <w:r w:rsidR="007E4714">
        <w:t>‘</w:t>
      </w:r>
      <w:r w:rsidR="00BB6D37">
        <w:t>l</w:t>
      </w:r>
      <w:r w:rsidR="007D45BA" w:rsidRPr="00CF40AD">
        <w:t>ower CLA</w:t>
      </w:r>
      <w:r w:rsidR="007E4714">
        <w:t>’</w:t>
      </w:r>
      <w:r w:rsidR="007D45BA" w:rsidRPr="00CF40AD">
        <w:t>)</w:t>
      </w:r>
      <w:r w:rsidRPr="50BA1442">
        <w:t xml:space="preserve">. </w:t>
      </w:r>
      <w:r w:rsidR="002143E8" w:rsidRPr="50BA1442">
        <w:t>Further, groundwater</w:t>
      </w:r>
      <w:r w:rsidRPr="50BA1442">
        <w:t xml:space="preserve"> of the </w:t>
      </w:r>
      <w:r w:rsidRPr="007D45BA">
        <w:t>Anthony Lagoon Formation show</w:t>
      </w:r>
      <w:r w:rsidR="002143E8">
        <w:t>s</w:t>
      </w:r>
      <w:r w:rsidRPr="007D45BA">
        <w:t xml:space="preserve"> a dominance of </w:t>
      </w:r>
      <w:r w:rsidRPr="00AC418C">
        <w:t>Na-</w:t>
      </w:r>
      <w:r w:rsidR="007D45BA" w:rsidRPr="00AC418C">
        <w:t>Mg</w:t>
      </w:r>
      <w:r w:rsidRPr="00AC418C">
        <w:t xml:space="preserve"> </w:t>
      </w:r>
      <w:r w:rsidR="002143E8" w:rsidRPr="00AC418C">
        <w:t xml:space="preserve">cations </w:t>
      </w:r>
      <w:r w:rsidRPr="00AC418C">
        <w:t xml:space="preserve">and </w:t>
      </w:r>
      <w:r w:rsidR="007D45BA" w:rsidRPr="00CF40AD">
        <w:t>HCO</w:t>
      </w:r>
      <w:r w:rsidR="007D45BA" w:rsidRPr="00001C61">
        <w:rPr>
          <w:rStyle w:val="Subscript"/>
        </w:rPr>
        <w:t>3</w:t>
      </w:r>
      <w:r w:rsidR="007D45BA" w:rsidRPr="50BA1442">
        <w:t>-</w:t>
      </w:r>
      <w:r w:rsidR="007D45BA" w:rsidRPr="00CF40AD">
        <w:t>Cl</w:t>
      </w:r>
      <w:r w:rsidR="007E4714">
        <w:t xml:space="preserve"> </w:t>
      </w:r>
      <w:r w:rsidR="002143E8" w:rsidRPr="00AC418C">
        <w:t xml:space="preserve">anions </w:t>
      </w:r>
      <w:r w:rsidRPr="00AC418C">
        <w:t>(typically light purple and blue colours) is similar to the signature of underlying Gum Ridge Formation</w:t>
      </w:r>
      <w:r w:rsidR="002143E8" w:rsidRPr="00AC418C">
        <w:t xml:space="preserve"> </w:t>
      </w:r>
      <w:r w:rsidR="00E26121" w:rsidRPr="00AC418C">
        <w:t xml:space="preserve">groundwater </w:t>
      </w:r>
      <w:r w:rsidR="002143E8" w:rsidRPr="00AC418C">
        <w:t xml:space="preserve">further to the north. </w:t>
      </w:r>
      <w:r w:rsidR="00234C5B" w:rsidRPr="00AC418C">
        <w:t>S</w:t>
      </w:r>
      <w:r w:rsidR="002143E8">
        <w:t>uch features could</w:t>
      </w:r>
      <w:r w:rsidR="002143E8" w:rsidRPr="00154068">
        <w:t xml:space="preserve"> suggest a degree of mixing bet</w:t>
      </w:r>
      <w:r w:rsidR="005867A6">
        <w:t>w</w:t>
      </w:r>
      <w:r w:rsidR="002143E8" w:rsidRPr="00154068">
        <w:t>een aquifers</w:t>
      </w:r>
      <w:r w:rsidR="002143E8">
        <w:t xml:space="preserve"> in places, </w:t>
      </w:r>
      <w:r w:rsidR="00234C5B">
        <w:t xml:space="preserve">but </w:t>
      </w:r>
      <w:r w:rsidR="002143E8">
        <w:t>care is required in interpretation</w:t>
      </w:r>
      <w:r w:rsidR="00234C5B">
        <w:t xml:space="preserve"> given the presence of possible confining units (e.g. siltstones) through parts of these sequences</w:t>
      </w:r>
      <w:r w:rsidR="002143E8" w:rsidRPr="00154068">
        <w:t xml:space="preserve">. </w:t>
      </w:r>
    </w:p>
    <w:p w14:paraId="68ADDF7F" w14:textId="28A31A0A" w:rsidR="009676EE" w:rsidRPr="00CF40AD" w:rsidRDefault="009676EE" w:rsidP="00C00F6D">
      <w:pPr>
        <w:pStyle w:val="BodyText"/>
        <w:rPr>
          <w:highlight w:val="yellow"/>
        </w:rPr>
      </w:pPr>
    </w:p>
    <w:p w14:paraId="42C965CE" w14:textId="3D0A9E9D" w:rsidR="009676EE" w:rsidRPr="00CF40AD" w:rsidRDefault="00CB5C74" w:rsidP="00C00F6D">
      <w:pPr>
        <w:pStyle w:val="BodyText"/>
        <w:keepNext/>
        <w:rPr>
          <w:highlight w:val="yellow"/>
        </w:rPr>
      </w:pPr>
      <w:bookmarkStart w:id="770" w:name="_Hlk35351000"/>
      <w:r>
        <w:rPr>
          <w:noProof/>
        </w:rPr>
        <w:drawing>
          <wp:inline distT="0" distB="0" distL="0" distR="0" wp14:anchorId="5B73B2A4" wp14:editId="6A17DF6D">
            <wp:extent cx="6120130" cy="70764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BA-BEE-2-214_CLA_Antrim.png"/>
                    <pic:cNvPicPr/>
                  </pic:nvPicPr>
                  <pic:blipFill>
                    <a:blip r:embed="rId97" cstate="screen">
                      <a:extLst>
                        <a:ext uri="{28A0092B-C50C-407E-A947-70E740481C1C}">
                          <a14:useLocalDpi xmlns:a14="http://schemas.microsoft.com/office/drawing/2010/main" val="0"/>
                        </a:ext>
                      </a:extLst>
                    </a:blip>
                    <a:stretch>
                      <a:fillRect/>
                    </a:stretch>
                  </pic:blipFill>
                  <pic:spPr>
                    <a:xfrm>
                      <a:off x="0" y="0"/>
                      <a:ext cx="6120130" cy="7076440"/>
                    </a:xfrm>
                    <a:prstGeom prst="rect">
                      <a:avLst/>
                    </a:prstGeom>
                  </pic:spPr>
                </pic:pic>
              </a:graphicData>
            </a:graphic>
          </wp:inline>
        </w:drawing>
      </w:r>
    </w:p>
    <w:p w14:paraId="43536F4B" w14:textId="3D954816" w:rsidR="009676EE" w:rsidRPr="00981F6E" w:rsidRDefault="009676EE" w:rsidP="00C00F6D">
      <w:pPr>
        <w:pStyle w:val="Caption"/>
        <w:contextualSpacing/>
      </w:pPr>
      <w:bookmarkStart w:id="771" w:name="_Ref536019117"/>
      <w:bookmarkStart w:id="772" w:name="_Toc4072447"/>
      <w:bookmarkStart w:id="773" w:name="_Toc4670970"/>
      <w:bookmarkStart w:id="774" w:name="_Toc4754390"/>
      <w:bookmarkStart w:id="775" w:name="_Toc5020775"/>
      <w:bookmarkStart w:id="776" w:name="_Toc5021582"/>
      <w:bookmarkStart w:id="777" w:name="_Toc5097108"/>
      <w:bookmarkStart w:id="778" w:name="_Toc5108500"/>
      <w:bookmarkStart w:id="779" w:name="_Toc5284164"/>
      <w:bookmarkStart w:id="780" w:name="_Toc5635378"/>
      <w:bookmarkStart w:id="781" w:name="_Toc5808337"/>
      <w:bookmarkStart w:id="782" w:name="_Toc5895029"/>
      <w:bookmarkStart w:id="783" w:name="_Toc6308918"/>
      <w:bookmarkStart w:id="784" w:name="_Toc6327583"/>
      <w:bookmarkStart w:id="785" w:name="_Toc38990490"/>
      <w:bookmarkStart w:id="786" w:name="_Toc271961"/>
      <w:r w:rsidRPr="00ED145E">
        <w:t xml:space="preserve">Figure </w:t>
      </w:r>
      <w:r w:rsidRPr="00CF40AD">
        <w:fldChar w:fldCharType="begin"/>
      </w:r>
      <w:r w:rsidRPr="00981F6E">
        <w:rPr>
          <w:noProof/>
        </w:rPr>
        <w:instrText xml:space="preserve"> SEQ Figure \* ARABIC </w:instrText>
      </w:r>
      <w:r w:rsidRPr="00CF40AD">
        <w:rPr>
          <w:noProof/>
        </w:rPr>
        <w:fldChar w:fldCharType="separate"/>
      </w:r>
      <w:r w:rsidR="00B177F5">
        <w:rPr>
          <w:noProof/>
        </w:rPr>
        <w:t>36</w:t>
      </w:r>
      <w:r w:rsidRPr="00CF40AD">
        <w:fldChar w:fldCharType="end"/>
      </w:r>
      <w:bookmarkEnd w:id="771"/>
      <w:r w:rsidR="00866CCF" w:rsidRPr="00ED145E">
        <w:t xml:space="preserve"> Salinity levels in the </w:t>
      </w:r>
      <w:r w:rsidRPr="00981F6E">
        <w:t xml:space="preserve">Cambrian Limestone </w:t>
      </w:r>
      <w:r w:rsidR="00723088" w:rsidRPr="00981F6E">
        <w:t>Aquifer and Antrim Plateau Volcanics and equivalents</w:t>
      </w:r>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r w:rsidR="00723088" w:rsidRPr="00981F6E">
        <w:t xml:space="preserve"> </w:t>
      </w:r>
      <w:bookmarkEnd w:id="786"/>
    </w:p>
    <w:bookmarkEnd w:id="770"/>
    <w:p w14:paraId="5995FFC6" w14:textId="7F82C2AF" w:rsidR="00D40F5E" w:rsidRPr="00946E46" w:rsidRDefault="007E4714" w:rsidP="00610170">
      <w:pPr>
        <w:pStyle w:val="SourceornoteforTableorFigure"/>
      </w:pPr>
      <w:r>
        <w:t>TDS = total dissolved solids</w:t>
      </w:r>
      <w:r>
        <w:br/>
      </w:r>
      <w:r w:rsidR="00712C17" w:rsidRPr="00946E46">
        <w:t xml:space="preserve">Data: </w:t>
      </w:r>
      <w:r w:rsidR="00A541ED" w:rsidRPr="00946E46">
        <w:fldChar w:fldCharType="begin"/>
      </w:r>
      <w:r w:rsidR="008F30E0">
        <w:instrText xml:space="preserve"> ADDIN EN.CITE &lt;EndNote&gt;&lt;Cite AuthorYear="1"&gt;&lt;Author&gt;Geological and Bioregional Assessment Program&lt;/Author&gt;&lt;Year&gt;2019&lt;/Year&gt;&lt;RecNum&gt;886&lt;/RecNum&gt;&lt;DisplayText&gt;Geological and Bioregional Assessment Program (2019h)&lt;/DisplayText&gt;&lt;record&gt;&lt;rec-number&gt;886&lt;/rec-number&gt;&lt;foreign-keys&gt;&lt;key app="EN" db-id="wdf9tzzdhw2saee559kv0vezt0wfsta0zedv" timestamp="1553830844"&gt;886&lt;/key&gt;&lt;/foreign-keys&gt;&lt;ref-type name="Dataset"&gt;59&lt;/ref-type&gt;&lt;contributors&gt;&lt;authors&gt;&lt;author&gt;Geological and Bioregional Assessment Program,&lt;/author&gt;&lt;/authors&gt;&lt;secondary-authors&gt;&lt;author&gt;Geoscience Australia,&lt;/author&gt;&lt;/secondary-authors&gt;&lt;/contributors&gt;&lt;titles&gt;&lt;title&gt;Groundwater chemistry in the Beetaloo GBA groundwater bore data extraction area&lt;/title&gt;&lt;/titles&gt;&lt;dates&gt;&lt;year&gt;2019&lt;/year&gt;&lt;/dates&gt;&lt;label&gt;A0654187-3282-4DB6-B5A4-668A897D4D79&lt;/label&gt;&lt;urls&gt;&lt;related-urls&gt;&lt;url&gt;https://repo.bioregionalassessments.gov.au/metadata/A0654187-3282-4DB6-B5A4-668A897D4D79&lt;/url&gt;&lt;/related-urls&gt;&lt;/urls&gt;&lt;remote-database-name&gt;Beetaloo_GBA_Hydrochemistry.xlsx&lt;/remote-database-name&gt;&lt;language&gt;English&lt;/language&gt;&lt;access-date&gt;03 April 2019&lt;/access-date&gt;&lt;/record&gt;&lt;/Cite&gt;&lt;/EndNote&gt;</w:instrText>
      </w:r>
      <w:r w:rsidR="00A541ED" w:rsidRPr="00946E46">
        <w:fldChar w:fldCharType="separate"/>
      </w:r>
      <w:r w:rsidR="008F30E0">
        <w:rPr>
          <w:noProof/>
        </w:rPr>
        <w:t>Geological and Bioregional Assessment Program (2019h)</w:t>
      </w:r>
      <w:r w:rsidR="00A541ED" w:rsidRPr="00946E46">
        <w:fldChar w:fldCharType="end"/>
      </w:r>
      <w:r w:rsidR="00946E46">
        <w:br/>
      </w:r>
      <w:r w:rsidR="00897E46">
        <w:t>Element: GBA-BEE-2-214</w:t>
      </w:r>
    </w:p>
    <w:p w14:paraId="786ECE5A" w14:textId="77777777" w:rsidR="00D40F5E" w:rsidRPr="00E43A80" w:rsidRDefault="00D40F5E" w:rsidP="00CF40AD">
      <w:pPr>
        <w:pStyle w:val="BodyText"/>
      </w:pPr>
    </w:p>
    <w:p w14:paraId="313FE9BC" w14:textId="77777777" w:rsidR="00712C17" w:rsidRPr="00CF40AD" w:rsidRDefault="00712C17" w:rsidP="003E1F1E">
      <w:pPr>
        <w:pStyle w:val="BodyText"/>
        <w:rPr>
          <w:highlight w:val="yellow"/>
        </w:rPr>
      </w:pPr>
    </w:p>
    <w:p w14:paraId="72E179D1" w14:textId="4FCD8DD1" w:rsidR="009676EE" w:rsidRPr="00ED145E" w:rsidRDefault="007558D2" w:rsidP="00C00F6D">
      <w:pPr>
        <w:pStyle w:val="BodyText"/>
        <w:keepNext/>
      </w:pPr>
      <w:bookmarkStart w:id="787" w:name="_Hlk35351070"/>
      <w:r>
        <w:rPr>
          <w:noProof/>
        </w:rPr>
        <w:drawing>
          <wp:inline distT="0" distB="0" distL="0" distR="0" wp14:anchorId="1BC6619F" wp14:editId="4288F4B1">
            <wp:extent cx="6120130" cy="71450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BA-BEE-2-217_Piper_single.png"/>
                    <pic:cNvPicPr/>
                  </pic:nvPicPr>
                  <pic:blipFill>
                    <a:blip r:embed="rId98" cstate="screen">
                      <a:extLst>
                        <a:ext uri="{28A0092B-C50C-407E-A947-70E740481C1C}">
                          <a14:useLocalDpi xmlns:a14="http://schemas.microsoft.com/office/drawing/2010/main" val="0"/>
                        </a:ext>
                      </a:extLst>
                    </a:blip>
                    <a:stretch>
                      <a:fillRect/>
                    </a:stretch>
                  </pic:blipFill>
                  <pic:spPr>
                    <a:xfrm>
                      <a:off x="0" y="0"/>
                      <a:ext cx="6120130" cy="7145020"/>
                    </a:xfrm>
                    <a:prstGeom prst="rect">
                      <a:avLst/>
                    </a:prstGeom>
                  </pic:spPr>
                </pic:pic>
              </a:graphicData>
            </a:graphic>
          </wp:inline>
        </w:drawing>
      </w:r>
    </w:p>
    <w:p w14:paraId="04E0EB36" w14:textId="20B7E599" w:rsidR="00712C17" w:rsidRPr="00981F6E" w:rsidRDefault="009676EE" w:rsidP="00C00F6D">
      <w:pPr>
        <w:pStyle w:val="Caption"/>
        <w:contextualSpacing/>
      </w:pPr>
      <w:bookmarkStart w:id="788" w:name="_Ref170861"/>
      <w:bookmarkStart w:id="789" w:name="_Toc38990491"/>
      <w:bookmarkStart w:id="790" w:name="_Ref170852"/>
      <w:bookmarkStart w:id="791" w:name="_Toc271962"/>
      <w:bookmarkStart w:id="792" w:name="_Toc4072448"/>
      <w:bookmarkStart w:id="793" w:name="_Toc4670971"/>
      <w:bookmarkStart w:id="794" w:name="_Toc4754391"/>
      <w:bookmarkStart w:id="795" w:name="_Toc5020776"/>
      <w:bookmarkStart w:id="796" w:name="_Toc5021583"/>
      <w:bookmarkStart w:id="797" w:name="_Toc5097109"/>
      <w:bookmarkStart w:id="798" w:name="_Toc5108501"/>
      <w:bookmarkStart w:id="799" w:name="_Toc5284165"/>
      <w:bookmarkStart w:id="800" w:name="_Toc5635379"/>
      <w:bookmarkStart w:id="801" w:name="_Toc5808338"/>
      <w:bookmarkStart w:id="802" w:name="_Toc5895030"/>
      <w:bookmarkStart w:id="803" w:name="_Toc6308919"/>
      <w:bookmarkStart w:id="804" w:name="_Toc6327584"/>
      <w:r w:rsidRPr="00ED145E">
        <w:t>Figu</w:t>
      </w:r>
      <w:r w:rsidRPr="00981F6E">
        <w:t xml:space="preserve">re </w:t>
      </w:r>
      <w:r w:rsidRPr="00CF40AD">
        <w:fldChar w:fldCharType="begin"/>
      </w:r>
      <w:r w:rsidRPr="00981F6E">
        <w:rPr>
          <w:noProof/>
        </w:rPr>
        <w:instrText xml:space="preserve"> SEQ Figure \* ARABIC </w:instrText>
      </w:r>
      <w:r w:rsidRPr="00CF40AD">
        <w:rPr>
          <w:noProof/>
        </w:rPr>
        <w:fldChar w:fldCharType="separate"/>
      </w:r>
      <w:r w:rsidR="00B177F5">
        <w:rPr>
          <w:noProof/>
        </w:rPr>
        <w:t>37</w:t>
      </w:r>
      <w:r w:rsidRPr="00CF40AD">
        <w:fldChar w:fldCharType="end"/>
      </w:r>
      <w:bookmarkEnd w:id="788"/>
      <w:r w:rsidR="001946A7" w:rsidRPr="00ED145E">
        <w:rPr>
          <w:noProof/>
        </w:rPr>
        <w:t xml:space="preserve"> </w:t>
      </w:r>
      <w:r w:rsidRPr="00ED145E">
        <w:t>Colour</w:t>
      </w:r>
      <w:r w:rsidR="00C756C2">
        <w:t>-</w:t>
      </w:r>
      <w:r w:rsidRPr="00ED145E">
        <w:t>coded Piper diagram of the Cambrian Limestone Aquifer (CLA)</w:t>
      </w:r>
      <w:bookmarkEnd w:id="789"/>
      <w:r w:rsidR="00712C17" w:rsidRPr="00981F6E">
        <w:t xml:space="preserve"> </w:t>
      </w:r>
    </w:p>
    <w:bookmarkEnd w:id="787"/>
    <w:p w14:paraId="5C31489C" w14:textId="71CEC9C7" w:rsidR="009676EE" w:rsidRPr="00740D98" w:rsidRDefault="001B071C" w:rsidP="00740D98">
      <w:pPr>
        <w:pStyle w:val="SourceornoteforTableorFigure"/>
      </w:pPr>
      <w:r>
        <w:t>Source: after</w:t>
      </w:r>
      <w:r w:rsidR="002A6D22">
        <w:t xml:space="preserve"> </w:t>
      </w:r>
      <w:r w:rsidR="00C71518">
        <w:fldChar w:fldCharType="begin"/>
      </w:r>
      <w:r w:rsidR="00F76E0D">
        <w:instrText xml:space="preserve"> ADDIN EN.CITE &lt;EndNote&gt;&lt;Cite AuthorYear="1"&gt;&lt;Author&gt;Peeters&lt;/Author&gt;&lt;Year&gt;2014&lt;/Year&gt;&lt;RecNum&gt;542&lt;/RecNum&gt;&lt;DisplayText&gt;Peeters (2014)&lt;/DisplayText&gt;&lt;record&gt;&lt;rec-number&gt;542&lt;/rec-number&gt;&lt;foreign-keys&gt;&lt;key app="EN" db-id="wdf9tzzdhw2saee559kv0vezt0wfsta0zedv" timestamp="1544417696"&gt;542&lt;/key&gt;&lt;key app="ENWeb" db-id=""&gt;0&lt;/key&gt;&lt;/foreign-keys&gt;&lt;ref-type name="Journal Article"&gt;17&lt;/ref-type&gt;&lt;contributors&gt;&lt;authors&gt;&lt;author&gt;Peeters, Luk&lt;/author&gt;&lt;/authors&gt;&lt;/contributors&gt;&lt;titles&gt;&lt;title&gt;A background color scheme for Piper plots to spatially visualize hydrochemical patterns&lt;/title&gt;&lt;secondary-title&gt;Groundwater&lt;/secondary-title&gt;&lt;/titles&gt;&lt;periodical&gt;&lt;full-title&gt;Groundwater&lt;/full-title&gt;&lt;/periodical&gt;&lt;pages&gt;2–6&lt;/pages&gt;&lt;volume&gt;52&lt;/volume&gt;&lt;number&gt;1&lt;/number&gt;&lt;edition&gt;19 September 2013&lt;/edition&gt;&lt;keywords&gt;&lt;keyword&gt;hydrochemistry&lt;/keyword&gt;&lt;keyword&gt;ternary diagram&lt;/keyword&gt;&lt;keyword&gt;Piper plot&lt;/keyword&gt;&lt;keyword&gt;colour scheme&lt;/keyword&gt;&lt;keyword&gt;spatial attributes&lt;/keyword&gt;&lt;keyword&gt;Condamine Alluvium&lt;/keyword&gt;&lt;keyword&gt;Python script&lt;/keyword&gt;&lt;/keywords&gt;&lt;dates&gt;&lt;year&gt;2014&lt;/year&gt;&lt;pub-dates&gt;&lt;date&gt;6 January 2014&lt;/date&gt;&lt;/pub-dates&gt;&lt;/dates&gt;&lt;urls&gt;&lt;related-urls&gt;&lt;url&gt;https://onlinelibrary.wiley.com/doi/abs/10.1111/gwat.12118&lt;/url&gt;&lt;/related-urls&gt;&lt;/urls&gt;&lt;electronic-resource-num&gt;doi:10.1111/gwat.12118&lt;/electronic-resource-num&gt;&lt;/record&gt;&lt;/Cite&gt;&lt;/EndNote&gt;</w:instrText>
      </w:r>
      <w:r w:rsidR="00C71518">
        <w:fldChar w:fldCharType="separate"/>
      </w:r>
      <w:r w:rsidR="00C70955">
        <w:rPr>
          <w:noProof/>
        </w:rPr>
        <w:t>Peeters (2014)</w:t>
      </w:r>
      <w:r w:rsidR="00C71518">
        <w:fldChar w:fldCharType="end"/>
      </w:r>
      <w:r>
        <w:br/>
      </w:r>
      <w:r w:rsidR="00712C17" w:rsidRPr="00E43A80">
        <w:t xml:space="preserve">Data: </w:t>
      </w:r>
      <w:r w:rsidR="00A541ED" w:rsidRPr="00660A23">
        <w:fldChar w:fldCharType="begin"/>
      </w:r>
      <w:r w:rsidR="008F30E0">
        <w:instrText xml:space="preserve"> ADDIN EN.CITE &lt;EndNote&gt;&lt;Cite AuthorYear="1"&gt;&lt;Author&gt;Geological and Bioregional Assessment Program&lt;/Author&gt;&lt;Year&gt;2019&lt;/Year&gt;&lt;RecNum&gt;886&lt;/RecNum&gt;&lt;DisplayText&gt;Geological and Bioregional Assessment Program (2019h)&lt;/DisplayText&gt;&lt;record&gt;&lt;rec-number&gt;886&lt;/rec-number&gt;&lt;foreign-keys&gt;&lt;key app="EN" db-id="wdf9tzzdhw2saee559kv0vezt0wfsta0zedv" timestamp="1553830844"&gt;886&lt;/key&gt;&lt;/foreign-keys&gt;&lt;ref-type name="Dataset"&gt;59&lt;/ref-type&gt;&lt;contributors&gt;&lt;authors&gt;&lt;author&gt;Geological and Bioregional Assessment Program,&lt;/author&gt;&lt;/authors&gt;&lt;secondary-authors&gt;&lt;author&gt;Geoscience Australia,&lt;/author&gt;&lt;/secondary-authors&gt;&lt;/contributors&gt;&lt;titles&gt;&lt;title&gt;Groundwater chemistry in the Beetaloo GBA groundwater bore data extraction area&lt;/title&gt;&lt;/titles&gt;&lt;dates&gt;&lt;year&gt;2019&lt;/year&gt;&lt;/dates&gt;&lt;label&gt;A0654187-3282-4DB6-B5A4-668A897D4D79&lt;/label&gt;&lt;urls&gt;&lt;related-urls&gt;&lt;url&gt;https://repo.bioregionalassessments.gov.au/metadata/A0654187-3282-4DB6-B5A4-668A897D4D79&lt;/url&gt;&lt;/related-urls&gt;&lt;/urls&gt;&lt;remote-database-name&gt;Beetaloo_GBA_Hydrochemistry.xlsx&lt;/remote-database-name&gt;&lt;language&gt;English&lt;/language&gt;&lt;access-date&gt;03 April 2019&lt;/access-date&gt;&lt;/record&gt;&lt;/Cite&gt;&lt;/EndNote&gt;</w:instrText>
      </w:r>
      <w:r w:rsidR="00A541ED" w:rsidRPr="00660A23">
        <w:fldChar w:fldCharType="separate"/>
      </w:r>
      <w:r w:rsidR="008F30E0">
        <w:rPr>
          <w:noProof/>
        </w:rPr>
        <w:t>Geological and Bioregional Assessment Program (2019h)</w:t>
      </w:r>
      <w:r w:rsidR="00A541ED" w:rsidRPr="00660A23">
        <w:fldChar w:fldCharType="end"/>
      </w:r>
      <w:r w:rsidR="00740D98">
        <w:br/>
      </w:r>
      <w:r w:rsidR="00827050" w:rsidRPr="00397577">
        <w:t>Element: GBA-BEE-2-</w:t>
      </w:r>
      <w:r w:rsidR="00897E46">
        <w:t>217</w:t>
      </w:r>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p>
    <w:p w14:paraId="69BB704C" w14:textId="77777777" w:rsidR="009676EE" w:rsidRPr="004667CC" w:rsidRDefault="009676EE" w:rsidP="00C00F6D">
      <w:pPr>
        <w:pStyle w:val="Heading5"/>
      </w:pPr>
      <w:bookmarkStart w:id="805" w:name="_Ref5789135"/>
      <w:r w:rsidRPr="004667CC">
        <w:t>Carpentaria Basin</w:t>
      </w:r>
      <w:bookmarkEnd w:id="805"/>
    </w:p>
    <w:p w14:paraId="1FD75F81" w14:textId="15981F33" w:rsidR="00E2259E" w:rsidRPr="004667CC" w:rsidRDefault="000C6BB8" w:rsidP="00E2259E">
      <w:pPr>
        <w:pStyle w:val="BodyText"/>
      </w:pPr>
      <w:r w:rsidRPr="004667CC">
        <w:t xml:space="preserve">Due to their typically unsaturated nature, groundwater samples from </w:t>
      </w:r>
      <w:r>
        <w:t>Cretaceous</w:t>
      </w:r>
      <w:r w:rsidRPr="004667CC">
        <w:t xml:space="preserve"> </w:t>
      </w:r>
      <w:r>
        <w:t xml:space="preserve">sedimentary </w:t>
      </w:r>
      <w:r w:rsidRPr="004667CC">
        <w:t xml:space="preserve">rocks </w:t>
      </w:r>
      <w:r>
        <w:t xml:space="preserve">of the </w:t>
      </w:r>
      <w:r w:rsidR="00076271">
        <w:t>Carpentaria</w:t>
      </w:r>
      <w:r>
        <w:t xml:space="preserve"> Basin </w:t>
      </w:r>
      <w:r w:rsidRPr="004667CC">
        <w:t>are limited to the southern portion of the Beetaloo GBA region, and the far north near Mataranka Thermal Pools (</w:t>
      </w:r>
      <w:r w:rsidRPr="00E43A80">
        <w:fldChar w:fldCharType="begin"/>
      </w:r>
      <w:r w:rsidRPr="004667CC">
        <w:instrText xml:space="preserve"> REF _Ref769152 \h </w:instrText>
      </w:r>
      <w:r w:rsidRPr="00154068">
        <w:instrText xml:space="preserve"> \* MERGEFORMAT </w:instrText>
      </w:r>
      <w:r w:rsidRPr="00E43A80">
        <w:fldChar w:fldCharType="separate"/>
      </w:r>
      <w:r w:rsidR="00B177F5" w:rsidRPr="00ED145E">
        <w:t xml:space="preserve">Figure </w:t>
      </w:r>
      <w:r w:rsidR="00B177F5">
        <w:rPr>
          <w:noProof/>
        </w:rPr>
        <w:t>38</w:t>
      </w:r>
      <w:r w:rsidRPr="00E43A80">
        <w:fldChar w:fldCharType="end"/>
      </w:r>
      <w:r w:rsidRPr="004667CC">
        <w:t>).</w:t>
      </w:r>
      <w:r>
        <w:t xml:space="preserve"> </w:t>
      </w:r>
      <w:r w:rsidR="00E2259E" w:rsidRPr="004667CC">
        <w:t>Salinity levels</w:t>
      </w:r>
      <w:r>
        <w:t xml:space="preserve"> (TDS)</w:t>
      </w:r>
      <w:r w:rsidR="00E2259E" w:rsidRPr="004667CC">
        <w:t xml:space="preserve"> range from 170 mg/L to 8610 mg/</w:t>
      </w:r>
      <w:r w:rsidR="0057355B">
        <w:t>L</w:t>
      </w:r>
      <w:r w:rsidR="00E2259E" w:rsidRPr="004667CC">
        <w:t>, with an average of 1</w:t>
      </w:r>
      <w:r w:rsidR="004667CC" w:rsidRPr="00CF40AD">
        <w:t>614</w:t>
      </w:r>
      <w:r w:rsidR="00E2259E" w:rsidRPr="004667CC">
        <w:t xml:space="preserve"> mg/</w:t>
      </w:r>
      <w:r w:rsidR="0057355B">
        <w:t>L</w:t>
      </w:r>
      <w:r w:rsidR="00833220">
        <w:t xml:space="preserve"> </w:t>
      </w:r>
      <w:r w:rsidR="00E2259E" w:rsidRPr="004667CC">
        <w:t xml:space="preserve">and are generally classed as moderately saline </w:t>
      </w:r>
      <w:r w:rsidR="00BF0016">
        <w:fldChar w:fldCharType="begin"/>
      </w:r>
      <w:r w:rsidR="00F76E0D">
        <w:instrText xml:space="preserve"> ADDIN EN.CITE &lt;EndNote&gt;&lt;Cite&gt;&lt;Author&gt;FAO&lt;/Author&gt;&lt;Year&gt;1992&lt;/Year&gt;&lt;RecNum&gt;732&lt;/RecNum&gt;&lt;DisplayText&gt;(FAO, 1992)&lt;/DisplayText&gt;&lt;record&gt;&lt;rec-number&gt;732&lt;/rec-number&gt;&lt;foreign-keys&gt;&lt;key app="EN" db-id="wdf9tzzdhw2saee559kv0vezt0wfsta0zedv" timestamp="1550544783"&gt;732&lt;/key&gt;&lt;/foreign-keys&gt;&lt;ref-type name="Report"&gt;27&lt;/ref-type&gt;&lt;contributors&gt;&lt;authors&gt;&lt;author&gt;FAO&lt;/author&gt;&lt;/authors&gt;&lt;/contributors&gt;&lt;titles&gt;&lt;title&gt;The use of saline waters for crop production - FAO irrigation and drainage paper 48. Rome: FAO&lt;/title&gt;&lt;/titles&gt;&lt;dates&gt;&lt;year&gt;1992&lt;/year&gt;&lt;/dates&gt;&lt;pub-location&gt;Rome&lt;/pub-location&gt;&lt;publisher&gt;Food and Agriculture Organization of the United Nations&lt;/publisher&gt;&lt;urls&gt;&lt;related-urls&gt;&lt;url&gt;&lt;style face="underline" font="default" size="100%"&gt;http://www.fao.org/docrep/T0667E/T0667E00.htm&lt;/style&gt;&lt;/url&gt;&lt;/related-urls&gt;&lt;/urls&gt;&lt;access-date&gt;24 October 2019&lt;/access-date&gt;&lt;/record&gt;&lt;/Cite&gt;&lt;/EndNote&gt;</w:instrText>
      </w:r>
      <w:r w:rsidR="00BF0016">
        <w:fldChar w:fldCharType="separate"/>
      </w:r>
      <w:r w:rsidR="00BF0016">
        <w:rPr>
          <w:noProof/>
        </w:rPr>
        <w:t>(FAO, 1992)</w:t>
      </w:r>
      <w:r w:rsidR="00BF0016">
        <w:fldChar w:fldCharType="end"/>
      </w:r>
      <w:r w:rsidR="00E2259E" w:rsidRPr="004667CC">
        <w:t xml:space="preserve">. Groundwater geochemistry </w:t>
      </w:r>
      <w:r w:rsidR="006440D9">
        <w:t>typically</w:t>
      </w:r>
      <w:r w:rsidR="00E2259E" w:rsidRPr="004667CC">
        <w:t xml:space="preserve"> shows a Na cationic and </w:t>
      </w:r>
      <w:r w:rsidR="004667CC" w:rsidRPr="00CF40AD">
        <w:t>HCO</w:t>
      </w:r>
      <w:r w:rsidR="004667CC" w:rsidRPr="00001C61">
        <w:rPr>
          <w:rStyle w:val="Subscript"/>
        </w:rPr>
        <w:t>3</w:t>
      </w:r>
      <w:r w:rsidR="004667CC" w:rsidRPr="00CF40AD">
        <w:t xml:space="preserve">-Cl </w:t>
      </w:r>
      <w:r w:rsidR="00E2259E" w:rsidRPr="004667CC">
        <w:t xml:space="preserve">mixed anionic signature. </w:t>
      </w:r>
    </w:p>
    <w:p w14:paraId="2477ADBC" w14:textId="2D44775F" w:rsidR="00E2259E" w:rsidRPr="004667CC" w:rsidRDefault="00E2259E" w:rsidP="00CF40AD">
      <w:pPr>
        <w:pStyle w:val="Heading5"/>
      </w:pPr>
      <w:r w:rsidRPr="004667CC">
        <w:t xml:space="preserve">Cenozoic </w:t>
      </w:r>
      <w:r w:rsidR="00BB6D37">
        <w:t>s</w:t>
      </w:r>
      <w:r w:rsidRPr="004667CC">
        <w:t>ediments</w:t>
      </w:r>
    </w:p>
    <w:p w14:paraId="1E50BEEB" w14:textId="5E4607CB" w:rsidR="00E2259E" w:rsidRPr="004667CC" w:rsidRDefault="000D075C" w:rsidP="00E2259E">
      <w:pPr>
        <w:pStyle w:val="BodyText"/>
      </w:pPr>
      <w:r w:rsidRPr="004667CC">
        <w:t>Whil</w:t>
      </w:r>
      <w:r>
        <w:t>e</w:t>
      </w:r>
      <w:r w:rsidRPr="004667CC">
        <w:t xml:space="preserve"> </w:t>
      </w:r>
      <w:r w:rsidR="00E2259E" w:rsidRPr="004667CC">
        <w:t xml:space="preserve">Cenozoic sediments are widespread across the basin, </w:t>
      </w:r>
      <w:r w:rsidR="00956F14">
        <w:t>they are</w:t>
      </w:r>
      <w:r w:rsidR="00E2259E" w:rsidRPr="004667CC">
        <w:t xml:space="preserve"> typically unsaturated</w:t>
      </w:r>
      <w:r w:rsidR="00BE2690">
        <w:t>; therefore,</w:t>
      </w:r>
      <w:r w:rsidR="00956F14">
        <w:t xml:space="preserve"> </w:t>
      </w:r>
      <w:r w:rsidR="004667CC" w:rsidRPr="00CF40AD">
        <w:t xml:space="preserve">only one </w:t>
      </w:r>
      <w:r w:rsidR="00E2259E" w:rsidRPr="004667CC">
        <w:t>sample</w:t>
      </w:r>
      <w:r w:rsidR="004667CC" w:rsidRPr="00CF40AD">
        <w:t xml:space="preserve"> was</w:t>
      </w:r>
      <w:r w:rsidR="00E2259E" w:rsidRPr="004667CC">
        <w:t xml:space="preserve"> available </w:t>
      </w:r>
      <w:r w:rsidR="004667CC" w:rsidRPr="00CF40AD">
        <w:t>(</w:t>
      </w:r>
      <w:r w:rsidR="004667CC" w:rsidRPr="00CF40AD">
        <w:fldChar w:fldCharType="begin"/>
      </w:r>
      <w:r w:rsidR="004667CC" w:rsidRPr="00CF40AD">
        <w:instrText xml:space="preserve"> REF _Ref769152 \h  \* MERGEFORMAT </w:instrText>
      </w:r>
      <w:r w:rsidR="004667CC" w:rsidRPr="00CF40AD">
        <w:fldChar w:fldCharType="separate"/>
      </w:r>
      <w:r w:rsidR="00B177F5" w:rsidRPr="00ED145E">
        <w:t xml:space="preserve">Figure </w:t>
      </w:r>
      <w:r w:rsidR="00B177F5">
        <w:rPr>
          <w:noProof/>
        </w:rPr>
        <w:t>38</w:t>
      </w:r>
      <w:r w:rsidR="004667CC" w:rsidRPr="00CF40AD">
        <w:fldChar w:fldCharType="end"/>
      </w:r>
      <w:r w:rsidR="004667CC" w:rsidRPr="00CF40AD">
        <w:t>)</w:t>
      </w:r>
      <w:r w:rsidR="00993A12">
        <w:t>, and it was</w:t>
      </w:r>
      <w:r w:rsidR="00E26121">
        <w:t xml:space="preserve"> from outside the Beetaloo GBA region</w:t>
      </w:r>
      <w:r w:rsidR="00E2259E" w:rsidRPr="004667CC">
        <w:t xml:space="preserve">. </w:t>
      </w:r>
      <w:r w:rsidR="004667CC" w:rsidRPr="00CF40AD">
        <w:t>The salinity level in this sample was 270 mg/</w:t>
      </w:r>
      <w:r w:rsidR="0057355B">
        <w:t>L</w:t>
      </w:r>
      <w:r w:rsidR="004667CC" w:rsidRPr="00CF40AD">
        <w:t xml:space="preserve">, classed </w:t>
      </w:r>
      <w:r w:rsidR="00E26121">
        <w:t xml:space="preserve">as </w:t>
      </w:r>
      <w:r w:rsidR="004667CC" w:rsidRPr="00CF40AD">
        <w:t xml:space="preserve">non-saline </w:t>
      </w:r>
      <w:r w:rsidR="00BF0016">
        <w:fldChar w:fldCharType="begin"/>
      </w:r>
      <w:r w:rsidR="00F76E0D">
        <w:instrText xml:space="preserve"> ADDIN EN.CITE &lt;EndNote&gt;&lt;Cite&gt;&lt;Author&gt;FAO&lt;/Author&gt;&lt;Year&gt;1992&lt;/Year&gt;&lt;RecNum&gt;732&lt;/RecNum&gt;&lt;DisplayText&gt;(FAO, 1992)&lt;/DisplayText&gt;&lt;record&gt;&lt;rec-number&gt;732&lt;/rec-number&gt;&lt;foreign-keys&gt;&lt;key app="EN" db-id="wdf9tzzdhw2saee559kv0vezt0wfsta0zedv" timestamp="1550544783"&gt;732&lt;/key&gt;&lt;/foreign-keys&gt;&lt;ref-type name="Report"&gt;27&lt;/ref-type&gt;&lt;contributors&gt;&lt;authors&gt;&lt;author&gt;FAO&lt;/author&gt;&lt;/authors&gt;&lt;/contributors&gt;&lt;titles&gt;&lt;title&gt;The use of saline waters for crop production - FAO irrigation and drainage paper 48. Rome: FAO&lt;/title&gt;&lt;/titles&gt;&lt;dates&gt;&lt;year&gt;1992&lt;/year&gt;&lt;/dates&gt;&lt;pub-location&gt;Rome&lt;/pub-location&gt;&lt;publisher&gt;Food and Agriculture Organization of the United Nations&lt;/publisher&gt;&lt;urls&gt;&lt;related-urls&gt;&lt;url&gt;&lt;style face="underline" font="default" size="100%"&gt;http://www.fao.org/docrep/T0667E/T0667E00.htm&lt;/style&gt;&lt;/url&gt;&lt;/related-urls&gt;&lt;/urls&gt;&lt;access-date&gt;24 October 2019&lt;/access-date&gt;&lt;/record&gt;&lt;/Cite&gt;&lt;/EndNote&gt;</w:instrText>
      </w:r>
      <w:r w:rsidR="00BF0016">
        <w:fldChar w:fldCharType="separate"/>
      </w:r>
      <w:r w:rsidR="00BF0016">
        <w:rPr>
          <w:noProof/>
        </w:rPr>
        <w:t>(FAO, 1992)</w:t>
      </w:r>
      <w:r w:rsidR="00BF0016">
        <w:fldChar w:fldCharType="end"/>
      </w:r>
      <w:r w:rsidR="004667CC" w:rsidRPr="004667CC">
        <w:t xml:space="preserve">. </w:t>
      </w:r>
      <w:r w:rsidR="00E2259E" w:rsidRPr="004667CC">
        <w:t xml:space="preserve">Groundwater geochemistry shows </w:t>
      </w:r>
      <w:r w:rsidR="00076271">
        <w:t>an</w:t>
      </w:r>
      <w:r w:rsidR="00E2259E" w:rsidRPr="004667CC">
        <w:t xml:space="preserve"> </w:t>
      </w:r>
      <w:r w:rsidR="004667CC" w:rsidRPr="00CF40AD">
        <w:t>Mg</w:t>
      </w:r>
      <w:r w:rsidR="006440D9">
        <w:t>-Ca</w:t>
      </w:r>
      <w:r w:rsidR="004667CC" w:rsidRPr="00CF40AD">
        <w:t xml:space="preserve"> </w:t>
      </w:r>
      <w:r w:rsidR="004667CC" w:rsidRPr="004667CC">
        <w:t>cationic</w:t>
      </w:r>
      <w:r w:rsidR="004667CC" w:rsidRPr="00CF40AD" w:rsidDel="004667CC">
        <w:t xml:space="preserve"> </w:t>
      </w:r>
      <w:r w:rsidR="004667CC" w:rsidRPr="00CF40AD">
        <w:t xml:space="preserve">and </w:t>
      </w:r>
      <w:r w:rsidR="004667CC" w:rsidRPr="15650221">
        <w:t>HCO</w:t>
      </w:r>
      <w:r w:rsidR="004667CC" w:rsidRPr="00001C61">
        <w:rPr>
          <w:rStyle w:val="Subscript"/>
        </w:rPr>
        <w:t>3</w:t>
      </w:r>
      <w:r w:rsidR="004667CC" w:rsidRPr="15650221">
        <w:t xml:space="preserve"> anionic signature.</w:t>
      </w:r>
      <w:r w:rsidR="00E26121" w:rsidRPr="15650221">
        <w:t xml:space="preserve"> It is unknown if this sample is </w:t>
      </w:r>
      <w:r w:rsidR="005867A6" w:rsidRPr="15650221">
        <w:t>representative</w:t>
      </w:r>
      <w:r w:rsidR="00E26121" w:rsidRPr="15650221">
        <w:t xml:space="preserve"> of groundwater chemistry in perched groundwater systems elsewhere.</w:t>
      </w:r>
      <w:r w:rsidR="00E0134A" w:rsidRPr="15650221">
        <w:t xml:space="preserve"> Perched groundwater is known to be present in three </w:t>
      </w:r>
      <w:r w:rsidR="00993A12">
        <w:t>groundwater monitoring bores</w:t>
      </w:r>
      <w:r w:rsidR="00993A12" w:rsidRPr="15650221">
        <w:t xml:space="preserve"> </w:t>
      </w:r>
      <w:r w:rsidR="00E0134A" w:rsidRPr="15650221">
        <w:t xml:space="preserve">installed by Origin </w:t>
      </w:r>
      <w:r w:rsidR="00740D98">
        <w:t xml:space="preserve">Energy </w:t>
      </w:r>
      <w:r w:rsidR="00E0134A" w:rsidRPr="15650221">
        <w:t>in the north</w:t>
      </w:r>
      <w:r w:rsidR="00BE2690">
        <w:t>-</w:t>
      </w:r>
      <w:r w:rsidR="00E0134A" w:rsidRPr="15650221">
        <w:t>west of the eastern Beetaloo GBA region</w:t>
      </w:r>
      <w:r w:rsidR="00B27F43">
        <w:t xml:space="preserve"> (see Section </w:t>
      </w:r>
      <w:r w:rsidR="00B27F43">
        <w:fldChar w:fldCharType="begin"/>
      </w:r>
      <w:r w:rsidR="00B27F43">
        <w:instrText xml:space="preserve"> REF _Ref38979260 \r \h </w:instrText>
      </w:r>
      <w:r w:rsidR="00B27F43">
        <w:fldChar w:fldCharType="separate"/>
      </w:r>
      <w:r w:rsidR="00B177F5">
        <w:t>2.1.3.2</w:t>
      </w:r>
      <w:r w:rsidR="00B27F43">
        <w:fldChar w:fldCharType="end"/>
      </w:r>
      <w:r w:rsidR="00B27F43">
        <w:t>)</w:t>
      </w:r>
      <w:r w:rsidR="00740D98">
        <w:t>. However,</w:t>
      </w:r>
      <w:r w:rsidR="00E0134A" w:rsidRPr="15650221">
        <w:t xml:space="preserve"> chemical analyses were not available </w:t>
      </w:r>
      <w:r w:rsidR="00740D98">
        <w:t>at the time of writing</w:t>
      </w:r>
      <w:r w:rsidR="00E0134A" w:rsidRPr="15650221">
        <w:t>.</w:t>
      </w:r>
    </w:p>
    <w:p w14:paraId="746D3C8B" w14:textId="60BAB6C5" w:rsidR="009676EE" w:rsidRPr="00ED145E" w:rsidRDefault="00EF5A5F" w:rsidP="009676EE">
      <w:pPr>
        <w:pStyle w:val="BodyText"/>
        <w:keepNext/>
      </w:pPr>
      <w:r>
        <w:rPr>
          <w:noProof/>
        </w:rPr>
        <w:drawing>
          <wp:inline distT="0" distB="0" distL="0" distR="0" wp14:anchorId="7602875E" wp14:editId="22C31BB1">
            <wp:extent cx="6120130" cy="6950075"/>
            <wp:effectExtent l="0" t="0" r="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BA-BEE-2-220_Cenozoic_Cretaceous_salinity.png"/>
                    <pic:cNvPicPr/>
                  </pic:nvPicPr>
                  <pic:blipFill>
                    <a:blip r:embed="rId99" cstate="screen">
                      <a:extLst>
                        <a:ext uri="{28A0092B-C50C-407E-A947-70E740481C1C}">
                          <a14:useLocalDpi xmlns:a14="http://schemas.microsoft.com/office/drawing/2010/main" val="0"/>
                        </a:ext>
                      </a:extLst>
                    </a:blip>
                    <a:stretch>
                      <a:fillRect/>
                    </a:stretch>
                  </pic:blipFill>
                  <pic:spPr>
                    <a:xfrm>
                      <a:off x="0" y="0"/>
                      <a:ext cx="6120130" cy="6950075"/>
                    </a:xfrm>
                    <a:prstGeom prst="rect">
                      <a:avLst/>
                    </a:prstGeom>
                  </pic:spPr>
                </pic:pic>
              </a:graphicData>
            </a:graphic>
          </wp:inline>
        </w:drawing>
      </w:r>
    </w:p>
    <w:p w14:paraId="1DB88A11" w14:textId="375F8C42" w:rsidR="009676EE" w:rsidRPr="00ED145E" w:rsidRDefault="009676EE" w:rsidP="009676EE">
      <w:pPr>
        <w:pStyle w:val="Caption"/>
      </w:pPr>
      <w:bookmarkStart w:id="806" w:name="_Ref769152"/>
      <w:bookmarkStart w:id="807" w:name="_Toc4072449"/>
      <w:bookmarkStart w:id="808" w:name="_Toc4670972"/>
      <w:bookmarkStart w:id="809" w:name="_Toc4754392"/>
      <w:bookmarkStart w:id="810" w:name="_Toc5020777"/>
      <w:bookmarkStart w:id="811" w:name="_Toc5021584"/>
      <w:bookmarkStart w:id="812" w:name="_Toc5097110"/>
      <w:bookmarkStart w:id="813" w:name="_Toc5108502"/>
      <w:bookmarkStart w:id="814" w:name="_Toc5284166"/>
      <w:bookmarkStart w:id="815" w:name="_Toc5635380"/>
      <w:bookmarkStart w:id="816" w:name="_Toc5808339"/>
      <w:bookmarkStart w:id="817" w:name="_Toc5895031"/>
      <w:bookmarkStart w:id="818" w:name="_Toc6308920"/>
      <w:bookmarkStart w:id="819" w:name="_Toc6327585"/>
      <w:bookmarkStart w:id="820" w:name="_Toc38990492"/>
      <w:r w:rsidRPr="00ED145E">
        <w:t xml:space="preserve">Figure </w:t>
      </w:r>
      <w:r w:rsidR="00685527" w:rsidRPr="00CF40AD">
        <w:fldChar w:fldCharType="begin"/>
      </w:r>
      <w:r w:rsidR="00685527" w:rsidRPr="00C55308">
        <w:rPr>
          <w:noProof/>
        </w:rPr>
        <w:instrText xml:space="preserve"> SEQ Figure \* ARABIC </w:instrText>
      </w:r>
      <w:r w:rsidR="00685527" w:rsidRPr="00CF40AD">
        <w:rPr>
          <w:noProof/>
        </w:rPr>
        <w:fldChar w:fldCharType="separate"/>
      </w:r>
      <w:r w:rsidR="00B177F5">
        <w:rPr>
          <w:noProof/>
        </w:rPr>
        <w:t>38</w:t>
      </w:r>
      <w:r w:rsidR="00685527" w:rsidRPr="00CF40AD">
        <w:fldChar w:fldCharType="end"/>
      </w:r>
      <w:bookmarkEnd w:id="806"/>
      <w:r w:rsidRPr="00ED145E">
        <w:t xml:space="preserve"> Total dissolved solids (salinity levels) in Cenozoic and Cretaceous sediments (Carpentaria Basin)</w:t>
      </w:r>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p>
    <w:p w14:paraId="0E7F9994" w14:textId="0E8D1E23" w:rsidR="005019F5" w:rsidRDefault="00BE2690" w:rsidP="005019F5">
      <w:pPr>
        <w:pStyle w:val="SourceornoteforTableorFigure"/>
      </w:pPr>
      <w:r>
        <w:t>TDS = total dissolved solids</w:t>
      </w:r>
      <w:r>
        <w:br/>
      </w:r>
      <w:r w:rsidR="00260C84" w:rsidRPr="00C55308">
        <w:t xml:space="preserve">Data: </w:t>
      </w:r>
      <w:r w:rsidR="00660A23" w:rsidRPr="00660A23">
        <w:fldChar w:fldCharType="begin"/>
      </w:r>
      <w:r w:rsidR="008F30E0">
        <w:instrText xml:space="preserve"> ADDIN EN.CITE &lt;EndNote&gt;&lt;Cite AuthorYear="1"&gt;&lt;Author&gt;Geological and Bioregional Assessment Program&lt;/Author&gt;&lt;Year&gt;2019&lt;/Year&gt;&lt;RecNum&gt;886&lt;/RecNum&gt;&lt;DisplayText&gt;Geological and Bioregional Assessment Program (2019h)&lt;/DisplayText&gt;&lt;record&gt;&lt;rec-number&gt;886&lt;/rec-number&gt;&lt;foreign-keys&gt;&lt;key app="EN" db-id="wdf9tzzdhw2saee559kv0vezt0wfsta0zedv" timestamp="1553830844"&gt;886&lt;/key&gt;&lt;/foreign-keys&gt;&lt;ref-type name="Dataset"&gt;59&lt;/ref-type&gt;&lt;contributors&gt;&lt;authors&gt;&lt;author&gt;Geological and Bioregional Assessment Program,&lt;/author&gt;&lt;/authors&gt;&lt;secondary-authors&gt;&lt;author&gt;Geoscience Australia,&lt;/author&gt;&lt;/secondary-authors&gt;&lt;/contributors&gt;&lt;titles&gt;&lt;title&gt;Groundwater chemistry in the Beetaloo GBA groundwater bore data extraction area&lt;/title&gt;&lt;/titles&gt;&lt;dates&gt;&lt;year&gt;2019&lt;/year&gt;&lt;/dates&gt;&lt;label&gt;A0654187-3282-4DB6-B5A4-668A897D4D79&lt;/label&gt;&lt;urls&gt;&lt;related-urls&gt;&lt;url&gt;https://repo.bioregionalassessments.gov.au/metadata/A0654187-3282-4DB6-B5A4-668A897D4D79&lt;/url&gt;&lt;/related-urls&gt;&lt;/urls&gt;&lt;remote-database-name&gt;Beetaloo_GBA_Hydrochemistry.xlsx&lt;/remote-database-name&gt;&lt;language&gt;English&lt;/language&gt;&lt;access-date&gt;03 April 2019&lt;/access-date&gt;&lt;/record&gt;&lt;/Cite&gt;&lt;/EndNote&gt;</w:instrText>
      </w:r>
      <w:r w:rsidR="00660A23" w:rsidRPr="00660A23">
        <w:fldChar w:fldCharType="separate"/>
      </w:r>
      <w:r w:rsidR="008F30E0">
        <w:rPr>
          <w:noProof/>
        </w:rPr>
        <w:t>Geological and Bioregional Assessment Program (2019h)</w:t>
      </w:r>
      <w:r w:rsidR="00660A23" w:rsidRPr="00660A23">
        <w:fldChar w:fldCharType="end"/>
      </w:r>
      <w:r w:rsidR="00740D98">
        <w:br/>
      </w:r>
      <w:r w:rsidR="00694351">
        <w:t>Element: GBA-BEE-2-220</w:t>
      </w:r>
    </w:p>
    <w:p w14:paraId="3A10C1D0" w14:textId="77777777" w:rsidR="005019F5" w:rsidRDefault="005019F5" w:rsidP="00610170">
      <w:pPr>
        <w:pStyle w:val="BodyText"/>
      </w:pPr>
      <w:r>
        <w:br w:type="page"/>
      </w:r>
    </w:p>
    <w:p w14:paraId="60A82191" w14:textId="77777777" w:rsidR="002207F5" w:rsidRDefault="002207F5" w:rsidP="003E1F1E">
      <w:pPr>
        <w:pStyle w:val="Heading4"/>
      </w:pPr>
      <w:bookmarkStart w:id="821" w:name="_Ref5787288"/>
      <w:r>
        <w:t>Springs with Proterozoic source aquifers</w:t>
      </w:r>
      <w:bookmarkEnd w:id="821"/>
      <w:r>
        <w:t xml:space="preserve"> </w:t>
      </w:r>
    </w:p>
    <w:p w14:paraId="2D1C95CA" w14:textId="1E911BEF" w:rsidR="002207F5" w:rsidRPr="007152C8" w:rsidRDefault="00222407" w:rsidP="002207F5">
      <w:pPr>
        <w:pStyle w:val="BodyText"/>
      </w:pPr>
      <w:r>
        <w:t>N</w:t>
      </w:r>
      <w:r w:rsidRPr="007152C8">
        <w:t>o sp</w:t>
      </w:r>
      <w:r>
        <w:t xml:space="preserve">rings are </w:t>
      </w:r>
      <w:r w:rsidRPr="007152C8">
        <w:t>located within the Beetaloo GBA region</w:t>
      </w:r>
      <w:r>
        <w:t xml:space="preserve"> in</w:t>
      </w:r>
      <w:r w:rsidR="002207F5">
        <w:t xml:space="preserve"> </w:t>
      </w:r>
      <w:r>
        <w:t xml:space="preserve">the NT Springs dataset </w:t>
      </w:r>
      <w:r w:rsidR="00A541ED">
        <w:fldChar w:fldCharType="begin"/>
      </w:r>
      <w:r w:rsidR="00F76E0D">
        <w:instrText xml:space="preserve"> ADDIN EN.CITE &lt;EndNote&gt;&lt;Cite&gt;&lt;Author&gt;Department of Environment and Natural Resources (NT)&lt;/Author&gt;&lt;Year&gt;2013&lt;/Year&gt;&lt;RecNum&gt;830&lt;/RecNum&gt;&lt;DisplayText&gt;(Department of Environment and Natural Resources (NT), 2013)&lt;/DisplayText&gt;&lt;record&gt;&lt;rec-number&gt;830&lt;/rec-number&gt;&lt;foreign-keys&gt;&lt;key app="EN" db-id="wdf9tzzdhw2saee559kv0vezt0wfsta0zedv" timestamp="1553215245"&gt;830&lt;/key&gt;&lt;/foreign-keys&gt;&lt;ref-type name="Dataset"&gt;59&lt;/ref-type&gt;&lt;contributors&gt;&lt;authors&gt;&lt;author&gt;Department of Environment and Natural Resources (NT),&lt;/author&gt;&lt;/authors&gt;&lt;secondary-authors&gt;&lt;author&gt;,&lt;/author&gt;&lt;/secondary-authors&gt;&lt;/contributors&gt;&lt;titles&gt;&lt;title&gt;Springs of the Northern Territory&lt;/title&gt;&lt;/titles&gt;&lt;keywords&gt;&lt;keyword&gt;WATER Hydrology Mapping, ECOLOGY biophysical, WATER Hydrology Mapping&lt;/keyword&gt;&lt;/keywords&gt;&lt;dates&gt;&lt;year&gt;2013&lt;/year&gt;&lt;/dates&gt;&lt;pub-location&gt;Canberra&lt;/pub-location&gt;&lt;label&gt;1D351848-02FB-4E90-9390-4E2F895B9F89&lt;/label&gt;&lt;urls&gt;&lt;related-urls&gt;&lt;url&gt;http://www.ntlis.nt.gov.au/metadata/export_data?type=html&amp;amp;metadata_id=E9D78F668FC02B33E040CD9B214403C3&lt;/url&gt;&lt;/related-urls&gt;&lt;/urls&gt;&lt;custom2&gt;unit of observation&lt;/custom2&gt;&lt;custom3&gt;spatial&lt;/custom3&gt;&lt;custom4&gt;dataset&lt;/custom4&gt;&lt;access-date&gt;20 March 2019&lt;/access-date&gt;&lt;/record&gt;&lt;/Cite&gt;&lt;/EndNote&gt;</w:instrText>
      </w:r>
      <w:r w:rsidR="00A541ED">
        <w:fldChar w:fldCharType="separate"/>
      </w:r>
      <w:r w:rsidR="005064C6">
        <w:rPr>
          <w:noProof/>
        </w:rPr>
        <w:t>(Department of Environment and Natural Resources (NT), 2013)</w:t>
      </w:r>
      <w:r w:rsidR="00A541ED">
        <w:fldChar w:fldCharType="end"/>
      </w:r>
      <w:r w:rsidR="002207F5" w:rsidRPr="007152C8">
        <w:t xml:space="preserve">. The closest </w:t>
      </w:r>
      <w:r w:rsidR="00076271">
        <w:t xml:space="preserve">group of </w:t>
      </w:r>
      <w:r w:rsidR="004E2599">
        <w:t xml:space="preserve">springs </w:t>
      </w:r>
      <w:r w:rsidR="00BE2690">
        <w:t>is</w:t>
      </w:r>
      <w:r w:rsidR="002207F5" w:rsidRPr="007152C8">
        <w:t xml:space="preserve"> situated </w:t>
      </w:r>
      <w:r>
        <w:t>approximately</w:t>
      </w:r>
      <w:r w:rsidRPr="007152C8">
        <w:t xml:space="preserve"> </w:t>
      </w:r>
      <w:r w:rsidR="002207F5" w:rsidRPr="007152C8">
        <w:t>10</w:t>
      </w:r>
      <w:r>
        <w:t> </w:t>
      </w:r>
      <w:r w:rsidR="002207F5" w:rsidRPr="007152C8">
        <w:t xml:space="preserve">km to the north-east of the </w:t>
      </w:r>
      <w:r w:rsidR="004E2599" w:rsidRPr="007152C8">
        <w:t>Beetaloo GBA region</w:t>
      </w:r>
      <w:r w:rsidR="00076271">
        <w:t>,</w:t>
      </w:r>
      <w:r w:rsidR="004E2599">
        <w:t xml:space="preserve"> </w:t>
      </w:r>
      <w:r w:rsidR="002207F5" w:rsidRPr="007152C8">
        <w:t xml:space="preserve">in the headwaters </w:t>
      </w:r>
      <w:r w:rsidR="004E2599">
        <w:t>to</w:t>
      </w:r>
      <w:r w:rsidR="004E2599" w:rsidRPr="007152C8">
        <w:t xml:space="preserve"> </w:t>
      </w:r>
      <w:r>
        <w:t xml:space="preserve">the </w:t>
      </w:r>
      <w:r w:rsidR="002207F5" w:rsidRPr="007152C8">
        <w:t xml:space="preserve">Cox River catchment. </w:t>
      </w:r>
      <w:r w:rsidR="004E2599">
        <w:t>Beauty C</w:t>
      </w:r>
      <w:r w:rsidR="004E2599" w:rsidRPr="007152C8">
        <w:t>reek spring</w:t>
      </w:r>
      <w:r w:rsidR="004E2599">
        <w:t>s</w:t>
      </w:r>
      <w:r w:rsidR="004E2599" w:rsidRPr="007152C8">
        <w:t xml:space="preserve"> </w:t>
      </w:r>
      <w:r w:rsidR="004E2599">
        <w:t xml:space="preserve">is situated in the aptly named </w:t>
      </w:r>
      <w:r w:rsidR="00BE2690">
        <w:t>‘</w:t>
      </w:r>
      <w:r w:rsidR="002207F5" w:rsidRPr="007152C8">
        <w:t>Hot Springs Valley</w:t>
      </w:r>
      <w:r w:rsidR="00BE2690">
        <w:t>’</w:t>
      </w:r>
      <w:r w:rsidR="002207F5" w:rsidRPr="007152C8">
        <w:t xml:space="preserve">, </w:t>
      </w:r>
      <w:r w:rsidR="004E2599">
        <w:t xml:space="preserve">where it </w:t>
      </w:r>
      <w:r w:rsidR="002207F5" w:rsidRPr="007152C8">
        <w:t xml:space="preserve">discharges freshwater (310mg/L, see Table 7.6 in </w:t>
      </w:r>
      <w:r w:rsidR="00A541ED">
        <w:fldChar w:fldCharType="begin"/>
      </w:r>
      <w:r w:rsidR="005D0C32">
        <w:instrText xml:space="preserve"> ADDIN EN.CITE &lt;EndNote&gt;&lt;Cite AuthorYear="1"&gt;&lt;Author&gt;Zaar&lt;/Author&gt;&lt;Year&gt;2009&lt;/Year&gt;&lt;RecNum&gt;698&lt;/RecNum&gt;&lt;DisplayText&gt;Zaar (2009a)&lt;/DisplayText&gt;&lt;record&gt;&lt;rec-number&gt;698&lt;/rec-number&gt;&lt;foreign-keys&gt;&lt;key app="EN" db-id="wdf9tzzdhw2saee559kv0vezt0wfsta0zedv" timestamp="1545264526"&gt;698&lt;/key&gt;&lt;key app="ENWeb" db-id=""&gt;0&lt;/key&gt;&lt;/foreign-keys&gt;&lt;ref-type name="Report"&gt;27&lt;/ref-type&gt;&lt;contributors&gt;&lt;authors&gt;&lt;author&gt;Zaar, Ursula&lt;/author&gt;&lt;/authors&gt;&lt;tertiary-authors&gt;&lt;author&gt;Department of Natural Resources, Environment the Arts and Sport (NT)&lt;/author&gt;&lt;/tertiary-authors&gt;&lt;/contributors&gt;&lt;titles&gt;&lt;title&gt;Gulf water study: water resources of the Limmen Bight and the Macarthur Rivers region&lt;/title&gt;&lt;secondary-title&gt;Gulf Water Study&lt;/secondary-title&gt;&lt;/titles&gt;&lt;pages&gt;200&lt;/pages&gt;&lt;number&gt;17/2009D&lt;/number&gt;&lt;dates&gt;&lt;year&gt;2009&lt;/year&gt;&lt;/dates&gt;&lt;pub-location&gt;Darwin&lt;/pub-location&gt;&lt;publisher&gt;Department of Natural Resources, Environment the Arts and Sport (NT)&lt;/publisher&gt;&lt;isbn&gt;17/2009D&lt;/isbn&gt;&lt;urls&gt;&lt;related-urls&gt;&lt;url&gt;&lt;style face="underline" font="default" size="100%"&gt;http://www.territorystories.nt.gov.au/jspui/handle/10070/243633&lt;/style&gt;&lt;/url&gt;&lt;/related-urls&gt;&lt;/urls&gt;&lt;access-date&gt;28 November 2019&lt;/access-date&gt;&lt;/record&gt;&lt;/Cite&gt;&lt;/EndNote&gt;</w:instrText>
      </w:r>
      <w:r w:rsidR="00A541ED">
        <w:fldChar w:fldCharType="separate"/>
      </w:r>
      <w:r w:rsidR="005D0C32">
        <w:rPr>
          <w:noProof/>
        </w:rPr>
        <w:t>Zaar (2009a)</w:t>
      </w:r>
      <w:r w:rsidR="00A541ED">
        <w:fldChar w:fldCharType="end"/>
      </w:r>
      <w:r w:rsidR="002207F5" w:rsidRPr="007152C8">
        <w:t>)</w:t>
      </w:r>
      <w:r w:rsidR="002207F5">
        <w:t xml:space="preserve"> </w:t>
      </w:r>
      <w:r w:rsidR="002207F5" w:rsidRPr="007152C8">
        <w:t xml:space="preserve">at 60°C. Geologically, this spring occurs near the contact of </w:t>
      </w:r>
      <w:r>
        <w:t xml:space="preserve">the </w:t>
      </w:r>
      <w:r w:rsidR="002207F5" w:rsidRPr="007152C8">
        <w:t>Maiwok and Collara subgroups on the western flank of an anticlinal dome</w:t>
      </w:r>
      <w:r w:rsidR="00BE2690">
        <w:t xml:space="preserve"> – </w:t>
      </w:r>
      <w:r w:rsidR="002207F5" w:rsidRPr="007152C8">
        <w:t xml:space="preserve">between Hodgson Sandstone </w:t>
      </w:r>
      <w:r w:rsidR="0065096C">
        <w:t xml:space="preserve">to the </w:t>
      </w:r>
      <w:r w:rsidR="002207F5" w:rsidRPr="007152C8">
        <w:t xml:space="preserve">east </w:t>
      </w:r>
      <w:r w:rsidR="002207F5">
        <w:t xml:space="preserve">and </w:t>
      </w:r>
      <w:r w:rsidR="002207F5" w:rsidRPr="007152C8">
        <w:t>Bes</w:t>
      </w:r>
      <w:r w:rsidR="002207F5">
        <w:t>sie Creek S</w:t>
      </w:r>
      <w:r w:rsidR="002207F5" w:rsidRPr="007152C8">
        <w:t xml:space="preserve">andstone-Corcoran Formation </w:t>
      </w:r>
      <w:r w:rsidR="0065096C">
        <w:t xml:space="preserve">to the </w:t>
      </w:r>
      <w:r w:rsidR="002207F5" w:rsidRPr="007152C8">
        <w:t xml:space="preserve">west. </w:t>
      </w:r>
      <w:r w:rsidR="0065096C">
        <w:t>T</w:t>
      </w:r>
      <w:r w:rsidR="002207F5" w:rsidRPr="007152C8">
        <w:t>he source aquifer(s)</w:t>
      </w:r>
      <w:r w:rsidR="0065096C">
        <w:t xml:space="preserve"> for these springs is unknown, but depending on structural control and geology</w:t>
      </w:r>
      <w:r w:rsidR="002207F5" w:rsidRPr="007152C8">
        <w:t xml:space="preserve"> at depth</w:t>
      </w:r>
      <w:r w:rsidR="0065096C">
        <w:t xml:space="preserve">, </w:t>
      </w:r>
      <w:r w:rsidR="00B260CD">
        <w:t xml:space="preserve">they </w:t>
      </w:r>
      <w:r w:rsidR="0065096C">
        <w:t xml:space="preserve">may </w:t>
      </w:r>
      <w:r w:rsidR="002207F5">
        <w:t>be part of</w:t>
      </w:r>
      <w:r w:rsidR="002207F5" w:rsidRPr="007152C8">
        <w:t xml:space="preserve"> the Roper Group</w:t>
      </w:r>
      <w:r w:rsidR="0065096C">
        <w:t xml:space="preserve"> (e.g. </w:t>
      </w:r>
      <w:r w:rsidR="002207F5">
        <w:t>the</w:t>
      </w:r>
      <w:r w:rsidR="002207F5" w:rsidRPr="007152C8">
        <w:t xml:space="preserve"> Hodgson or Bessie Creek sandstones</w:t>
      </w:r>
      <w:r w:rsidR="0065096C">
        <w:t>)</w:t>
      </w:r>
      <w:r w:rsidR="002207F5">
        <w:t xml:space="preserve">. </w:t>
      </w:r>
      <w:r w:rsidR="0065096C" w:rsidRPr="007152C8">
        <w:t xml:space="preserve">Lagoon Creek springs </w:t>
      </w:r>
      <w:r w:rsidR="0065096C">
        <w:t>are present i</w:t>
      </w:r>
      <w:r w:rsidR="002207F5" w:rsidRPr="007152C8">
        <w:t xml:space="preserve">n an adjacent valley </w:t>
      </w:r>
      <w:r w:rsidR="0065096C">
        <w:t xml:space="preserve">to the </w:t>
      </w:r>
      <w:r w:rsidR="002207F5" w:rsidRPr="007152C8">
        <w:t xml:space="preserve">west. </w:t>
      </w:r>
      <w:r w:rsidR="0065096C">
        <w:t>They</w:t>
      </w:r>
      <w:r w:rsidR="002207F5" w:rsidRPr="007152C8">
        <w:t xml:space="preserve"> occur primarily on Maiwok </w:t>
      </w:r>
      <w:r w:rsidR="00BB6D37">
        <w:t>S</w:t>
      </w:r>
      <w:r w:rsidR="002207F5" w:rsidRPr="007152C8">
        <w:t>ubgroup substrate (Bessie Creek S</w:t>
      </w:r>
      <w:r w:rsidR="002207F5">
        <w:t>andstone and</w:t>
      </w:r>
      <w:r w:rsidR="002207F5" w:rsidRPr="007152C8">
        <w:t xml:space="preserve"> Co</w:t>
      </w:r>
      <w:r w:rsidR="00B260CD">
        <w:t>r</w:t>
      </w:r>
      <w:r w:rsidR="002207F5" w:rsidRPr="007152C8">
        <w:t xml:space="preserve">coran Formation) in a structurally complex </w:t>
      </w:r>
      <w:r w:rsidR="002207F5">
        <w:t>zone</w:t>
      </w:r>
      <w:r w:rsidR="002207F5" w:rsidRPr="007152C8">
        <w:t xml:space="preserve">. </w:t>
      </w:r>
      <w:r w:rsidR="0065096C" w:rsidRPr="007152C8">
        <w:t xml:space="preserve">Lagoon Creek springs </w:t>
      </w:r>
      <w:r w:rsidR="004E2599">
        <w:t xml:space="preserve">also </w:t>
      </w:r>
      <w:r w:rsidR="002207F5">
        <w:t>yield</w:t>
      </w:r>
      <w:r w:rsidR="002207F5" w:rsidRPr="007152C8">
        <w:t xml:space="preserve"> hot but relatively fresh </w:t>
      </w:r>
      <w:r w:rsidR="002207F5">
        <w:t xml:space="preserve">groundwater </w:t>
      </w:r>
      <w:r w:rsidR="00A541ED">
        <w:fldChar w:fldCharType="begin"/>
      </w:r>
      <w:r w:rsidR="005D0C32">
        <w:instrText xml:space="preserve"> ADDIN EN.CITE &lt;EndNote&gt;&lt;Cite&gt;&lt;Author&gt;Zaar&lt;/Author&gt;&lt;Year&gt;2009&lt;/Year&gt;&lt;RecNum&gt;698&lt;/RecNum&gt;&lt;DisplayText&gt;(Zaar, 2009a)&lt;/DisplayText&gt;&lt;record&gt;&lt;rec-number&gt;698&lt;/rec-number&gt;&lt;foreign-keys&gt;&lt;key app="EN" db-id="wdf9tzzdhw2saee559kv0vezt0wfsta0zedv" timestamp="1545264526"&gt;698&lt;/key&gt;&lt;key app="ENWeb" db-id=""&gt;0&lt;/key&gt;&lt;/foreign-keys&gt;&lt;ref-type name="Report"&gt;27&lt;/ref-type&gt;&lt;contributors&gt;&lt;authors&gt;&lt;author&gt;Zaar, Ursula&lt;/author&gt;&lt;/authors&gt;&lt;tertiary-authors&gt;&lt;author&gt;Department of Natural Resources, Environment the Arts and Sport (NT)&lt;/author&gt;&lt;/tertiary-authors&gt;&lt;/contributors&gt;&lt;titles&gt;&lt;title&gt;Gulf water study: water resources of the Limmen Bight and the Macarthur Rivers region&lt;/title&gt;&lt;secondary-title&gt;Gulf Water Study&lt;/secondary-title&gt;&lt;/titles&gt;&lt;pages&gt;200&lt;/pages&gt;&lt;number&gt;17/2009D&lt;/number&gt;&lt;dates&gt;&lt;year&gt;2009&lt;/year&gt;&lt;/dates&gt;&lt;pub-location&gt;Darwin&lt;/pub-location&gt;&lt;publisher&gt;Department of Natural Resources, Environment the Arts and Sport (NT)&lt;/publisher&gt;&lt;isbn&gt;17/2009D&lt;/isbn&gt;&lt;urls&gt;&lt;related-urls&gt;&lt;url&gt;&lt;style face="underline" font="default" size="100%"&gt;http://www.territorystories.nt.gov.au/jspui/handle/10070/243633&lt;/style&gt;&lt;/url&gt;&lt;/related-urls&gt;&lt;/urls&gt;&lt;access-date&gt;28 November 2019&lt;/access-date&gt;&lt;/record&gt;&lt;/Cite&gt;&lt;/EndNote&gt;</w:instrText>
      </w:r>
      <w:r w:rsidR="00A541ED">
        <w:fldChar w:fldCharType="separate"/>
      </w:r>
      <w:r w:rsidR="005D0C32">
        <w:rPr>
          <w:noProof/>
        </w:rPr>
        <w:t>(Zaar, 2009a)</w:t>
      </w:r>
      <w:r w:rsidR="00A541ED">
        <w:fldChar w:fldCharType="end"/>
      </w:r>
      <w:r w:rsidR="002207F5" w:rsidRPr="007152C8">
        <w:t xml:space="preserve">. </w:t>
      </w:r>
    </w:p>
    <w:p w14:paraId="3CAB1F41" w14:textId="327887F7" w:rsidR="002207F5" w:rsidRDefault="68DCFC89" w:rsidP="002207F5">
      <w:pPr>
        <w:pStyle w:val="BodyText"/>
      </w:pPr>
      <w:r>
        <w:t>The petroleum well Marmbulligan 1, drilled 19km south-east of the Beauty Creek and Lagoon Creek springs, has at depth of 675 m a bottom hole temperature of 56</w:t>
      </w:r>
      <w:r w:rsidR="00BE2690">
        <w:t xml:space="preserve"> </w:t>
      </w:r>
      <w:r>
        <w:t>ºC (uncorrected for cooling effects of drilling). This suggests that hot springs with temperatures up to 60 ºC would require groundwater circulation down to at least 650 m (</w:t>
      </w:r>
      <w:r w:rsidR="002207F5">
        <w:fldChar w:fldCharType="begin"/>
      </w:r>
      <w:r w:rsidR="002207F5">
        <w:instrText xml:space="preserve"> REF _Ref267660 \h </w:instrText>
      </w:r>
      <w:r w:rsidR="002207F5">
        <w:fldChar w:fldCharType="separate"/>
      </w:r>
      <w:r w:rsidR="00B177F5">
        <w:t xml:space="preserve">Figure </w:t>
      </w:r>
      <w:r w:rsidR="00B177F5">
        <w:rPr>
          <w:noProof/>
        </w:rPr>
        <w:t>12</w:t>
      </w:r>
      <w:r w:rsidR="002207F5">
        <w:fldChar w:fldCharType="end"/>
      </w:r>
      <w:r>
        <w:t xml:space="preserve">), along with good permeability. Surface geology suggests there is likely to be a high degree of structural control on groundwater flow paths. As discussed in Section </w:t>
      </w:r>
      <w:r w:rsidR="002207F5">
        <w:fldChar w:fldCharType="begin"/>
      </w:r>
      <w:r w:rsidR="002207F5">
        <w:instrText xml:space="preserve"> REF _Ref279683 \r \h  \* MERGEFORMAT </w:instrText>
      </w:r>
      <w:r w:rsidR="002207F5">
        <w:fldChar w:fldCharType="separate"/>
      </w:r>
      <w:r w:rsidR="00B177F5">
        <w:t>3.2.1</w:t>
      </w:r>
      <w:r w:rsidR="002207F5">
        <w:fldChar w:fldCharType="end"/>
      </w:r>
      <w:r>
        <w:t xml:space="preserve">, the degree of connectivity between areas of Roper Group outcrop and Roper Group at depth in the Beetaloo Sub-basin is speculative. More hydrochemistry data and environmental tracers would be required to determine flow paths and to pinpoint source aquifer(s) for springs in these areas. </w:t>
      </w:r>
    </w:p>
    <w:p w14:paraId="0BDAD549" w14:textId="6402DB22" w:rsidR="002207F5" w:rsidRDefault="002207F5" w:rsidP="002207F5">
      <w:pPr>
        <w:pStyle w:val="BodyText"/>
      </w:pPr>
      <w:r>
        <w:t xml:space="preserve">Other springs found to </w:t>
      </w:r>
      <w:r w:rsidR="004E2599">
        <w:t xml:space="preserve">the </w:t>
      </w:r>
      <w:r>
        <w:t xml:space="preserve">north of </w:t>
      </w:r>
      <w:r w:rsidR="004E2599">
        <w:t xml:space="preserve">the </w:t>
      </w:r>
      <w:r>
        <w:t xml:space="preserve">eastern Beetaloo GBA region are predominantly associated with Proterozoic outcrop. Further detail on some of these springs can be found in </w:t>
      </w:r>
      <w:r w:rsidR="00A541ED">
        <w:fldChar w:fldCharType="begin"/>
      </w:r>
      <w:r w:rsidR="005D0C32">
        <w:instrText xml:space="preserve"> ADDIN EN.CITE &lt;EndNote&gt;&lt;Cite AuthorYear="1"&gt;&lt;Author&gt;Zaar&lt;/Author&gt;&lt;Year&gt;2009&lt;/Year&gt;&lt;RecNum&gt;698&lt;/RecNum&gt;&lt;DisplayText&gt;Zaar (2009a)&lt;/DisplayText&gt;&lt;record&gt;&lt;rec-number&gt;698&lt;/rec-number&gt;&lt;foreign-keys&gt;&lt;key app="EN" db-id="wdf9tzzdhw2saee559kv0vezt0wfsta0zedv" timestamp="1545264526"&gt;698&lt;/key&gt;&lt;key app="ENWeb" db-id=""&gt;0&lt;/key&gt;&lt;/foreign-keys&gt;&lt;ref-type name="Report"&gt;27&lt;/ref-type&gt;&lt;contributors&gt;&lt;authors&gt;&lt;author&gt;Zaar, Ursula&lt;/author&gt;&lt;/authors&gt;&lt;tertiary-authors&gt;&lt;author&gt;Department of Natural Resources, Environment the Arts and Sport (NT)&lt;/author&gt;&lt;/tertiary-authors&gt;&lt;/contributors&gt;&lt;titles&gt;&lt;title&gt;Gulf water study: water resources of the Limmen Bight and the Macarthur Rivers region&lt;/title&gt;&lt;secondary-title&gt;Gulf Water Study&lt;/secondary-title&gt;&lt;/titles&gt;&lt;pages&gt;200&lt;/pages&gt;&lt;number&gt;17/2009D&lt;/number&gt;&lt;dates&gt;&lt;year&gt;2009&lt;/year&gt;&lt;/dates&gt;&lt;pub-location&gt;Darwin&lt;/pub-location&gt;&lt;publisher&gt;Department of Natural Resources, Environment the Arts and Sport (NT)&lt;/publisher&gt;&lt;isbn&gt;17/2009D&lt;/isbn&gt;&lt;urls&gt;&lt;related-urls&gt;&lt;url&gt;&lt;style face="underline" font="default" size="100%"&gt;http://www.territorystories.nt.gov.au/jspui/handle/10070/243633&lt;/style&gt;&lt;/url&gt;&lt;/related-urls&gt;&lt;/urls&gt;&lt;access-date&gt;28 November 2019&lt;/access-date&gt;&lt;/record&gt;&lt;/Cite&gt;&lt;/EndNote&gt;</w:instrText>
      </w:r>
      <w:r w:rsidR="00A541ED">
        <w:fldChar w:fldCharType="separate"/>
      </w:r>
      <w:r w:rsidR="005D0C32">
        <w:rPr>
          <w:noProof/>
        </w:rPr>
        <w:t>Zaar (2009a)</w:t>
      </w:r>
      <w:r w:rsidR="00A541ED">
        <w:fldChar w:fldCharType="end"/>
      </w:r>
      <w:r w:rsidR="00B433C3">
        <w:t>.</w:t>
      </w:r>
    </w:p>
    <w:p w14:paraId="65350EBC" w14:textId="77777777" w:rsidR="002207F5" w:rsidRDefault="002207F5" w:rsidP="003E1F1E">
      <w:pPr>
        <w:pStyle w:val="Heading4"/>
      </w:pPr>
      <w:bookmarkStart w:id="822" w:name="_Ref5787163"/>
      <w:r>
        <w:t>Springs from Cambrian Limestone aquifers and river baseflow</w:t>
      </w:r>
      <w:bookmarkEnd w:id="822"/>
      <w:r>
        <w:t xml:space="preserve"> </w:t>
      </w:r>
    </w:p>
    <w:p w14:paraId="262881E0" w14:textId="4A33FCAA" w:rsidR="002207F5" w:rsidRPr="00884792" w:rsidRDefault="002207F5" w:rsidP="001F0A6B">
      <w:pPr>
        <w:pStyle w:val="BodyText"/>
      </w:pPr>
      <w:r>
        <w:t xml:space="preserve">Mataranka Thermal Pools are situated in the Roper River </w:t>
      </w:r>
      <w:r w:rsidR="002E1294">
        <w:t>c</w:t>
      </w:r>
      <w:r>
        <w:t>atchment in Elsey National Park, some 50</w:t>
      </w:r>
      <w:r w:rsidR="0017117F">
        <w:t xml:space="preserve"> </w:t>
      </w:r>
      <w:r>
        <w:t>km north of the Beetaloo GBA region (</w:t>
      </w:r>
      <w:r>
        <w:fldChar w:fldCharType="begin"/>
      </w:r>
      <w:r>
        <w:instrText xml:space="preserve"> REF _Ref451855 \h </w:instrText>
      </w:r>
      <w:r>
        <w:fldChar w:fldCharType="separate"/>
      </w:r>
      <w:r w:rsidR="00B177F5">
        <w:t xml:space="preserve">Figure </w:t>
      </w:r>
      <w:r w:rsidR="00B177F5">
        <w:rPr>
          <w:noProof/>
        </w:rPr>
        <w:t>39</w:t>
      </w:r>
      <w:r>
        <w:fldChar w:fldCharType="end"/>
      </w:r>
      <w:r>
        <w:t>). They include</w:t>
      </w:r>
      <w:r w:rsidRPr="00D77075">
        <w:t xml:space="preserve"> </w:t>
      </w:r>
      <w:r>
        <w:t xml:space="preserve">spring pools, significant tufa deposits, </w:t>
      </w:r>
      <w:r w:rsidR="005645F2">
        <w:t xml:space="preserve">and </w:t>
      </w:r>
      <w:r>
        <w:t xml:space="preserve">large wetlands, and </w:t>
      </w:r>
      <w:r w:rsidR="005645F2">
        <w:t xml:space="preserve">they </w:t>
      </w:r>
      <w:r>
        <w:t xml:space="preserve">provide baseflow to the Roper River. The Roper River is one of the few rivers in northern Australia that exhibits perennial flows. </w:t>
      </w:r>
      <w:r w:rsidRPr="00884792">
        <w:t xml:space="preserve">As outlined in Section </w:t>
      </w:r>
      <w:r w:rsidR="005645F2">
        <w:fldChar w:fldCharType="begin"/>
      </w:r>
      <w:r w:rsidR="005645F2">
        <w:instrText xml:space="preserve"> REF _Ref5787823 \r \h </w:instrText>
      </w:r>
      <w:r w:rsidR="005645F2">
        <w:fldChar w:fldCharType="separate"/>
      </w:r>
      <w:r w:rsidR="00B177F5">
        <w:t>3.3.3.2</w:t>
      </w:r>
      <w:r w:rsidR="005645F2">
        <w:fldChar w:fldCharType="end"/>
      </w:r>
      <w:r w:rsidRPr="00884792">
        <w:t>, a groundwater divide (</w:t>
      </w:r>
      <w:r w:rsidRPr="00884792">
        <w:fldChar w:fldCharType="begin"/>
      </w:r>
      <w:r w:rsidRPr="00884792">
        <w:instrText xml:space="preserve"> REF _Ref1137606 \h </w:instrText>
      </w:r>
      <w:r w:rsidRPr="00884792">
        <w:fldChar w:fldCharType="separate"/>
      </w:r>
      <w:r w:rsidR="00B177F5">
        <w:t xml:space="preserve">Figure </w:t>
      </w:r>
      <w:r w:rsidR="00B177F5">
        <w:rPr>
          <w:noProof/>
        </w:rPr>
        <w:t>16</w:t>
      </w:r>
      <w:r w:rsidRPr="00884792">
        <w:fldChar w:fldCharType="end"/>
      </w:r>
      <w:r w:rsidRPr="00884792">
        <w:t xml:space="preserve">), </w:t>
      </w:r>
      <w:r w:rsidR="005645F2">
        <w:t>separates</w:t>
      </w:r>
      <w:r w:rsidRPr="00884792">
        <w:t xml:space="preserve"> </w:t>
      </w:r>
      <w:r w:rsidR="005645F2" w:rsidRPr="00884792">
        <w:t xml:space="preserve">northerly </w:t>
      </w:r>
      <w:r w:rsidR="005645F2">
        <w:t xml:space="preserve">regional </w:t>
      </w:r>
      <w:r w:rsidR="005645F2" w:rsidRPr="00884792">
        <w:t>flow</w:t>
      </w:r>
      <w:r w:rsidR="005645F2">
        <w:t xml:space="preserve"> </w:t>
      </w:r>
      <w:r w:rsidR="005645F2" w:rsidRPr="00884792">
        <w:t xml:space="preserve">in the Tindall Limestone aquifer towards Katherine </w:t>
      </w:r>
      <w:r w:rsidR="005645F2">
        <w:t xml:space="preserve">from </w:t>
      </w:r>
      <w:r w:rsidRPr="00884792">
        <w:t xml:space="preserve">southerly directed regional flow towards Mataranka Thermal Pools and the Roper River. </w:t>
      </w:r>
      <w:r w:rsidR="005645F2">
        <w:t xml:space="preserve">Further south, </w:t>
      </w:r>
      <w:r w:rsidRPr="00884792">
        <w:t xml:space="preserve">groundwater from the Georgina Basin </w:t>
      </w:r>
      <w:r w:rsidR="005645F2">
        <w:t xml:space="preserve">flows northward </w:t>
      </w:r>
      <w:r w:rsidR="00C45992">
        <w:t xml:space="preserve">from the Beetaloo GBA region </w:t>
      </w:r>
      <w:r w:rsidRPr="00884792">
        <w:t xml:space="preserve">through the southern portions of the Daly Basin </w:t>
      </w:r>
      <w:r w:rsidR="005645F2">
        <w:t>to</w:t>
      </w:r>
      <w:r w:rsidR="005645F2" w:rsidRPr="00884792">
        <w:t xml:space="preserve"> discharg</w:t>
      </w:r>
      <w:r w:rsidR="005645F2">
        <w:t>e</w:t>
      </w:r>
      <w:r w:rsidR="005645F2" w:rsidRPr="00884792">
        <w:t xml:space="preserve"> </w:t>
      </w:r>
      <w:r w:rsidRPr="00884792">
        <w:t xml:space="preserve">at Mataranka Thermal Pools on the Roper River </w:t>
      </w:r>
      <w:r w:rsidR="00142E50">
        <w:fldChar w:fldCharType="begin"/>
      </w:r>
      <w:r w:rsidR="00F76E0D">
        <w:instrText xml:space="preserve"> ADDIN EN.CITE &lt;EndNote&gt;&lt;Cite&gt;&lt;Author&gt;Tickell&lt;/Author&gt;&lt;Year&gt;2017&lt;/Year&gt;&lt;RecNum&gt;695&lt;/RecNum&gt;&lt;DisplayText&gt;(Tickell and Bruwer, 2017)&lt;/DisplayText&gt;&lt;record&gt;&lt;rec-number&gt;695&lt;/rec-number&gt;&lt;foreign-keys&gt;&lt;key app="EN" db-id="wdf9tzzdhw2saee559kv0vezt0wfsta0zedv" timestamp="1545264525"&gt;695&lt;/key&gt;&lt;key app="ENWeb" db-id=""&gt;0&lt;/key&gt;&lt;/foreign-keys&gt;&lt;ref-type name="Report"&gt;27&lt;/ref-type&gt;&lt;contributors&gt;&lt;authors&gt;&lt;author&gt;Tickell, Stephen. J.&lt;/author&gt;&lt;author&gt;Bruwer, Quentin&lt;/author&gt;&lt;/authors&gt;&lt;tertiary-authors&gt;&lt;author&gt;Northern Territory Department of Environment and Natural Resources&lt;/author&gt;&lt;/tertiary-authors&gt;&lt;subsidiary-authors&gt;&lt;author&gt;Water Resources Division&lt;/author&gt;&lt;/subsidiary-authors&gt;&lt;/contributors&gt;&lt;titles&gt;&lt;title&gt;Georgina Basin Groundwater Assessment: Daly Waters to Tennant Creek&lt;/title&gt;&lt;/titles&gt;&lt;pages&gt;108&lt;/pages&gt;&lt;number&gt;Technical Report 17/2017&lt;/number&gt;&lt;dates&gt;&lt;year&gt;2017&lt;/year&gt;&lt;/dates&gt;&lt;publisher&gt;Northern Territory Department of Environment and Natural Resources&lt;/publisher&gt;&lt;isbn&gt;Technical Report 17/2017&lt;/isbn&gt;&lt;urls&gt;&lt;related-urls&gt;&lt;url&gt;&lt;style face="underline" font="default" size="100%"&gt;http://www.territorystories.nt.gov.au/jspui/handle/10070/304921&lt;/style&gt;&lt;/url&gt;&lt;/related-urls&gt;&lt;/urls&gt;&lt;access-date&gt;20 April 2020&lt;/access-date&gt;&lt;/record&gt;&lt;/Cite&gt;&lt;/EndNote&gt;</w:instrText>
      </w:r>
      <w:r w:rsidR="00142E50">
        <w:fldChar w:fldCharType="separate"/>
      </w:r>
      <w:r w:rsidR="00142E50">
        <w:rPr>
          <w:noProof/>
        </w:rPr>
        <w:t>(Tickell and Bruwer, 2017)</w:t>
      </w:r>
      <w:r w:rsidR="00142E50">
        <w:fldChar w:fldCharType="end"/>
      </w:r>
      <w:r w:rsidRPr="00884792">
        <w:t>.</w:t>
      </w:r>
    </w:p>
    <w:p w14:paraId="7B0B46F0" w14:textId="00C1469F" w:rsidR="002207F5" w:rsidRPr="00AC418C" w:rsidRDefault="00A76EC7" w:rsidP="00AC418C">
      <w:pPr>
        <w:pStyle w:val="BodyText"/>
      </w:pPr>
      <w:r w:rsidRPr="00AC418C">
        <w:t>D</w:t>
      </w:r>
      <w:r w:rsidR="002207F5" w:rsidRPr="00AC418C">
        <w:t xml:space="preserve">ownstream of Mataranka Thermal Pools </w:t>
      </w:r>
      <w:r w:rsidR="00C45992" w:rsidRPr="00AC418C">
        <w:t xml:space="preserve">at Roper River </w:t>
      </w:r>
      <w:r w:rsidR="002207F5" w:rsidRPr="00AC418C">
        <w:t xml:space="preserve">gauge station G9030176, </w:t>
      </w:r>
      <w:r w:rsidR="00A541ED" w:rsidRPr="00AC418C">
        <w:fldChar w:fldCharType="begin"/>
      </w:r>
      <w:r w:rsidR="00F76E0D">
        <w:instrText xml:space="preserve"> ADDIN EN.CITE &lt;EndNote&gt;&lt;Cite AuthorYear="1"&gt;&lt;Author&gt;Knapton&lt;/Author&gt;&lt;Year&gt;2006&lt;/Year&gt;&lt;RecNum&gt;685&lt;/RecNum&gt;&lt;DisplayText&gt;Knapton (2006)&lt;/DisplayText&gt;&lt;record&gt;&lt;rec-number&gt;685&lt;/rec-number&gt;&lt;foreign-keys&gt;&lt;key app="EN" db-id="wdf9tzzdhw2saee559kv0vezt0wfsta0zedv" timestamp="1545264472"&gt;685&lt;/key&gt;&lt;key app="ENWeb" db-id=""&gt;0&lt;/key&gt;&lt;/foreign-keys&gt;&lt;ref-type name="Report"&gt;27&lt;/ref-type&gt;&lt;contributors&gt;&lt;authors&gt;&lt;author&gt;Knapton, Anthony&lt;/author&gt;&lt;/authors&gt;&lt;/contributors&gt;&lt;titles&gt;&lt;title&gt;Regional Groundwater Modelling of the Cambrian Limestone Aquifer System of the Wiso Basin, Georgina Basin and Daly Basin&lt;/title&gt;&lt;/titles&gt;&lt;pages&gt;60&lt;/pages&gt;&lt;number&gt;Technical Report No. 29/2006A&lt;/number&gt;&lt;keywords&gt;&lt;keyword&gt;Cambrian Limestone Aquifer&lt;/keyword&gt;&lt;keyword&gt;Wiso Basin&lt;/keyword&gt;&lt;keyword&gt;Georgina Basin&lt;/keyword&gt;&lt;keyword&gt;Daly Basin&lt;/keyword&gt;&lt;keyword&gt;Beetaloo Sub-basin&lt;/keyword&gt;&lt;keyword&gt;regional flow&lt;/keyword&gt;&lt;keyword&gt;regional groundwater systems&lt;/keyword&gt;&lt;keyword&gt;inter-basin groundwater flow&lt;/keyword&gt;&lt;keyword&gt;groundwater model&lt;/keyword&gt;&lt;/keywords&gt;&lt;dates&gt;&lt;year&gt;2006&lt;/year&gt;&lt;/dates&gt;&lt;pub-location&gt;Alice Springs&lt;/pub-location&gt;&lt;publisher&gt;Department of Natural Resources, Environment and the Arts (Northern Territory)&lt;/publisher&gt;&lt;isbn&gt;29/2006A&lt;/isbn&gt;&lt;urls&gt;&lt;related-urls&gt;&lt;url&gt;&lt;style face="underline" font="default" size="100%"&gt;http://www.territorystories.nt.gov.au/jspui/bitstream/10070/228069/1/WRA06029.pdf&lt;/style&gt;&lt;/url&gt;&lt;/related-urls&gt;&lt;/urls&gt;&lt;access-date&gt;28 November 2019&lt;/access-date&gt;&lt;/record&gt;&lt;/Cite&gt;&lt;/EndNote&gt;</w:instrText>
      </w:r>
      <w:r w:rsidR="00A541ED" w:rsidRPr="00AC418C">
        <w:fldChar w:fldCharType="separate"/>
      </w:r>
      <w:r w:rsidR="00A541ED" w:rsidRPr="00AC418C">
        <w:rPr>
          <w:noProof/>
        </w:rPr>
        <w:t>Knapton (2006)</w:t>
      </w:r>
      <w:r w:rsidR="00A541ED" w:rsidRPr="00AC418C">
        <w:fldChar w:fldCharType="end"/>
      </w:r>
      <w:r w:rsidR="002207F5" w:rsidRPr="00AC418C">
        <w:t xml:space="preserve"> estimated the end of dry</w:t>
      </w:r>
      <w:r w:rsidR="00A00A2A" w:rsidRPr="00AC418C">
        <w:t>-</w:t>
      </w:r>
      <w:r w:rsidR="002207F5" w:rsidRPr="00AC418C">
        <w:t>season cumulative discharge from baseflow and spring discharge to be 3.1 m</w:t>
      </w:r>
      <w:r w:rsidR="002207F5" w:rsidRPr="00AC418C">
        <w:rPr>
          <w:rStyle w:val="Superscript"/>
        </w:rPr>
        <w:t>3</w:t>
      </w:r>
      <w:r w:rsidR="002207F5" w:rsidRPr="00AC418C">
        <w:t>/sec</w:t>
      </w:r>
      <w:r w:rsidR="002B371A">
        <w:t>ond</w:t>
      </w:r>
      <w:r w:rsidR="002207F5" w:rsidRPr="00AC418C">
        <w:t xml:space="preserve">, which equates to approximately 268 ML/day. </w:t>
      </w:r>
      <w:r w:rsidR="00A541ED" w:rsidRPr="00AC418C">
        <w:fldChar w:fldCharType="begin"/>
      </w:r>
      <w:r w:rsidR="008F30E0">
        <w:instrText xml:space="preserve"> ADDIN EN.CITE &lt;EndNote&gt;&lt;Cite AuthorYear="1"&gt;&lt;Author&gt;Fulton&lt;/Author&gt;&lt;Year&gt;2015&lt;/Year&gt;&lt;RecNum&gt;671&lt;/RecNum&gt;&lt;DisplayText&gt;Fulton and Knapton (2015b)&lt;/DisplayText&gt;&lt;record&gt;&lt;rec-number&gt;671&lt;/rec-number&gt;&lt;foreign-keys&gt;&lt;key app="EN" db-id="wdf9tzzdhw2saee559kv0vezt0wfsta0zedv" timestamp="1545264407"&gt;671&lt;/key&gt;&lt;key app="ENWeb" db-id=""&gt;0&lt;/key&gt;&lt;/foreign-keys&gt;&lt;ref-type name="Report"&gt;27&lt;/ref-type&gt;&lt;contributors&gt;&lt;authors&gt;&lt;author&gt;Fulton, S.&lt;/author&gt;&lt;author&gt;Knapton, A.&lt;/author&gt;&lt;/authors&gt;&lt;/contributors&gt;&lt;titles&gt;&lt;title&gt;Beetaloo Basin hydrogeological assessment. Cloud GMS&lt;/title&gt;&lt;/titles&gt;&lt;pages&gt;70&lt;/pages&gt;&lt;dates&gt;&lt;year&gt;2015&lt;/year&gt;&lt;pub-dates&gt;&lt;date&gt;February 2015&lt;/date&gt;&lt;/pub-dates&gt;&lt;/dates&gt;&lt;publisher&gt;Origin Energy Report 1 for Fracking Enquiry NT&lt;/publisher&gt;&lt;urls&gt;&lt;related-urls&gt;&lt;url&gt;https://frackinginquiry.nt.gov.au/?a=410609&lt;/url&gt;&lt;/related-urls&gt;&lt;/urls&gt;&lt;access-date&gt;28 November 2019&lt;/access-date&gt;&lt;/record&gt;&lt;/Cite&gt;&lt;/EndNote&gt;</w:instrText>
      </w:r>
      <w:r w:rsidR="00A541ED" w:rsidRPr="00AC418C">
        <w:fldChar w:fldCharType="separate"/>
      </w:r>
      <w:r w:rsidR="008F30E0">
        <w:rPr>
          <w:noProof/>
        </w:rPr>
        <w:t>Fulton and Knapton (2015b)</w:t>
      </w:r>
      <w:r w:rsidR="00A541ED" w:rsidRPr="00AC418C">
        <w:fldChar w:fldCharType="end"/>
      </w:r>
      <w:r w:rsidR="003C3121" w:rsidRPr="00AC418C">
        <w:t xml:space="preserve"> </w:t>
      </w:r>
      <w:r w:rsidR="002207F5" w:rsidRPr="00AC418C">
        <w:t xml:space="preserve">estimated </w:t>
      </w:r>
      <w:r w:rsidR="003C3121" w:rsidRPr="00AC418C">
        <w:t>end of dry</w:t>
      </w:r>
      <w:r w:rsidR="00A00A2A" w:rsidRPr="00AC418C">
        <w:t>-</w:t>
      </w:r>
      <w:r w:rsidR="003C3121" w:rsidRPr="00AC418C">
        <w:t xml:space="preserve">season </w:t>
      </w:r>
      <w:r w:rsidR="002207F5" w:rsidRPr="00AC418C">
        <w:t>cumulative discharge to be in the order of 3</w:t>
      </w:r>
      <w:r w:rsidR="002B371A">
        <w:rPr>
          <w:rFonts w:cs="Calibri"/>
        </w:rPr>
        <w:t xml:space="preserve"> to </w:t>
      </w:r>
      <w:r w:rsidR="002207F5" w:rsidRPr="00AC418C">
        <w:t>4 m</w:t>
      </w:r>
      <w:r w:rsidR="002207F5" w:rsidRPr="00AC418C">
        <w:rPr>
          <w:rStyle w:val="Superscript"/>
        </w:rPr>
        <w:t>3</w:t>
      </w:r>
      <w:r w:rsidR="002207F5" w:rsidRPr="00AC418C">
        <w:t>/sec</w:t>
      </w:r>
      <w:r w:rsidR="002B371A">
        <w:t>ond</w:t>
      </w:r>
      <w:r w:rsidR="002207F5" w:rsidRPr="00AC418C">
        <w:t xml:space="preserve"> (260</w:t>
      </w:r>
      <w:r w:rsidR="00AC418C">
        <w:rPr>
          <w:rFonts w:cs="Calibri"/>
        </w:rPr>
        <w:t>–</w:t>
      </w:r>
      <w:r w:rsidR="002207F5" w:rsidRPr="00AC418C">
        <w:t>345</w:t>
      </w:r>
      <w:r w:rsidR="002B371A">
        <w:t> </w:t>
      </w:r>
      <w:r w:rsidR="002207F5" w:rsidRPr="00AC418C">
        <w:t>ML/day).</w:t>
      </w:r>
      <w:r w:rsidR="00A47209" w:rsidRPr="00AC418C">
        <w:t xml:space="preserve"> </w:t>
      </w:r>
      <w:r w:rsidR="004D6411" w:rsidRPr="00AC418C">
        <w:fldChar w:fldCharType="begin"/>
      </w:r>
      <w:r w:rsidR="00F76E0D">
        <w:instrText xml:space="preserve"> ADDIN EN.CITE &lt;EndNote&gt;&lt;Cite AuthorYear="1"&gt;&lt;Author&gt;Tickell&lt;/Author&gt;&lt;Year&gt;2017&lt;/Year&gt;&lt;RecNum&gt;695&lt;/RecNum&gt;&lt;DisplayText&gt;Tickell and Bruwer (2017)&lt;/DisplayText&gt;&lt;record&gt;&lt;rec-number&gt;695&lt;/rec-number&gt;&lt;foreign-keys&gt;&lt;key app="EN" db-id="wdf9tzzdhw2saee559kv0vezt0wfsta0zedv" timestamp="1545264525"&gt;695&lt;/key&gt;&lt;key app="ENWeb" db-id=""&gt;0&lt;/key&gt;&lt;/foreign-keys&gt;&lt;ref-type name="Report"&gt;27&lt;/ref-type&gt;&lt;contributors&gt;&lt;authors&gt;&lt;author&gt;Tickell, Stephen. J.&lt;/author&gt;&lt;author&gt;Bruwer, Quentin&lt;/author&gt;&lt;/authors&gt;&lt;tertiary-authors&gt;&lt;author&gt;Northern Territory Department of Environment and Natural Resources&lt;/author&gt;&lt;/tertiary-authors&gt;&lt;subsidiary-authors&gt;&lt;author&gt;Water Resources Division&lt;/author&gt;&lt;/subsidiary-authors&gt;&lt;/contributors&gt;&lt;titles&gt;&lt;title&gt;Georgina Basin Groundwater Assessment: Daly Waters to Tennant Creek&lt;/title&gt;&lt;/titles&gt;&lt;pages&gt;108&lt;/pages&gt;&lt;number&gt;Technical Report 17/2017&lt;/number&gt;&lt;dates&gt;&lt;year&gt;2017&lt;/year&gt;&lt;/dates&gt;&lt;publisher&gt;Northern Territory Department of Environment and Natural Resources&lt;/publisher&gt;&lt;isbn&gt;Technical Report 17/2017&lt;/isbn&gt;&lt;urls&gt;&lt;related-urls&gt;&lt;url&gt;&lt;style face="underline" font="default" size="100%"&gt;http://www.territorystories.nt.gov.au/jspui/handle/10070/304921&lt;/style&gt;&lt;/url&gt;&lt;/related-urls&gt;&lt;/urls&gt;&lt;access-date&gt;20 April 2020&lt;/access-date&gt;&lt;/record&gt;&lt;/Cite&gt;&lt;/EndNote&gt;</w:instrText>
      </w:r>
      <w:r w:rsidR="004D6411" w:rsidRPr="00AC418C">
        <w:fldChar w:fldCharType="separate"/>
      </w:r>
      <w:r w:rsidR="00C71518" w:rsidRPr="00AC418C">
        <w:rPr>
          <w:noProof/>
        </w:rPr>
        <w:t>Tickell and Bruwer (2017)</w:t>
      </w:r>
      <w:r w:rsidR="004D6411" w:rsidRPr="00AC418C">
        <w:fldChar w:fldCharType="end"/>
      </w:r>
      <w:r w:rsidR="000153C6" w:rsidRPr="00AC418C">
        <w:t xml:space="preserve"> </w:t>
      </w:r>
      <w:r w:rsidR="003C3121" w:rsidRPr="00AC418C">
        <w:t>reported discharge estimates</w:t>
      </w:r>
      <w:r w:rsidR="002207F5" w:rsidRPr="00AC418C">
        <w:t xml:space="preserve"> from </w:t>
      </w:r>
      <w:r w:rsidR="003C3121" w:rsidRPr="00AC418C">
        <w:t xml:space="preserve">the </w:t>
      </w:r>
      <w:r w:rsidR="002207F5" w:rsidRPr="00AC418C">
        <w:t>southern Daly</w:t>
      </w:r>
      <w:r w:rsidR="003C3121" w:rsidRPr="00AC418C">
        <w:t xml:space="preserve"> and </w:t>
      </w:r>
      <w:r w:rsidR="002207F5" w:rsidRPr="00AC418C">
        <w:t>Georgina basins (</w:t>
      </w:r>
      <w:r w:rsidR="00C45992" w:rsidRPr="00AC418C">
        <w:t>i</w:t>
      </w:r>
      <w:r w:rsidR="002207F5" w:rsidRPr="00AC418C">
        <w:t>.e. the northward flow component) to be 0.95 m</w:t>
      </w:r>
      <w:r w:rsidR="002207F5" w:rsidRPr="00AC418C">
        <w:rPr>
          <w:rStyle w:val="Superscript"/>
        </w:rPr>
        <w:t>3</w:t>
      </w:r>
      <w:r w:rsidR="002207F5" w:rsidRPr="00AC418C">
        <w:t>/sec</w:t>
      </w:r>
      <w:r w:rsidR="002B371A">
        <w:t>ond</w:t>
      </w:r>
      <w:r w:rsidR="002207F5" w:rsidRPr="00AC418C">
        <w:t xml:space="preserve"> (82 ML/day). These estimates suggest that the southward and eastward flow components in the Tindall Limestone aquifer contribute around 186 ML/day, approximately </w:t>
      </w:r>
      <w:r w:rsidR="002207F5" w:rsidRPr="00AC418C" w:rsidDel="00BF672E">
        <w:t>two</w:t>
      </w:r>
      <w:r w:rsidR="00BF672E" w:rsidRPr="00AC418C">
        <w:t>-</w:t>
      </w:r>
      <w:r w:rsidR="002207F5" w:rsidRPr="00AC418C">
        <w:t xml:space="preserve">thirds of total </w:t>
      </w:r>
      <w:r w:rsidR="003C3121" w:rsidRPr="00AC418C">
        <w:t xml:space="preserve">spring </w:t>
      </w:r>
      <w:r w:rsidR="002207F5" w:rsidRPr="00AC418C">
        <w:t>discharge</w:t>
      </w:r>
      <w:r w:rsidR="003C3121" w:rsidRPr="00AC418C">
        <w:t>.</w:t>
      </w:r>
      <w:r w:rsidR="002207F5" w:rsidRPr="00AC418C">
        <w:t xml:space="preserve"> </w:t>
      </w:r>
    </w:p>
    <w:p w14:paraId="675CD2FD" w14:textId="08DE7E61" w:rsidR="002207F5" w:rsidRPr="00884792" w:rsidRDefault="002207F5" w:rsidP="006C1E02">
      <w:pPr>
        <w:pStyle w:val="BodyText"/>
      </w:pPr>
      <w:r w:rsidRPr="00884792">
        <w:t>From</w:t>
      </w:r>
      <w:r>
        <w:t xml:space="preserve"> </w:t>
      </w:r>
      <w:r w:rsidRPr="00884792">
        <w:t xml:space="preserve">major ion hydrochemistry, </w:t>
      </w:r>
      <w:r w:rsidR="00A541ED">
        <w:fldChar w:fldCharType="begin"/>
      </w:r>
      <w:r w:rsidR="00F76E0D">
        <w:instrText xml:space="preserve"> ADDIN EN.CITE &lt;EndNote&gt;&lt;Cite AuthorYear="1"&gt;&lt;Author&gt;Karp&lt;/Author&gt;&lt;Year&gt;2008&lt;/Year&gt;&lt;RecNum&gt;911&lt;/RecNum&gt;&lt;DisplayText&gt;Karp (2008)&lt;/DisplayText&gt;&lt;record&gt;&lt;rec-number&gt;911&lt;/rec-number&gt;&lt;foreign-keys&gt;&lt;key app="EN" db-id="wdf9tzzdhw2saee559kv0vezt0wfsta0zedv" timestamp="1555975788"&gt;911&lt;/key&gt;&lt;/foreign-keys&gt;&lt;ref-type name="Report"&gt;27&lt;/ref-type&gt;&lt;contributors&gt;&lt;authors&gt;&lt;author&gt;Karp, D.&lt;/author&gt;&lt;/authors&gt;&lt;/contributors&gt;&lt;titles&gt;&lt;title&gt;Surface and groundwater interaction the Mataranka area&lt;/title&gt;&lt;/titles&gt;&lt;pages&gt;69&lt;/pages&gt;&lt;number&gt;17/2008D&lt;/number&gt;&lt;dates&gt;&lt;year&gt;2008&lt;/year&gt;&lt;/dates&gt;&lt;publisher&gt;Department of Natural Resources, Environment, the Arts and Sport (NT)&lt;/publisher&gt;&lt;urls&gt;&lt;/urls&gt;&lt;/record&gt;&lt;/Cite&gt;&lt;/EndNote&gt;</w:instrText>
      </w:r>
      <w:r w:rsidR="00A541ED">
        <w:fldChar w:fldCharType="separate"/>
      </w:r>
      <w:r w:rsidR="00A541ED">
        <w:rPr>
          <w:noProof/>
        </w:rPr>
        <w:t>Karp (2008)</w:t>
      </w:r>
      <w:r w:rsidR="00A541ED">
        <w:fldChar w:fldCharType="end"/>
      </w:r>
      <w:r w:rsidR="009066EF">
        <w:t xml:space="preserve"> </w:t>
      </w:r>
      <w:r w:rsidRPr="00884792">
        <w:t xml:space="preserve">inferred that </w:t>
      </w:r>
      <w:r w:rsidR="00066EE9">
        <w:t>groundwater</w:t>
      </w:r>
      <w:r w:rsidRPr="00884792">
        <w:t xml:space="preserve"> </w:t>
      </w:r>
      <w:r w:rsidR="002A1C77">
        <w:t>discharging at</w:t>
      </w:r>
      <w:r w:rsidRPr="00884792">
        <w:t xml:space="preserve"> springs</w:t>
      </w:r>
      <w:r w:rsidR="00066EE9">
        <w:t xml:space="preserve"> in the Mataranka area</w:t>
      </w:r>
      <w:r w:rsidRPr="00884792">
        <w:t xml:space="preserve"> </w:t>
      </w:r>
      <w:r w:rsidR="00066EE9">
        <w:t>consisted of a mixture of waters</w:t>
      </w:r>
      <w:r w:rsidR="00066EE9" w:rsidRPr="00884792">
        <w:t xml:space="preserve"> </w:t>
      </w:r>
      <w:r w:rsidRPr="00884792">
        <w:t xml:space="preserve">from aquifers in </w:t>
      </w:r>
      <w:r w:rsidR="003C3121">
        <w:t xml:space="preserve">the </w:t>
      </w:r>
      <w:r w:rsidRPr="00884792">
        <w:t xml:space="preserve">Daly </w:t>
      </w:r>
      <w:r w:rsidR="00066EE9">
        <w:t>and</w:t>
      </w:r>
      <w:r w:rsidR="00066EE9" w:rsidRPr="00884792">
        <w:t xml:space="preserve"> </w:t>
      </w:r>
      <w:r w:rsidRPr="00884792">
        <w:t xml:space="preserve">Georgina </w:t>
      </w:r>
      <w:r w:rsidR="00DD6F9C">
        <w:t>b</w:t>
      </w:r>
      <w:r w:rsidR="00BF672E" w:rsidRPr="00884792">
        <w:t>asins</w:t>
      </w:r>
      <w:r w:rsidRPr="00884792">
        <w:t xml:space="preserve">. Some springs (e.g. Botanic Walk springs) were considered to predominantly </w:t>
      </w:r>
      <w:r w:rsidR="00066EE9">
        <w:t>include</w:t>
      </w:r>
      <w:r w:rsidR="00066EE9" w:rsidRPr="00884792">
        <w:t xml:space="preserve"> </w:t>
      </w:r>
      <w:r w:rsidRPr="00884792">
        <w:t xml:space="preserve">groundwater </w:t>
      </w:r>
      <w:r w:rsidR="00066EE9">
        <w:t>with an</w:t>
      </w:r>
      <w:r w:rsidR="003C3121">
        <w:t xml:space="preserve"> </w:t>
      </w:r>
      <w:r w:rsidRPr="00884792">
        <w:t xml:space="preserve">Anthony Lagoon Formation </w:t>
      </w:r>
      <w:r w:rsidR="00A80626">
        <w:t>(</w:t>
      </w:r>
      <w:r w:rsidRPr="00884792">
        <w:t>Georgina Basin</w:t>
      </w:r>
      <w:r w:rsidR="00A80626">
        <w:t>) signature</w:t>
      </w:r>
      <w:r w:rsidRPr="00884792">
        <w:t>, whereas others (</w:t>
      </w:r>
      <w:r w:rsidR="003C3121">
        <w:t xml:space="preserve">e.g. </w:t>
      </w:r>
      <w:r w:rsidRPr="00884792">
        <w:t xml:space="preserve">Springvale and </w:t>
      </w:r>
      <w:r w:rsidR="00357052">
        <w:t>Katherine</w:t>
      </w:r>
      <w:r w:rsidRPr="00884792">
        <w:t xml:space="preserve"> Hot springs) </w:t>
      </w:r>
      <w:r w:rsidR="00A80626">
        <w:t>showed evidence of a</w:t>
      </w:r>
      <w:r w:rsidRPr="00884792">
        <w:t xml:space="preserve"> Tindall Limestone aquifer </w:t>
      </w:r>
      <w:r w:rsidR="00A80626">
        <w:t>(</w:t>
      </w:r>
      <w:r w:rsidRPr="00884792">
        <w:t>Daly Basin</w:t>
      </w:r>
      <w:r w:rsidR="00A80626">
        <w:t>) signature</w:t>
      </w:r>
      <w:r w:rsidRPr="00884792">
        <w:t xml:space="preserve">. Bitter Springs and Rainbow Spring were </w:t>
      </w:r>
      <w:r w:rsidR="00A80626">
        <w:t>thought</w:t>
      </w:r>
      <w:r w:rsidR="00A80626" w:rsidRPr="00884792">
        <w:t xml:space="preserve"> </w:t>
      </w:r>
      <w:r w:rsidRPr="00884792">
        <w:t xml:space="preserve">to be situated in </w:t>
      </w:r>
      <w:r w:rsidR="00A80626">
        <w:t xml:space="preserve">a </w:t>
      </w:r>
      <w:r w:rsidRPr="00884792">
        <w:t xml:space="preserve">mixing zone for discharge from </w:t>
      </w:r>
      <w:r w:rsidR="004D416D">
        <w:t xml:space="preserve">the </w:t>
      </w:r>
      <w:r w:rsidRPr="00884792">
        <w:t>Georgina and Daly basins. Spring discharge temperatures range</w:t>
      </w:r>
      <w:r w:rsidR="00A80626">
        <w:t>d</w:t>
      </w:r>
      <w:r w:rsidRPr="00884792">
        <w:t xml:space="preserve"> from 25</w:t>
      </w:r>
      <w:r w:rsidR="002B371A">
        <w:t xml:space="preserve"> to </w:t>
      </w:r>
      <w:r w:rsidRPr="00884792">
        <w:t>33°C.</w:t>
      </w:r>
      <w:r w:rsidR="00491F51">
        <w:t xml:space="preserve"> Aside from major ion chemistry, other testing has</w:t>
      </w:r>
      <w:r w:rsidR="00A47209">
        <w:t xml:space="preserve"> </w:t>
      </w:r>
      <w:r w:rsidR="00491F51">
        <w:t xml:space="preserve">detected low </w:t>
      </w:r>
      <w:r w:rsidR="00491F51" w:rsidRPr="00922FF7">
        <w:t xml:space="preserve">levels of </w:t>
      </w:r>
      <w:r w:rsidR="00491F51">
        <w:t xml:space="preserve">pesticides at </w:t>
      </w:r>
      <w:r w:rsidR="00491F51" w:rsidRPr="00922FF7">
        <w:t>Mataranka Thermal Pools</w:t>
      </w:r>
      <w:r w:rsidR="00491F51">
        <w:t xml:space="preserve">, which </w:t>
      </w:r>
      <w:r w:rsidR="00491F51" w:rsidRPr="00922FF7">
        <w:t xml:space="preserve">are probably derived from groundwater discharge </w:t>
      </w:r>
      <w:r w:rsidR="00491F51" w:rsidRPr="00922FF7">
        <w:fldChar w:fldCharType="begin"/>
      </w:r>
      <w:r w:rsidR="00F76E0D">
        <w:instrText xml:space="preserve"> ADDIN EN.CITE &lt;EndNote&gt;&lt;Cite&gt;&lt;Author&gt;Schult&lt;/Author&gt;&lt;Year&gt;2016&lt;/Year&gt;&lt;RecNum&gt;1269&lt;/RecNum&gt;&lt;DisplayText&gt;(Schult, 2016)&lt;/DisplayText&gt;&lt;record&gt;&lt;rec-number&gt;1269&lt;/rec-number&gt;&lt;foreign-keys&gt;&lt;key app="EN" db-id="wdf9tzzdhw2saee559kv0vezt0wfsta0zedv" timestamp="1569210745"&gt;1269&lt;/key&gt;&lt;key app="ENWeb" db-id=""&gt;0&lt;/key&gt;&lt;/foreign-keys&gt;&lt;ref-type name="Report"&gt;27&lt;/ref-type&gt;&lt;contributors&gt;&lt;authors&gt;&lt;author&gt;Schult, J&lt;/author&gt;&lt;/authors&gt;&lt;subsidiary-authors&gt;&lt;author&gt;Aquatic Health Unit&lt;/author&gt;&lt;/subsidiary-authors&gt;&lt;/contributors&gt;&lt;titles&gt;&lt;title&gt;Pesticide and nutrient monitoring in the Roper River region during the 2015 dry season&lt;/title&gt;&lt;/titles&gt;&lt;pages&gt;19&lt;/pages&gt;&lt;number&gt;20/2016D&lt;/number&gt;&lt;keywords&gt;&lt;keyword&gt;Mataranka Springs&lt;/keyword&gt;&lt;/keywords&gt;&lt;dates&gt;&lt;year&gt;2016&lt;/year&gt;&lt;/dates&gt;&lt;pub-location&gt;Palmerston, NT&lt;/pub-location&gt;&lt;publisher&gt;Northern Territory Department of Environment and Natural Resources&lt;/publisher&gt;&lt;urls&gt;&lt;related-urls&gt;&lt;url&gt;https://denr.nt.gov.au/__data/assets/pdf_file/0011/384392/Schult_2016_pesticides_Roper.pdf&lt;/url&gt;&lt;/related-urls&gt;&lt;/urls&gt;&lt;access-date&gt;25 October 2019&lt;/access-date&gt;&lt;/record&gt;&lt;/Cite&gt;&lt;/EndNote&gt;</w:instrText>
      </w:r>
      <w:r w:rsidR="00491F51" w:rsidRPr="00922FF7">
        <w:fldChar w:fldCharType="separate"/>
      </w:r>
      <w:r w:rsidR="00491F51" w:rsidRPr="00922FF7">
        <w:rPr>
          <w:noProof/>
        </w:rPr>
        <w:t>(Schult, 2016)</w:t>
      </w:r>
      <w:r w:rsidR="00491F51" w:rsidRPr="00922FF7">
        <w:fldChar w:fldCharType="end"/>
      </w:r>
      <w:r w:rsidR="00491F51" w:rsidRPr="00922FF7">
        <w:t>.</w:t>
      </w:r>
    </w:p>
    <w:p w14:paraId="6F17292C" w14:textId="3B9EDAC0" w:rsidR="002207F5" w:rsidRPr="00884792" w:rsidRDefault="002207F5" w:rsidP="001F0A6B">
      <w:pPr>
        <w:pStyle w:val="BodyText"/>
      </w:pPr>
      <w:r w:rsidRPr="00884792">
        <w:t xml:space="preserve">The western Beetaloo </w:t>
      </w:r>
      <w:r w:rsidR="00993A12">
        <w:t>GBA region</w:t>
      </w:r>
      <w:r w:rsidRPr="00884792">
        <w:t xml:space="preserve"> is overlain by Cambrian Limestone aquifers </w:t>
      </w:r>
      <w:r w:rsidR="00993A12">
        <w:t>of</w:t>
      </w:r>
      <w:r w:rsidR="00993A12" w:rsidRPr="00884792">
        <w:t xml:space="preserve"> </w:t>
      </w:r>
      <w:r w:rsidRPr="00884792">
        <w:t xml:space="preserve">the Wiso and Daly basins. </w:t>
      </w:r>
      <w:r w:rsidR="00993A12">
        <w:t>Regional g</w:t>
      </w:r>
      <w:r w:rsidRPr="00884792">
        <w:t xml:space="preserve">roundwater flow </w:t>
      </w:r>
      <w:r w:rsidR="0041076A">
        <w:t>in the CLA</w:t>
      </w:r>
      <w:r w:rsidR="00993A12">
        <w:t>,</w:t>
      </w:r>
      <w:r w:rsidR="0041076A">
        <w:t xml:space="preserve"> </w:t>
      </w:r>
      <w:r w:rsidRPr="00884792">
        <w:t>out of the Beetaloo GBA region</w:t>
      </w:r>
      <w:r w:rsidR="002B371A">
        <w:t>,</w:t>
      </w:r>
      <w:r w:rsidRPr="00884792">
        <w:t xml:space="preserve"> </w:t>
      </w:r>
      <w:r w:rsidR="0041076A">
        <w:t>is north-westward in this area (</w:t>
      </w:r>
      <w:r w:rsidR="0041076A">
        <w:fldChar w:fldCharType="begin"/>
      </w:r>
      <w:r w:rsidR="0041076A">
        <w:instrText xml:space="preserve"> REF _Ref1137606 \h </w:instrText>
      </w:r>
      <w:r w:rsidR="0041076A">
        <w:fldChar w:fldCharType="separate"/>
      </w:r>
      <w:r w:rsidR="00B177F5">
        <w:t xml:space="preserve">Figure </w:t>
      </w:r>
      <w:r w:rsidR="00B177F5">
        <w:rPr>
          <w:noProof/>
        </w:rPr>
        <w:t>16</w:t>
      </w:r>
      <w:r w:rsidR="0041076A">
        <w:fldChar w:fldCharType="end"/>
      </w:r>
      <w:r w:rsidR="0041076A">
        <w:t xml:space="preserve">). </w:t>
      </w:r>
      <w:r w:rsidRPr="00884792">
        <w:t xml:space="preserve">The nearest potential discharge points are the Flora River Springs </w:t>
      </w:r>
      <w:r w:rsidR="00A541ED">
        <w:fldChar w:fldCharType="begin"/>
      </w:r>
      <w:r w:rsidR="00F76E0D">
        <w:instrText xml:space="preserve"> ADDIN EN.CITE &lt;EndNote&gt;&lt;Cite&gt;&lt;Author&gt;EcOz Environmental Consultants&lt;/Author&gt;&lt;Year&gt;2015&lt;/Year&gt;&lt;RecNum&gt;702&lt;/RecNum&gt;&lt;DisplayText&gt;(EcOz Environmental Consultants, 2015)&lt;/DisplayText&gt;&lt;record&gt;&lt;rec-number&gt;702&lt;/rec-number&gt;&lt;foreign-keys&gt;&lt;key app="EN" db-id="wdf9tzzdhw2saee559kv0vezt0wfsta0zedv" timestamp="1545264527"&gt;702&lt;/key&gt;&lt;/foreign-keys&gt;&lt;ref-type name="Report"&gt;27&lt;/ref-type&gt;&lt;contributors&gt;&lt;authors&gt;&lt;author&gt;EcOz Environmental Consultants,&lt;/author&gt;&lt;/authors&gt;&lt;secondary-authors&gt;&lt;author&gt;EcOz Environmental Consultants&lt;/author&gt;&lt;/secondary-authors&gt;&lt;/contributors&gt;&lt;titles&gt;&lt;title&gt;Surface and groundwater characterisation report – Sturt Plateau Region NT. Report prepared for Pangaea Resources for submission to the NT fracking inquiry&lt;/title&gt;&lt;/titles&gt;&lt;pages&gt;53&lt;/pages&gt;&lt;dates&gt;&lt;year&gt;2015&lt;/year&gt;&lt;pub-dates&gt;&lt;date&gt;2/10/2015&lt;/date&gt;&lt;/pub-dates&gt;&lt;/dates&gt;&lt;pub-location&gt;Darwin&lt;/pub-location&gt;&lt;urls&gt;&lt;related-urls&gt;&lt;url&gt;https://frackinginquiry.nt.gov.au/?a=424269&lt;/url&gt;&lt;/related-urls&gt;&lt;/urls&gt;&lt;access-date&gt;28 November 2019&lt;/access-date&gt;&lt;/record&gt;&lt;/Cite&gt;&lt;/EndNote&gt;</w:instrText>
      </w:r>
      <w:r w:rsidR="00A541ED">
        <w:fldChar w:fldCharType="separate"/>
      </w:r>
      <w:r w:rsidR="00A541ED">
        <w:rPr>
          <w:noProof/>
        </w:rPr>
        <w:t>(EcOz Environmental Consultants, 2015)</w:t>
      </w:r>
      <w:r w:rsidR="00A541ED">
        <w:fldChar w:fldCharType="end"/>
      </w:r>
      <w:r w:rsidR="007A2E95">
        <w:t xml:space="preserve">, which </w:t>
      </w:r>
      <w:r w:rsidRPr="00884792">
        <w:t xml:space="preserve">are located </w:t>
      </w:r>
      <w:r w:rsidR="007E1FF2">
        <w:t>approximately</w:t>
      </w:r>
      <w:r w:rsidR="007E1FF2" w:rsidRPr="00884792">
        <w:t xml:space="preserve"> 1</w:t>
      </w:r>
      <w:r w:rsidR="007E1FF2">
        <w:t xml:space="preserve">15 </w:t>
      </w:r>
      <w:r w:rsidR="007E1FF2" w:rsidRPr="00884792">
        <w:t xml:space="preserve">km </w:t>
      </w:r>
      <w:r w:rsidRPr="00884792">
        <w:t xml:space="preserve">north-west of the </w:t>
      </w:r>
      <w:r w:rsidR="007E1FF2">
        <w:t>Beetaloo GBA region</w:t>
      </w:r>
      <w:r w:rsidRPr="00884792">
        <w:t xml:space="preserve"> (</w:t>
      </w:r>
      <w:r w:rsidRPr="00884792">
        <w:fldChar w:fldCharType="begin"/>
      </w:r>
      <w:r w:rsidRPr="00884792">
        <w:instrText xml:space="preserve"> REF _Ref451855 \h </w:instrText>
      </w:r>
      <w:r w:rsidRPr="00884792">
        <w:fldChar w:fldCharType="separate"/>
      </w:r>
      <w:r w:rsidR="00B177F5">
        <w:t xml:space="preserve">Figure </w:t>
      </w:r>
      <w:r w:rsidR="00B177F5">
        <w:rPr>
          <w:noProof/>
        </w:rPr>
        <w:t>39</w:t>
      </w:r>
      <w:r w:rsidRPr="00884792">
        <w:fldChar w:fldCharType="end"/>
      </w:r>
      <w:r w:rsidRPr="00884792">
        <w:t>). Here, estimated discharge is</w:t>
      </w:r>
      <w:r w:rsidR="00893BEA">
        <w:t xml:space="preserve"> </w:t>
      </w:r>
      <w:r w:rsidRPr="00884792">
        <w:t>in the order of 2.3 m</w:t>
      </w:r>
      <w:r w:rsidRPr="00DA63C1">
        <w:rPr>
          <w:vertAlign w:val="superscript"/>
        </w:rPr>
        <w:t>3</w:t>
      </w:r>
      <w:r w:rsidRPr="00884792">
        <w:t>/sec</w:t>
      </w:r>
      <w:r w:rsidR="002B371A">
        <w:t>ond</w:t>
      </w:r>
      <w:r w:rsidRPr="00884792">
        <w:t xml:space="preserve"> (199</w:t>
      </w:r>
      <w:r w:rsidR="002B371A">
        <w:t> </w:t>
      </w:r>
      <w:r w:rsidRPr="00884792">
        <w:t xml:space="preserve">ML/day) at </w:t>
      </w:r>
      <w:r w:rsidR="00260C84">
        <w:t xml:space="preserve">the </w:t>
      </w:r>
      <w:r w:rsidRPr="00884792">
        <w:t xml:space="preserve">end of </w:t>
      </w:r>
      <w:r w:rsidR="00260C84">
        <w:t xml:space="preserve">the </w:t>
      </w:r>
      <w:r w:rsidRPr="00884792">
        <w:t xml:space="preserve">dry season </w:t>
      </w:r>
      <w:r w:rsidR="00A541ED">
        <w:fldChar w:fldCharType="begin"/>
      </w:r>
      <w:r w:rsidR="00F76E0D">
        <w:instrText xml:space="preserve"> ADDIN EN.CITE &lt;EndNote&gt;&lt;Cite&gt;&lt;Author&gt;Knapton&lt;/Author&gt;&lt;Year&gt;2006&lt;/Year&gt;&lt;RecNum&gt;685&lt;/RecNum&gt;&lt;DisplayText&gt;(Knapton, 2006)&lt;/DisplayText&gt;&lt;record&gt;&lt;rec-number&gt;685&lt;/rec-number&gt;&lt;foreign-keys&gt;&lt;key app="EN" db-id="wdf9tzzdhw2saee559kv0vezt0wfsta0zedv" timestamp="1545264472"&gt;685&lt;/key&gt;&lt;key app="ENWeb" db-id=""&gt;0&lt;/key&gt;&lt;/foreign-keys&gt;&lt;ref-type name="Report"&gt;27&lt;/ref-type&gt;&lt;contributors&gt;&lt;authors&gt;&lt;author&gt;Knapton, Anthony&lt;/author&gt;&lt;/authors&gt;&lt;/contributors&gt;&lt;titles&gt;&lt;title&gt;Regional Groundwater Modelling of the Cambrian Limestone Aquifer System of the Wiso Basin, Georgina Basin and Daly Basin&lt;/title&gt;&lt;/titles&gt;&lt;pages&gt;60&lt;/pages&gt;&lt;number&gt;Technical Report No. 29/2006A&lt;/number&gt;&lt;keywords&gt;&lt;keyword&gt;Cambrian Limestone Aquifer&lt;/keyword&gt;&lt;keyword&gt;Wiso Basin&lt;/keyword&gt;&lt;keyword&gt;Georgina Basin&lt;/keyword&gt;&lt;keyword&gt;Daly Basin&lt;/keyword&gt;&lt;keyword&gt;Beetaloo Sub-basin&lt;/keyword&gt;&lt;keyword&gt;regional flow&lt;/keyword&gt;&lt;keyword&gt;regional groundwater systems&lt;/keyword&gt;&lt;keyword&gt;inter-basin groundwater flow&lt;/keyword&gt;&lt;keyword&gt;groundwater model&lt;/keyword&gt;&lt;/keywords&gt;&lt;dates&gt;&lt;year&gt;2006&lt;/year&gt;&lt;/dates&gt;&lt;pub-location&gt;Alice Springs&lt;/pub-location&gt;&lt;publisher&gt;Department of Natural Resources, Environment and the Arts (Northern Territory)&lt;/publisher&gt;&lt;isbn&gt;29/2006A&lt;/isbn&gt;&lt;urls&gt;&lt;related-urls&gt;&lt;url&gt;&lt;style face="underline" font="default" size="100%"&gt;http://www.territorystories.nt.gov.au/jspui/bitstream/10070/228069/1/WRA06029.pdf&lt;/style&gt;&lt;/url&gt;&lt;/related-urls&gt;&lt;/urls&gt;&lt;access-date&gt;28 November 2019&lt;/access-date&gt;&lt;/record&gt;&lt;/Cite&gt;&lt;/EndNote&gt;</w:instrText>
      </w:r>
      <w:r w:rsidR="00A541ED">
        <w:fldChar w:fldCharType="separate"/>
      </w:r>
      <w:r w:rsidR="00A541ED">
        <w:rPr>
          <w:noProof/>
        </w:rPr>
        <w:t>(Knapton, 2006)</w:t>
      </w:r>
      <w:r w:rsidR="00A541ED">
        <w:fldChar w:fldCharType="end"/>
      </w:r>
      <w:r w:rsidRPr="00884792">
        <w:t>. The Flora River gains about 2</w:t>
      </w:r>
      <w:r w:rsidR="002B371A">
        <w:t xml:space="preserve"> to </w:t>
      </w:r>
      <w:r w:rsidRPr="00884792">
        <w:t>5</w:t>
      </w:r>
      <w:r w:rsidR="002B371A">
        <w:t> </w:t>
      </w:r>
      <w:r w:rsidRPr="00884792">
        <w:t>m</w:t>
      </w:r>
      <w:r w:rsidRPr="00DA63C1">
        <w:rPr>
          <w:vertAlign w:val="superscript"/>
        </w:rPr>
        <w:t>3</w:t>
      </w:r>
      <w:r w:rsidRPr="00884792">
        <w:t>/sec</w:t>
      </w:r>
      <w:r w:rsidR="002B371A">
        <w:t>ond</w:t>
      </w:r>
      <w:r w:rsidRPr="00884792">
        <w:t xml:space="preserve"> (172</w:t>
      </w:r>
      <w:r w:rsidR="002B371A">
        <w:t>–</w:t>
      </w:r>
      <w:r w:rsidRPr="00884792">
        <w:t xml:space="preserve">432 ML/day) where it crosses the Tindall Limestone </w:t>
      </w:r>
      <w:r w:rsidR="00A541ED">
        <w:fldChar w:fldCharType="begin"/>
      </w:r>
      <w:r w:rsidR="00F76E0D">
        <w:instrText xml:space="preserve"> ADDIN EN.CITE &lt;EndNote&gt;&lt;Cite&gt;&lt;Author&gt;Tickell&lt;/Author&gt;&lt;Year&gt;2005&lt;/Year&gt;&lt;RecNum&gt;733&lt;/RecNum&gt;&lt;DisplayText&gt;(Tickell, 2005)&lt;/DisplayText&gt;&lt;record&gt;&lt;rec-number&gt;733&lt;/rec-number&gt;&lt;foreign-keys&gt;&lt;key app="EN" db-id="wdf9tzzdhw2saee559kv0vezt0wfsta0zedv" timestamp="1550544784"&gt;733&lt;/key&gt;&lt;/foreign-keys&gt;&lt;ref-type name="Report"&gt;27&lt;/ref-type&gt;&lt;contributors&gt;&lt;authors&gt;&lt;author&gt;Tickell, Stephen. J.&lt;/author&gt;&lt;/authors&gt;&lt;secondary-authors&gt;&lt;author&gt;DEPARTMENT OF NATURAL RESOURCES THE ENVIRONMENT AND THE ARTS&lt;/author&gt;&lt;author&gt;NATURAL RESOURCES DIVISION&lt;/author&gt;&lt;/secondary-authors&gt;&lt;/contributors&gt;&lt;titles&gt;&lt;title&gt;Groundwater resources of the Tindall Limestone. Report 34/2005&lt;/title&gt;&lt;secondary-title&gt;REPORT 34/2005&lt;/secondary-title&gt;&lt;/titles&gt;&lt;dates&gt;&lt;year&gt;2005&lt;/year&gt;&lt;/dates&gt;&lt;publisher&gt;Department of Natural Resources, The Environment and The Arts Natural Resources Division&lt;/publisher&gt;&lt;urls&gt;&lt;/urls&gt;&lt;/record&gt;&lt;/Cite&gt;&lt;/EndNote&gt;</w:instrText>
      </w:r>
      <w:r w:rsidR="00A541ED">
        <w:fldChar w:fldCharType="separate"/>
      </w:r>
      <w:r w:rsidR="007E7B35">
        <w:rPr>
          <w:noProof/>
        </w:rPr>
        <w:t>(Tickell, 2005)</w:t>
      </w:r>
      <w:r w:rsidR="00A541ED">
        <w:fldChar w:fldCharType="end"/>
      </w:r>
      <w:r w:rsidRPr="00884792">
        <w:t xml:space="preserve">. </w:t>
      </w:r>
    </w:p>
    <w:p w14:paraId="66936116" w14:textId="2B4C9BEF" w:rsidR="002207F5" w:rsidRDefault="002207F5" w:rsidP="002207F5">
      <w:pPr>
        <w:pStyle w:val="BodyText"/>
      </w:pPr>
      <w:r>
        <w:t>A groundwater divide that coincides with the catchment divide</w:t>
      </w:r>
      <w:r w:rsidR="00993A12">
        <w:t>,</w:t>
      </w:r>
      <w:r>
        <w:t xml:space="preserve"> between the King and Katherine rivers</w:t>
      </w:r>
      <w:r w:rsidR="00B260CD">
        <w:t xml:space="preserve"> </w:t>
      </w:r>
      <w:r w:rsidR="00A541ED">
        <w:fldChar w:fldCharType="begin"/>
      </w:r>
      <w:r w:rsidR="00F76E0D">
        <w:instrText xml:space="preserve"> ADDIN EN.CITE &lt;EndNote&gt;&lt;Cite&gt;&lt;Author&gt;Tickell&lt;/Author&gt;&lt;Year&gt;2005&lt;/Year&gt;&lt;RecNum&gt;733&lt;/RecNum&gt;&lt;DisplayText&gt;(Tickell, 2005; Knapton, 2009)&lt;/DisplayText&gt;&lt;record&gt;&lt;rec-number&gt;733&lt;/rec-number&gt;&lt;foreign-keys&gt;&lt;key app="EN" db-id="wdf9tzzdhw2saee559kv0vezt0wfsta0zedv" timestamp="1550544784"&gt;733&lt;/key&gt;&lt;/foreign-keys&gt;&lt;ref-type name="Report"&gt;27&lt;/ref-type&gt;&lt;contributors&gt;&lt;authors&gt;&lt;author&gt;Tickell, Stephen. J.&lt;/author&gt;&lt;/authors&gt;&lt;secondary-authors&gt;&lt;author&gt;DEPARTMENT OF NATURAL RESOURCES THE ENVIRONMENT AND THE ARTS&lt;/author&gt;&lt;author&gt;NATURAL RESOURCES DIVISION&lt;/author&gt;&lt;/secondary-authors&gt;&lt;/contributors&gt;&lt;titles&gt;&lt;title&gt;Groundwater resources of the Tindall Limestone. Report 34/2005&lt;/title&gt;&lt;secondary-title&gt;REPORT 34/2005&lt;/secondary-title&gt;&lt;/titles&gt;&lt;dates&gt;&lt;year&gt;2005&lt;/year&gt;&lt;/dates&gt;&lt;publisher&gt;Department of Natural Resources, The Environment and The Arts Natural Resources Division&lt;/publisher&gt;&lt;urls&gt;&lt;/urls&gt;&lt;/record&gt;&lt;/Cite&gt;&lt;Cite&gt;&lt;Author&gt;Knapton&lt;/Author&gt;&lt;Year&gt;2009&lt;/Year&gt;&lt;RecNum&gt;912&lt;/RecNum&gt;&lt;record&gt;&lt;rec-number&gt;912&lt;/rec-number&gt;&lt;foreign-keys&gt;&lt;key app="EN" db-id="wdf9tzzdhw2saee559kv0vezt0wfsta0zedv" timestamp="1555975788"&gt;912&lt;/key&gt;&lt;/foreign-keys&gt;&lt;ref-type name="Report"&gt;27&lt;/ref-type&gt;&lt;contributors&gt;&lt;authors&gt;&lt;author&gt;Knapton, A&lt;/author&gt;&lt;/authors&gt;&lt;/contributors&gt;&lt;titles&gt;&lt;title&gt;Gulf water study. An integrated surface - groundwater model of the Roper River Catchment, Northern Territory. Part C - Feflow groundwater model&lt;/title&gt;&lt;/titles&gt;&lt;pages&gt;60&lt;/pages&gt;&lt;number&gt;Technical Report No. 32/2009D&lt;/number&gt;&lt;dates&gt;&lt;year&gt;2009&lt;/year&gt;&lt;/dates&gt;&lt;publisher&gt;Department of Natural Resources, Environment, the Arts and Sport (NT)&lt;/publisher&gt;&lt;urls&gt;&lt;related-urls&gt;&lt;url&gt;http://dev.territorystories.nt.gov.au/jspui/handle/10070/246988?mode=full&lt;/url&gt;&lt;/related-urls&gt;&lt;/urls&gt;&lt;access-date&gt;28 November 2019&lt;/access-date&gt;&lt;/record&gt;&lt;/Cite&gt;&lt;/EndNote&gt;</w:instrText>
      </w:r>
      <w:r w:rsidR="00A541ED">
        <w:fldChar w:fldCharType="separate"/>
      </w:r>
      <w:r w:rsidR="007E7B35">
        <w:rPr>
          <w:noProof/>
        </w:rPr>
        <w:t>(Tickell, 2005; Knapton, 2009)</w:t>
      </w:r>
      <w:r w:rsidR="00A541ED">
        <w:fldChar w:fldCharType="end"/>
      </w:r>
      <w:r w:rsidR="00B260CD">
        <w:t xml:space="preserve">, </w:t>
      </w:r>
      <w:r>
        <w:t xml:space="preserve">separates the Katherine springs groundwater flow system from flow to Mataranka Thermal Pools. For the Daly Basin, </w:t>
      </w:r>
      <w:r w:rsidR="00A541ED">
        <w:fldChar w:fldCharType="begin"/>
      </w:r>
      <w:r w:rsidR="00F76E0D">
        <w:instrText xml:space="preserve"> ADDIN EN.CITE &lt;EndNote&gt;&lt;Cite AuthorYear="1"&gt;&lt;Author&gt;Knapton&lt;/Author&gt;&lt;Year&gt;2006&lt;/Year&gt;&lt;RecNum&gt;685&lt;/RecNum&gt;&lt;DisplayText&gt;Knapton (2006)&lt;/DisplayText&gt;&lt;record&gt;&lt;rec-number&gt;685&lt;/rec-number&gt;&lt;foreign-keys&gt;&lt;key app="EN" db-id="wdf9tzzdhw2saee559kv0vezt0wfsta0zedv" timestamp="1545264472"&gt;685&lt;/key&gt;&lt;key app="ENWeb" db-id=""&gt;0&lt;/key&gt;&lt;/foreign-keys&gt;&lt;ref-type name="Report"&gt;27&lt;/ref-type&gt;&lt;contributors&gt;&lt;authors&gt;&lt;author&gt;Knapton, Anthony&lt;/author&gt;&lt;/authors&gt;&lt;/contributors&gt;&lt;titles&gt;&lt;title&gt;Regional Groundwater Modelling of the Cambrian Limestone Aquifer System of the Wiso Basin, Georgina Basin and Daly Basin&lt;/title&gt;&lt;/titles&gt;&lt;pages&gt;60&lt;/pages&gt;&lt;number&gt;Technical Report No. 29/2006A&lt;/number&gt;&lt;keywords&gt;&lt;keyword&gt;Cambrian Limestone Aquifer&lt;/keyword&gt;&lt;keyword&gt;Wiso Basin&lt;/keyword&gt;&lt;keyword&gt;Georgina Basin&lt;/keyword&gt;&lt;keyword&gt;Daly Basin&lt;/keyword&gt;&lt;keyword&gt;Beetaloo Sub-basin&lt;/keyword&gt;&lt;keyword&gt;regional flow&lt;/keyword&gt;&lt;keyword&gt;regional groundwater systems&lt;/keyword&gt;&lt;keyword&gt;inter-basin groundwater flow&lt;/keyword&gt;&lt;keyword&gt;groundwater model&lt;/keyword&gt;&lt;/keywords&gt;&lt;dates&gt;&lt;year&gt;2006&lt;/year&gt;&lt;/dates&gt;&lt;pub-location&gt;Alice Springs&lt;/pub-location&gt;&lt;publisher&gt;Department of Natural Resources, Environment and the Arts (Northern Territory)&lt;/publisher&gt;&lt;isbn&gt;29/2006A&lt;/isbn&gt;&lt;urls&gt;&lt;related-urls&gt;&lt;url&gt;&lt;style face="underline" font="default" size="100%"&gt;http://www.territorystories.nt.gov.au/jspui/bitstream/10070/228069/1/WRA06029.pdf&lt;/style&gt;&lt;/url&gt;&lt;/related-urls&gt;&lt;/urls&gt;&lt;access-date&gt;28 November 2019&lt;/access-date&gt;&lt;/record&gt;&lt;/Cite&gt;&lt;/EndNote&gt;</w:instrText>
      </w:r>
      <w:r w:rsidR="00A541ED">
        <w:fldChar w:fldCharType="separate"/>
      </w:r>
      <w:r w:rsidR="00A541ED">
        <w:rPr>
          <w:noProof/>
        </w:rPr>
        <w:t>Knapton (2006)</w:t>
      </w:r>
      <w:r w:rsidR="00A541ED">
        <w:fldChar w:fldCharType="end"/>
      </w:r>
      <w:r>
        <w:t xml:space="preserve"> estimates discharge (including spring discharge) around Katherine from the Tindall aquifer to be in the order of 1.33</w:t>
      </w:r>
      <w:r w:rsidR="002B371A">
        <w:t> </w:t>
      </w:r>
      <w:r>
        <w:t>m</w:t>
      </w:r>
      <w:r w:rsidRPr="00DA63C1">
        <w:rPr>
          <w:vertAlign w:val="superscript"/>
        </w:rPr>
        <w:t>3</w:t>
      </w:r>
      <w:r>
        <w:t>/sec</w:t>
      </w:r>
      <w:r w:rsidR="002B371A">
        <w:t>ond</w:t>
      </w:r>
      <w:r>
        <w:t xml:space="preserve"> (115 ML/day) at end of </w:t>
      </w:r>
      <w:r w:rsidR="00260C84">
        <w:t xml:space="preserve">the </w:t>
      </w:r>
      <w:r>
        <w:t xml:space="preserve">dry season. </w:t>
      </w:r>
    </w:p>
    <w:p w14:paraId="12A285C4" w14:textId="4516DA26" w:rsidR="007063FB" w:rsidRDefault="00694351" w:rsidP="007063FB">
      <w:pPr>
        <w:pStyle w:val="Figures"/>
      </w:pPr>
      <w:r>
        <w:rPr>
          <w:noProof/>
        </w:rPr>
        <w:drawing>
          <wp:inline distT="0" distB="0" distL="0" distR="0" wp14:anchorId="2DBFBBC0" wp14:editId="0F756479">
            <wp:extent cx="6134100" cy="6943725"/>
            <wp:effectExtent l="0" t="0" r="0" b="9525"/>
            <wp:docPr id="932846821" name="Picture 932846821" descr="T:\proj\ba2\Stage2\3_Beetaloo\MapsAndFigures\Figures\GBA-BEE-2-020_Beetaloo_Springs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proj\ba2\Stage2\3_Beetaloo\MapsAndFigures\Figures\GBA-BEE-2-020_Beetaloo_Springs_map.png"/>
                    <pic:cNvPicPr>
                      <a:picLocks noChangeAspect="1" noChangeArrowheads="1"/>
                    </pic:cNvPicPr>
                  </pic:nvPicPr>
                  <pic:blipFill rotWithShape="1">
                    <a:blip r:embed="rId100" cstate="screen">
                      <a:extLst>
                        <a:ext uri="{28A0092B-C50C-407E-A947-70E740481C1C}">
                          <a14:useLocalDpi xmlns:a14="http://schemas.microsoft.com/office/drawing/2010/main" val="0"/>
                        </a:ext>
                      </a:extLst>
                    </a:blip>
                    <a:srcRect b="14637"/>
                    <a:stretch/>
                  </pic:blipFill>
                  <pic:spPr bwMode="auto">
                    <a:xfrm>
                      <a:off x="0" y="0"/>
                      <a:ext cx="6134100" cy="6943725"/>
                    </a:xfrm>
                    <a:prstGeom prst="rect">
                      <a:avLst/>
                    </a:prstGeom>
                    <a:noFill/>
                    <a:ln>
                      <a:noFill/>
                    </a:ln>
                    <a:extLst>
                      <a:ext uri="{53640926-AAD7-44D8-BBD7-CCE9431645EC}">
                        <a14:shadowObscured xmlns:a14="http://schemas.microsoft.com/office/drawing/2010/main"/>
                      </a:ext>
                    </a:extLst>
                  </pic:spPr>
                </pic:pic>
              </a:graphicData>
            </a:graphic>
          </wp:inline>
        </w:drawing>
      </w:r>
    </w:p>
    <w:p w14:paraId="26F4D64E" w14:textId="0300F12A" w:rsidR="007063FB" w:rsidRPr="00F33BAB" w:rsidRDefault="007063FB" w:rsidP="007063FB">
      <w:pPr>
        <w:pStyle w:val="Caption"/>
      </w:pPr>
      <w:bookmarkStart w:id="823" w:name="_Ref451855"/>
      <w:bookmarkStart w:id="824" w:name="_Toc4072450"/>
      <w:bookmarkStart w:id="825" w:name="_Toc4670973"/>
      <w:bookmarkStart w:id="826" w:name="_Toc4754393"/>
      <w:bookmarkStart w:id="827" w:name="_Toc5020778"/>
      <w:bookmarkStart w:id="828" w:name="_Toc5021585"/>
      <w:bookmarkStart w:id="829" w:name="_Toc5097111"/>
      <w:bookmarkStart w:id="830" w:name="_Toc5108503"/>
      <w:bookmarkStart w:id="831" w:name="_Toc5284167"/>
      <w:bookmarkStart w:id="832" w:name="_Toc5635381"/>
      <w:bookmarkStart w:id="833" w:name="_Toc5808340"/>
      <w:bookmarkStart w:id="834" w:name="_Toc5895032"/>
      <w:bookmarkStart w:id="835" w:name="_Toc6308921"/>
      <w:bookmarkStart w:id="836" w:name="_Toc6327586"/>
      <w:bookmarkStart w:id="837" w:name="_Toc38990493"/>
      <w:r>
        <w:t xml:space="preserve">Figure </w:t>
      </w:r>
      <w:r>
        <w:rPr>
          <w:noProof/>
        </w:rPr>
        <w:fldChar w:fldCharType="begin"/>
      </w:r>
      <w:r>
        <w:rPr>
          <w:noProof/>
        </w:rPr>
        <w:instrText xml:space="preserve"> SEQ Figure \* ARABIC </w:instrText>
      </w:r>
      <w:r>
        <w:rPr>
          <w:noProof/>
        </w:rPr>
        <w:fldChar w:fldCharType="separate"/>
      </w:r>
      <w:r w:rsidR="00B177F5">
        <w:rPr>
          <w:noProof/>
        </w:rPr>
        <w:t>39</w:t>
      </w:r>
      <w:r>
        <w:rPr>
          <w:noProof/>
        </w:rPr>
        <w:fldChar w:fldCharType="end"/>
      </w:r>
      <w:bookmarkEnd w:id="823"/>
      <w:r>
        <w:rPr>
          <w:noProof/>
        </w:rPr>
        <w:t xml:space="preserve"> Location of </w:t>
      </w:r>
      <w:r>
        <w:t>spring</w:t>
      </w:r>
      <w:r w:rsidR="002B371A">
        <w:t>s</w:t>
      </w:r>
      <w:r>
        <w:t xml:space="preserve"> near the Beetaloo GBA region, colour coded by </w:t>
      </w:r>
      <w:r w:rsidR="00D9024F">
        <w:t xml:space="preserve">the </w:t>
      </w:r>
      <w:r>
        <w:t>temperature of groundwater</w:t>
      </w:r>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p>
    <w:p w14:paraId="364F3BF8" w14:textId="22727111" w:rsidR="007063FB" w:rsidRDefault="00260C84" w:rsidP="00D40B76">
      <w:pPr>
        <w:pStyle w:val="SourceornoteforTableorFigure"/>
      </w:pPr>
      <w:r w:rsidRPr="0082374E">
        <w:t xml:space="preserve">Data: </w:t>
      </w:r>
      <w:r w:rsidR="00E3644A">
        <w:t xml:space="preserve">Northern Territory springs database </w:t>
      </w:r>
      <w:r w:rsidR="006B710B">
        <w:fldChar w:fldCharType="begin"/>
      </w:r>
      <w:r w:rsidR="00F76E0D">
        <w:instrText xml:space="preserve"> ADDIN EN.CITE &lt;EndNote&gt;&lt;Cite&gt;&lt;Author&gt;Department of Environment and Natural Resources (NT)&lt;/Author&gt;&lt;Year&gt;2013&lt;/Year&gt;&lt;RecNum&gt;830&lt;/RecNum&gt;&lt;DisplayText&gt;(Department of Environment and Natural Resources (NT), 2013)&lt;/DisplayText&gt;&lt;record&gt;&lt;rec-number&gt;830&lt;/rec-number&gt;&lt;foreign-keys&gt;&lt;key app="EN" db-id="wdf9tzzdhw2saee559kv0vezt0wfsta0zedv" timestamp="1553215245"&gt;830&lt;/key&gt;&lt;/foreign-keys&gt;&lt;ref-type name="Dataset"&gt;59&lt;/ref-type&gt;&lt;contributors&gt;&lt;authors&gt;&lt;author&gt;Department of Environment and Natural Resources (NT),&lt;/author&gt;&lt;/authors&gt;&lt;secondary-authors&gt;&lt;author&gt;,&lt;/author&gt;&lt;/secondary-authors&gt;&lt;/contributors&gt;&lt;titles&gt;&lt;title&gt;Springs of the Northern Territory&lt;/title&gt;&lt;/titles&gt;&lt;keywords&gt;&lt;keyword&gt;WATER Hydrology Mapping, ECOLOGY biophysical, WATER Hydrology Mapping&lt;/keyword&gt;&lt;/keywords&gt;&lt;dates&gt;&lt;year&gt;2013&lt;/year&gt;&lt;/dates&gt;&lt;pub-location&gt;Canberra&lt;/pub-location&gt;&lt;label&gt;1D351848-02FB-4E90-9390-4E2F895B9F89&lt;/label&gt;&lt;urls&gt;&lt;related-urls&gt;&lt;url&gt;http://www.ntlis.nt.gov.au/metadata/export_data?type=html&amp;amp;metadata_id=E9D78F668FC02B33E040CD9B214403C3&lt;/url&gt;&lt;/related-urls&gt;&lt;/urls&gt;&lt;custom2&gt;unit of observation&lt;/custom2&gt;&lt;custom3&gt;spatial&lt;/custom3&gt;&lt;custom4&gt;dataset&lt;/custom4&gt;&lt;access-date&gt;20 March 2019&lt;/access-date&gt;&lt;/record&gt;&lt;/Cite&gt;&lt;/EndNote&gt;</w:instrText>
      </w:r>
      <w:r w:rsidR="006B710B">
        <w:fldChar w:fldCharType="separate"/>
      </w:r>
      <w:r w:rsidR="005064C6">
        <w:rPr>
          <w:noProof/>
        </w:rPr>
        <w:t>(Department of Environment and Natural Resources (NT), 2013)</w:t>
      </w:r>
      <w:r w:rsidR="006B710B">
        <w:fldChar w:fldCharType="end"/>
      </w:r>
      <w:r w:rsidR="00F87E9F">
        <w:br/>
      </w:r>
      <w:r>
        <w:t>Element: GBA-BEE-2-020</w:t>
      </w:r>
    </w:p>
    <w:p w14:paraId="3F007C9B" w14:textId="3138AE8A" w:rsidR="002207F5" w:rsidRDefault="002207F5" w:rsidP="003E1F1E">
      <w:pPr>
        <w:pStyle w:val="Heading4"/>
      </w:pPr>
      <w:bookmarkStart w:id="838" w:name="_Ref5700489"/>
      <w:r>
        <w:t>Groundwater</w:t>
      </w:r>
      <w:r w:rsidR="00C30378">
        <w:t>-</w:t>
      </w:r>
      <w:r>
        <w:t xml:space="preserve">dependent ecosystems and </w:t>
      </w:r>
      <w:r w:rsidR="006C43A7">
        <w:t xml:space="preserve">remote </w:t>
      </w:r>
      <w:r>
        <w:t>sensing water in the landscape</w:t>
      </w:r>
      <w:bookmarkEnd w:id="838"/>
      <w:r>
        <w:t xml:space="preserve"> </w:t>
      </w:r>
    </w:p>
    <w:p w14:paraId="10B92A91" w14:textId="34215A8A" w:rsidR="002207F5" w:rsidRDefault="00DA6B94" w:rsidP="002207F5">
      <w:pPr>
        <w:pStyle w:val="BodyText"/>
      </w:pPr>
      <w:bookmarkStart w:id="839" w:name="_Hlk37773294"/>
      <w:r>
        <w:t>Watercourses and w</w:t>
      </w:r>
      <w:r w:rsidR="002207F5">
        <w:t xml:space="preserve">etlands with </w:t>
      </w:r>
      <w:r w:rsidR="000D313B">
        <w:t>known or</w:t>
      </w:r>
      <w:r w:rsidR="002207F5">
        <w:t xml:space="preserve"> moderate to high probability of being groundwater</w:t>
      </w:r>
      <w:r w:rsidR="00C30378">
        <w:t>-</w:t>
      </w:r>
      <w:r w:rsidR="002207F5">
        <w:t>dependent ecosystems (</w:t>
      </w:r>
      <w:r w:rsidR="0089665E">
        <w:t>GDE</w:t>
      </w:r>
      <w:r w:rsidR="002207F5">
        <w:t xml:space="preserve">s) </w:t>
      </w:r>
      <w:bookmarkEnd w:id="839"/>
      <w:r w:rsidR="002B0D77">
        <w:t>listed in</w:t>
      </w:r>
      <w:r w:rsidR="002207F5">
        <w:t xml:space="preserve"> the GDE </w:t>
      </w:r>
      <w:r w:rsidR="00FE1198">
        <w:t xml:space="preserve">Atlas </w:t>
      </w:r>
      <w:r w:rsidR="00A541ED">
        <w:fldChar w:fldCharType="begin"/>
      </w:r>
      <w:r w:rsidR="00F76E0D">
        <w:instrText xml:space="preserve"> ADDIN EN.CITE &lt;EndNote&gt;&lt;Cite&gt;&lt;Author&gt;Bureau of Meteorology&lt;/Author&gt;&lt;Year&gt;2017&lt;/Year&gt;&lt;RecNum&gt;424&lt;/RecNum&gt;&lt;DisplayText&gt;(Bureau of Meteorology, 2017)&lt;/DisplayText&gt;&lt;record&gt;&lt;rec-number&gt;424&lt;/rec-number&gt;&lt;foreign-keys&gt;&lt;key app="EN" db-id="wdf9tzzdhw2saee559kv0vezt0wfsta0zedv" timestamp="1544416414"&gt;424&lt;/key&gt;&lt;/foreign-keys&gt;&lt;ref-type name="Dataset"&gt;59&lt;/ref-type&gt;&lt;contributors&gt;&lt;authors&gt;&lt;author&gt;Bureau of Meteorology,&lt;/author&gt;&lt;/authors&gt;&lt;secondary-authors&gt;&lt;author&gt;Geoscience Australia,&lt;/author&gt;&lt;/secondary-authors&gt;&lt;/contributors&gt;&lt;titles&gt;&lt;title&gt;Groundwater Dependent Ecosystems Atlas&lt;/title&gt;&lt;/titles&gt;&lt;keywords&gt;&lt;keyword&gt;Environmental resources protection and conservation&lt;/keyword&gt;&lt;/keywords&gt;&lt;dates&gt;&lt;year&gt;2017&lt;/year&gt;&lt;/dates&gt;&lt;pub-location&gt;Canberra&lt;/pub-location&gt;&lt;label&gt;25207635-859C-4170-BEE1-21A456DB9754&lt;/label&gt;&lt;urls&gt;&lt;related-urls&gt;&lt;url&gt;http://www.bom.gov.au/water/groundwater/gde/index.shtml&lt;/url&gt;&lt;/related-urls&gt;&lt;/urls&gt;&lt;custom2&gt;unit of observation&lt;/custom2&gt;&lt;custom3&gt;spatial&lt;/custom3&gt;&lt;custom4&gt;dataset&lt;/custom4&gt;&lt;access-date&gt;04 October 2018&lt;/access-date&gt;&lt;/record&gt;&lt;/Cite&gt;&lt;/EndNote&gt;</w:instrText>
      </w:r>
      <w:r w:rsidR="00A541ED">
        <w:fldChar w:fldCharType="separate"/>
      </w:r>
      <w:r w:rsidR="0086406A">
        <w:rPr>
          <w:noProof/>
        </w:rPr>
        <w:t>(Bureau of Meteorology, 2017)</w:t>
      </w:r>
      <w:r w:rsidR="00A541ED">
        <w:fldChar w:fldCharType="end"/>
      </w:r>
      <w:r w:rsidR="00336B90" w:rsidDel="00336B90">
        <w:t xml:space="preserve"> </w:t>
      </w:r>
      <w:r w:rsidR="002207F5">
        <w:t xml:space="preserve">are </w:t>
      </w:r>
      <w:r w:rsidR="000D313B">
        <w:t>shown</w:t>
      </w:r>
      <w:r w:rsidR="002207F5">
        <w:t xml:space="preserve"> in </w:t>
      </w:r>
      <w:r w:rsidR="007E5C8F">
        <w:fldChar w:fldCharType="begin"/>
      </w:r>
      <w:r w:rsidR="007E5C8F">
        <w:instrText xml:space="preserve"> REF _Ref5781880 \h </w:instrText>
      </w:r>
      <w:r w:rsidR="007E5C8F">
        <w:fldChar w:fldCharType="separate"/>
      </w:r>
      <w:r w:rsidR="00B177F5">
        <w:t xml:space="preserve">Figure </w:t>
      </w:r>
      <w:r w:rsidR="00B177F5">
        <w:rPr>
          <w:noProof/>
        </w:rPr>
        <w:t>40</w:t>
      </w:r>
      <w:r w:rsidR="007E5C8F">
        <w:fldChar w:fldCharType="end"/>
      </w:r>
      <w:r w:rsidR="002207F5">
        <w:t xml:space="preserve">. Most of these are confined to streamlines outside the Beetaloo GBA region. Mataranka Thermal Pools is identified as a terrestrial GDE area. Some terrestrial GDEs located to </w:t>
      </w:r>
      <w:r w:rsidR="00336B90">
        <w:t xml:space="preserve">the </w:t>
      </w:r>
      <w:r w:rsidR="002207F5">
        <w:t xml:space="preserve">south-east of Daly Waters are defined by </w:t>
      </w:r>
      <w:r w:rsidR="00BF672E">
        <w:t xml:space="preserve">the </w:t>
      </w:r>
      <w:r w:rsidR="002207F5">
        <w:t>occurrence of Melaleuca species and low woodlands in alluvial valleys</w:t>
      </w:r>
      <w:r w:rsidR="002207F5" w:rsidRPr="006D4E8E">
        <w:t>.</w:t>
      </w:r>
      <w:r>
        <w:t xml:space="preserve"> </w:t>
      </w:r>
      <w:r w:rsidR="00B433C3">
        <w:t>Aquatic GDEs are</w:t>
      </w:r>
      <w:r w:rsidR="007E5C8F">
        <w:t xml:space="preserve"> also</w:t>
      </w:r>
      <w:r w:rsidR="00B433C3">
        <w:t xml:space="preserve"> identified locally along various drainage features.</w:t>
      </w:r>
      <w:r>
        <w:t xml:space="preserve"> Given the depth to regional groundwater shown </w:t>
      </w:r>
      <w:r w:rsidR="00BF672E">
        <w:t xml:space="preserve">in </w:t>
      </w:r>
      <w:r>
        <w:fldChar w:fldCharType="begin"/>
      </w:r>
      <w:r>
        <w:instrText xml:space="preserve"> REF _Ref3985270 \h </w:instrText>
      </w:r>
      <w:r>
        <w:fldChar w:fldCharType="separate"/>
      </w:r>
      <w:r w:rsidR="00B177F5">
        <w:t xml:space="preserve">Figure </w:t>
      </w:r>
      <w:r w:rsidR="00B177F5">
        <w:rPr>
          <w:noProof/>
        </w:rPr>
        <w:t>18</w:t>
      </w:r>
      <w:r>
        <w:fldChar w:fldCharType="end"/>
      </w:r>
      <w:r>
        <w:t xml:space="preserve">, most of the potential GDEs shown in the GBA Beetaloo region must be related to shallow perched </w:t>
      </w:r>
      <w:r w:rsidR="007960A4">
        <w:t>ground</w:t>
      </w:r>
      <w:r>
        <w:t xml:space="preserve">water </w:t>
      </w:r>
      <w:r w:rsidR="00BF529F">
        <w:t>systems if they are groundwater related</w:t>
      </w:r>
      <w:r>
        <w:t>.</w:t>
      </w:r>
      <w:r w:rsidR="00336B90">
        <w:t xml:space="preserve"> </w:t>
      </w:r>
    </w:p>
    <w:p w14:paraId="7CCDC580" w14:textId="019D0FD2" w:rsidR="000E3957" w:rsidRDefault="00694351" w:rsidP="000E3957">
      <w:pPr>
        <w:pStyle w:val="Figures"/>
      </w:pPr>
      <w:r>
        <w:rPr>
          <w:noProof/>
        </w:rPr>
        <w:drawing>
          <wp:inline distT="0" distB="0" distL="0" distR="0" wp14:anchorId="4429CE3B" wp14:editId="259C3280">
            <wp:extent cx="6134100" cy="6524625"/>
            <wp:effectExtent l="0" t="0" r="0" b="9525"/>
            <wp:docPr id="932846822" name="Picture 932846822" descr="T:\proj\ba2\Stage2\3_Beetaloo\MapsAndFigures\Figures\GBA-BEE-2-019_Beetaloo_GDE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proj\ba2\Stage2\3_Beetaloo\MapsAndFigures\Figures\GBA-BEE-2-019_Beetaloo_GDE_map.png"/>
                    <pic:cNvPicPr>
                      <a:picLocks noChangeAspect="1" noChangeArrowheads="1"/>
                    </pic:cNvPicPr>
                  </pic:nvPicPr>
                  <pic:blipFill rotWithShape="1">
                    <a:blip r:embed="rId101" cstate="screen">
                      <a:extLst>
                        <a:ext uri="{28A0092B-C50C-407E-A947-70E740481C1C}">
                          <a14:useLocalDpi xmlns:a14="http://schemas.microsoft.com/office/drawing/2010/main" val="0"/>
                        </a:ext>
                      </a:extLst>
                    </a:blip>
                    <a:srcRect b="19790"/>
                    <a:stretch/>
                  </pic:blipFill>
                  <pic:spPr bwMode="auto">
                    <a:xfrm>
                      <a:off x="0" y="0"/>
                      <a:ext cx="6134100" cy="6524625"/>
                    </a:xfrm>
                    <a:prstGeom prst="rect">
                      <a:avLst/>
                    </a:prstGeom>
                    <a:noFill/>
                    <a:ln>
                      <a:noFill/>
                    </a:ln>
                    <a:extLst>
                      <a:ext uri="{53640926-AAD7-44D8-BBD7-CCE9431645EC}">
                        <a14:shadowObscured xmlns:a14="http://schemas.microsoft.com/office/drawing/2010/main"/>
                      </a:ext>
                    </a:extLst>
                  </pic:spPr>
                </pic:pic>
              </a:graphicData>
            </a:graphic>
          </wp:inline>
        </w:drawing>
      </w:r>
    </w:p>
    <w:p w14:paraId="7D1EAAF2" w14:textId="0D2BF685" w:rsidR="000E3957" w:rsidRPr="00F33BAB" w:rsidRDefault="000E3957" w:rsidP="000E3957">
      <w:pPr>
        <w:pStyle w:val="Caption"/>
      </w:pPr>
      <w:bookmarkStart w:id="840" w:name="_Ref5781880"/>
      <w:bookmarkStart w:id="841" w:name="_Toc5808342"/>
      <w:bookmarkStart w:id="842" w:name="_Toc5895034"/>
      <w:bookmarkStart w:id="843" w:name="_Toc6308923"/>
      <w:bookmarkStart w:id="844" w:name="_Toc6327587"/>
      <w:bookmarkStart w:id="845" w:name="_Toc38990494"/>
      <w:r>
        <w:t xml:space="preserve">Figure </w:t>
      </w:r>
      <w:r>
        <w:rPr>
          <w:noProof/>
        </w:rPr>
        <w:fldChar w:fldCharType="begin"/>
      </w:r>
      <w:r>
        <w:rPr>
          <w:noProof/>
        </w:rPr>
        <w:instrText xml:space="preserve"> SEQ Figure \* ARABIC </w:instrText>
      </w:r>
      <w:r>
        <w:rPr>
          <w:noProof/>
        </w:rPr>
        <w:fldChar w:fldCharType="separate"/>
      </w:r>
      <w:r w:rsidR="00B177F5">
        <w:rPr>
          <w:noProof/>
        </w:rPr>
        <w:t>40</w:t>
      </w:r>
      <w:r>
        <w:rPr>
          <w:noProof/>
        </w:rPr>
        <w:fldChar w:fldCharType="end"/>
      </w:r>
      <w:bookmarkEnd w:id="840"/>
      <w:r>
        <w:rPr>
          <w:noProof/>
        </w:rPr>
        <w:t xml:space="preserve"> Groundwater</w:t>
      </w:r>
      <w:r w:rsidR="00C30378">
        <w:rPr>
          <w:noProof/>
        </w:rPr>
        <w:t>-</w:t>
      </w:r>
      <w:r>
        <w:rPr>
          <w:noProof/>
        </w:rPr>
        <w:t>dependent ecosystems</w:t>
      </w:r>
      <w:bookmarkEnd w:id="841"/>
      <w:bookmarkEnd w:id="842"/>
      <w:bookmarkEnd w:id="843"/>
      <w:bookmarkEnd w:id="844"/>
      <w:bookmarkEnd w:id="845"/>
    </w:p>
    <w:p w14:paraId="4F3EEAE1" w14:textId="022C1A74" w:rsidR="000E3957" w:rsidRPr="00046483" w:rsidRDefault="000E3957" w:rsidP="000E3957">
      <w:pPr>
        <w:pStyle w:val="SourceornoteforTableorFigure"/>
        <w:contextualSpacing/>
      </w:pPr>
      <w:r w:rsidRPr="00A61A49">
        <w:t xml:space="preserve">Data: </w:t>
      </w:r>
      <w:r w:rsidR="00E3644A">
        <w:t xml:space="preserve">GDE Atlas </w:t>
      </w:r>
      <w:r w:rsidR="006B710B">
        <w:fldChar w:fldCharType="begin"/>
      </w:r>
      <w:r w:rsidR="00F76E0D">
        <w:instrText xml:space="preserve"> ADDIN EN.CITE &lt;EndNote&gt;&lt;Cite AuthorYear="1"&gt;&lt;Author&gt;Bureau of Meteorology&lt;/Author&gt;&lt;Year&gt;2017&lt;/Year&gt;&lt;RecNum&gt;424&lt;/RecNum&gt;&lt;DisplayText&gt;Bureau of Meteorology (2017)&lt;/DisplayText&gt;&lt;record&gt;&lt;rec-number&gt;424&lt;/rec-number&gt;&lt;foreign-keys&gt;&lt;key app="EN" db-id="wdf9tzzdhw2saee559kv0vezt0wfsta0zedv" timestamp="1544416414"&gt;424&lt;/key&gt;&lt;/foreign-keys&gt;&lt;ref-type name="Dataset"&gt;59&lt;/ref-type&gt;&lt;contributors&gt;&lt;authors&gt;&lt;author&gt;Bureau of Meteorology,&lt;/author&gt;&lt;/authors&gt;&lt;secondary-authors&gt;&lt;author&gt;Geoscience Australia,&lt;/author&gt;&lt;/secondary-authors&gt;&lt;/contributors&gt;&lt;titles&gt;&lt;title&gt;Groundwater Dependent Ecosystems Atlas&lt;/title&gt;&lt;/titles&gt;&lt;keywords&gt;&lt;keyword&gt;Environmental resources protection and conservation&lt;/keyword&gt;&lt;/keywords&gt;&lt;dates&gt;&lt;year&gt;2017&lt;/year&gt;&lt;/dates&gt;&lt;pub-location&gt;Canberra&lt;/pub-location&gt;&lt;label&gt;25207635-859C-4170-BEE1-21A456DB9754&lt;/label&gt;&lt;urls&gt;&lt;related-urls&gt;&lt;url&gt;http://www.bom.gov.au/water/groundwater/gde/index.shtml&lt;/url&gt;&lt;/related-urls&gt;&lt;/urls&gt;&lt;custom2&gt;unit of observation&lt;/custom2&gt;&lt;custom3&gt;spatial&lt;/custom3&gt;&lt;custom4&gt;dataset&lt;/custom4&gt;&lt;access-date&gt;04 October 2018&lt;/access-date&gt;&lt;/record&gt;&lt;/Cite&gt;&lt;/EndNote&gt;</w:instrText>
      </w:r>
      <w:r w:rsidR="006B710B">
        <w:fldChar w:fldCharType="separate"/>
      </w:r>
      <w:r w:rsidR="006B710B">
        <w:rPr>
          <w:noProof/>
        </w:rPr>
        <w:t>Bureau of Meteorology (2017)</w:t>
      </w:r>
      <w:r w:rsidR="006B710B">
        <w:fldChar w:fldCharType="end"/>
      </w:r>
    </w:p>
    <w:p w14:paraId="3BC58ABD" w14:textId="53C74663" w:rsidR="000E3957" w:rsidRPr="00B77B6D" w:rsidRDefault="000E3957" w:rsidP="000E3957">
      <w:pPr>
        <w:pStyle w:val="SourceornoteforTableorFigure"/>
        <w:contextualSpacing/>
      </w:pPr>
      <w:r w:rsidRPr="00B77B6D">
        <w:t>Element: GBA-</w:t>
      </w:r>
      <w:r>
        <w:t>BEE</w:t>
      </w:r>
      <w:r w:rsidRPr="00B77B6D">
        <w:t>-2-</w:t>
      </w:r>
      <w:r>
        <w:t>019</w:t>
      </w:r>
    </w:p>
    <w:p w14:paraId="710079E7" w14:textId="50E1FDC4" w:rsidR="00F76F63" w:rsidRDefault="00F76F63" w:rsidP="003E1F1E">
      <w:pPr>
        <w:pStyle w:val="Heading5"/>
      </w:pPr>
      <w:bookmarkStart w:id="846" w:name="_Ref5782024"/>
      <w:r>
        <w:t xml:space="preserve">Water </w:t>
      </w:r>
      <w:r w:rsidR="009F74CC">
        <w:t>O</w:t>
      </w:r>
      <w:r>
        <w:t xml:space="preserve">bservations from </w:t>
      </w:r>
      <w:r w:rsidR="009F74CC">
        <w:t>S</w:t>
      </w:r>
      <w:r>
        <w:t>pace</w:t>
      </w:r>
      <w:bookmarkEnd w:id="846"/>
    </w:p>
    <w:p w14:paraId="4E0879F9" w14:textId="7C86768D" w:rsidR="00BF529F" w:rsidRDefault="007509AB" w:rsidP="002207F5">
      <w:pPr>
        <w:pStyle w:val="BodyText"/>
      </w:pPr>
      <w:r>
        <w:t xml:space="preserve">The </w:t>
      </w:r>
      <w:r w:rsidR="005C6D5A">
        <w:t>Water Observations from Space (</w:t>
      </w:r>
      <w:r w:rsidR="002207F5">
        <w:t>WOfS</w:t>
      </w:r>
      <w:r w:rsidR="005C6D5A">
        <w:t>)</w:t>
      </w:r>
      <w:r w:rsidR="00F76F63">
        <w:t xml:space="preserve"> </w:t>
      </w:r>
      <w:r>
        <w:t xml:space="preserve">statistic on </w:t>
      </w:r>
      <w:r w:rsidR="0097466A">
        <w:fldChar w:fldCharType="begin"/>
      </w:r>
      <w:r w:rsidR="0097466A">
        <w:instrText xml:space="preserve"> REF _Ref8295496 \h </w:instrText>
      </w:r>
      <w:r w:rsidR="0097466A">
        <w:fldChar w:fldCharType="separate"/>
      </w:r>
      <w:r w:rsidR="00B177F5">
        <w:t xml:space="preserve">Figure </w:t>
      </w:r>
      <w:r w:rsidR="00B177F5">
        <w:rPr>
          <w:noProof/>
        </w:rPr>
        <w:t>41</w:t>
      </w:r>
      <w:r w:rsidR="0097466A">
        <w:fldChar w:fldCharType="end"/>
      </w:r>
      <w:r w:rsidR="0097466A">
        <w:t xml:space="preserve"> </w:t>
      </w:r>
      <w:r w:rsidR="00BF529F">
        <w:t>is based on the 25 m x 25 m pixel resolution Landsat archive from 1986</w:t>
      </w:r>
      <w:r w:rsidR="002B0D77">
        <w:t xml:space="preserve"> to </w:t>
      </w:r>
      <w:r w:rsidR="00BF529F">
        <w:t xml:space="preserve">2018. </w:t>
      </w:r>
      <w:r w:rsidR="0097466A">
        <w:t xml:space="preserve">The figure </w:t>
      </w:r>
      <w:r w:rsidR="0077221B">
        <w:t>shows</w:t>
      </w:r>
      <w:r>
        <w:t xml:space="preserve"> </w:t>
      </w:r>
      <w:r w:rsidR="002207F5">
        <w:t xml:space="preserve">the percentage of </w:t>
      </w:r>
      <w:r w:rsidR="00BF529F">
        <w:t>observations in which</w:t>
      </w:r>
      <w:r>
        <w:t xml:space="preserve"> surface water </w:t>
      </w:r>
      <w:r w:rsidR="00376301">
        <w:t>was</w:t>
      </w:r>
      <w:r>
        <w:t xml:space="preserve"> detected relative to the total number of clear surface observations</w:t>
      </w:r>
      <w:r w:rsidR="00953127">
        <w:t xml:space="preserve"> for each pixel</w:t>
      </w:r>
      <w:r w:rsidR="00BF529F">
        <w:t>.</w:t>
      </w:r>
      <w:r w:rsidR="002207F5" w:rsidDel="001500A4">
        <w:t xml:space="preserve"> </w:t>
      </w:r>
      <w:r w:rsidR="00F76F63">
        <w:t>A</w:t>
      </w:r>
      <w:r w:rsidR="006C43A7">
        <w:t>n</w:t>
      </w:r>
      <w:r w:rsidR="00F76F63">
        <w:t xml:space="preserve"> </w:t>
      </w:r>
      <w:r w:rsidR="006C43A7">
        <w:t>un</w:t>
      </w:r>
      <w:r w:rsidR="00F76F63">
        <w:t>filtered</w:t>
      </w:r>
      <w:r w:rsidR="00BF529F">
        <w:t xml:space="preserve"> WOfS</w:t>
      </w:r>
      <w:r w:rsidR="00F76F63">
        <w:t xml:space="preserve"> product </w:t>
      </w:r>
      <w:r w:rsidR="002C0160">
        <w:t>including</w:t>
      </w:r>
      <w:r w:rsidR="00F76F63">
        <w:t xml:space="preserve"> less certain </w:t>
      </w:r>
      <w:r w:rsidR="002C0160">
        <w:t>observations</w:t>
      </w:r>
      <w:r w:rsidR="00F76F63">
        <w:t xml:space="preserve"> is </w:t>
      </w:r>
      <w:r w:rsidR="007E5C8F">
        <w:t xml:space="preserve">available online at </w:t>
      </w:r>
      <w:hyperlink r:id="rId102" w:history="1">
        <w:r w:rsidR="007E5C8F" w:rsidRPr="003610E3">
          <w:rPr>
            <w:rStyle w:val="Hyperlink"/>
          </w:rPr>
          <w:t>https://nationalmap.gov.au</w:t>
        </w:r>
      </w:hyperlink>
      <w:r w:rsidR="007E5C8F">
        <w:t xml:space="preserve">, from which </w:t>
      </w:r>
      <w:r w:rsidR="00BF529F">
        <w:t>observations are deleted to generate</w:t>
      </w:r>
      <w:r w:rsidR="0097466A">
        <w:t xml:space="preserve"> </w:t>
      </w:r>
      <w:r w:rsidR="0044400F">
        <w:fldChar w:fldCharType="begin"/>
      </w:r>
      <w:r w:rsidR="0044400F">
        <w:instrText xml:space="preserve"> REF _Ref8295496 \h </w:instrText>
      </w:r>
      <w:r w:rsidR="0044400F">
        <w:fldChar w:fldCharType="separate"/>
      </w:r>
      <w:r w:rsidR="00B177F5">
        <w:t xml:space="preserve">Figure </w:t>
      </w:r>
      <w:r w:rsidR="00B177F5">
        <w:rPr>
          <w:noProof/>
        </w:rPr>
        <w:t>41</w:t>
      </w:r>
      <w:r w:rsidR="0044400F">
        <w:fldChar w:fldCharType="end"/>
      </w:r>
      <w:r w:rsidR="00EE3EEC">
        <w:t>,</w:t>
      </w:r>
      <w:r w:rsidR="00BF529F">
        <w:t xml:space="preserve"> based on </w:t>
      </w:r>
      <w:r w:rsidR="00376301">
        <w:t>characteristics</w:t>
      </w:r>
      <w:r w:rsidR="00BF529F">
        <w:t xml:space="preserve"> such as topography and shadow</w:t>
      </w:r>
      <w:r w:rsidR="0097466A">
        <w:t xml:space="preserve"> </w:t>
      </w:r>
      <w:r w:rsidR="00A541ED">
        <w:fldChar w:fldCharType="begin"/>
      </w:r>
      <w:r w:rsidR="00F76E0D">
        <w:instrText xml:space="preserve"> ADDIN EN.CITE &lt;EndNote&gt;&lt;Cite&gt;&lt;Author&gt;Mueller&lt;/Author&gt;&lt;Year&gt;2016&lt;/Year&gt;&lt;RecNum&gt;462&lt;/RecNum&gt;&lt;DisplayText&gt;(Mueller et al., 2016)&lt;/DisplayText&gt;&lt;record&gt;&lt;rec-number&gt;462&lt;/rec-number&gt;&lt;foreign-keys&gt;&lt;key app="EN" db-id="wdf9tzzdhw2saee559kv0vezt0wfsta0zedv" timestamp="1544416857"&gt;462&lt;/key&gt;&lt;key app="ENWeb" db-id=""&gt;0&lt;/key&gt;&lt;/foreign-keys&gt;&lt;ref-type name="Journal Article"&gt;17&lt;/ref-type&gt;&lt;contributors&gt;&lt;authors&gt;&lt;author&gt;Mueller, N.&lt;/author&gt;&lt;author&gt;Lewis, A.&lt;/author&gt;&lt;author&gt;Roberts, D.&lt;/author&gt;&lt;author&gt;Ring, S.&lt;/author&gt;&lt;author&gt;Melrose, R.&lt;/author&gt;&lt;author&gt;Sixsmith, J.&lt;/author&gt;&lt;author&gt;Lymburner, L.&lt;/author&gt;&lt;author&gt;McIntyre, A.&lt;/author&gt;&lt;author&gt;Tan, P.&lt;/author&gt;&lt;author&gt;Curnow, S.&lt;/author&gt;&lt;author&gt;Ip, A.&lt;/author&gt;&lt;/authors&gt;&lt;/contributors&gt;&lt;titles&gt;&lt;title&gt;Water observations from space: mapping surface water from 25 years of Landsat imagery across Australia&lt;/title&gt;&lt;secondary-title&gt;Remote Sensing of Environment&lt;/secondary-title&gt;&lt;/titles&gt;&lt;periodical&gt;&lt;full-title&gt;Remote Sensing of Environment&lt;/full-title&gt;&lt;/periodical&gt;&lt;pages&gt;341–352&lt;/pages&gt;&lt;volume&gt;174&lt;/volume&gt;&lt;keywords&gt;&lt;keyword&gt;Landsat&lt;/keyword&gt;&lt;keyword&gt;Surface water&lt;/keyword&gt;&lt;keyword&gt;Flood&lt;/keyword&gt;&lt;keyword&gt;Time series&lt;/keyword&gt;&lt;keyword&gt;Water resources&lt;/keyword&gt;&lt;keyword&gt;Water Observations from Space&lt;/keyword&gt;&lt;keyword&gt;Digital Earth Australia&lt;/keyword&gt;&lt;keyword&gt;earth observations from space&lt;/keyword&gt;&lt;keyword&gt;remote sensing&lt;/keyword&gt;&lt;/keywords&gt;&lt;dates&gt;&lt;year&gt;2016&lt;/year&gt;&lt;pub-dates&gt;&lt;date&gt;2016/03/01/&lt;/date&gt;&lt;/pub-dates&gt;&lt;/dates&gt;&lt;isbn&gt;0034-4257&lt;/isbn&gt;&lt;urls&gt;&lt;related-urls&gt;&lt;url&gt;&lt;style face="underline" font="default" size="100%"&gt;http://www.sciencedirect.com/science/article/pii/S0034425715301929&lt;/style&gt;&lt;/url&gt;&lt;/related-urls&gt;&lt;/urls&gt;&lt;electronic-resource-num&gt;10.1016/j.rse.2015.11.003&lt;/electronic-resource-num&gt;&lt;/record&gt;&lt;/Cite&gt;&lt;/EndNote&gt;</w:instrText>
      </w:r>
      <w:r w:rsidR="00A541ED">
        <w:fldChar w:fldCharType="separate"/>
      </w:r>
      <w:r w:rsidR="00A541ED">
        <w:rPr>
          <w:noProof/>
        </w:rPr>
        <w:t>(Mueller et al., 2016)</w:t>
      </w:r>
      <w:r w:rsidR="00A541ED">
        <w:fldChar w:fldCharType="end"/>
      </w:r>
      <w:r w:rsidR="006C43A7">
        <w:t>.</w:t>
      </w:r>
      <w:r w:rsidR="002C0160">
        <w:t xml:space="preserve"> </w:t>
      </w:r>
      <w:r w:rsidR="007E5C8F">
        <w:t>The unfiltered product appears very similar</w:t>
      </w:r>
      <w:r w:rsidR="00CC6D30">
        <w:t xml:space="preserve"> to</w:t>
      </w:r>
      <w:r w:rsidR="007E5C8F">
        <w:t xml:space="preserve"> </w:t>
      </w:r>
      <w:r w:rsidR="0097466A">
        <w:fldChar w:fldCharType="begin"/>
      </w:r>
      <w:r w:rsidR="0097466A">
        <w:instrText xml:space="preserve"> REF _Ref8295496 \h </w:instrText>
      </w:r>
      <w:r w:rsidR="0097466A">
        <w:fldChar w:fldCharType="separate"/>
      </w:r>
      <w:r w:rsidR="00B177F5">
        <w:t xml:space="preserve">Figure </w:t>
      </w:r>
      <w:r w:rsidR="00B177F5">
        <w:rPr>
          <w:noProof/>
        </w:rPr>
        <w:t>41</w:t>
      </w:r>
      <w:r w:rsidR="0097466A">
        <w:fldChar w:fldCharType="end"/>
      </w:r>
      <w:r w:rsidR="0097466A">
        <w:t xml:space="preserve"> </w:t>
      </w:r>
      <w:r w:rsidR="002C0160">
        <w:t xml:space="preserve">and </w:t>
      </w:r>
      <w:r w:rsidR="00BF529F">
        <w:t xml:space="preserve">is </w:t>
      </w:r>
      <w:r w:rsidR="009E7480">
        <w:t xml:space="preserve">not </w:t>
      </w:r>
      <w:r w:rsidR="00BF529F">
        <w:t xml:space="preserve">included </w:t>
      </w:r>
      <w:r w:rsidR="002C0160">
        <w:t>here.</w:t>
      </w:r>
      <w:r w:rsidR="006C43A7">
        <w:t xml:space="preserve"> </w:t>
      </w:r>
    </w:p>
    <w:p w14:paraId="66B23391" w14:textId="0C9727C1" w:rsidR="002A1C77" w:rsidRDefault="00694351" w:rsidP="002A1C77">
      <w:pPr>
        <w:pStyle w:val="Figures"/>
      </w:pPr>
      <w:r>
        <w:rPr>
          <w:noProof/>
        </w:rPr>
        <w:drawing>
          <wp:inline distT="0" distB="0" distL="0" distR="0" wp14:anchorId="113D1515" wp14:editId="5A1C3C69">
            <wp:extent cx="6115050" cy="6362702"/>
            <wp:effectExtent l="0" t="0" r="0" b="0"/>
            <wp:docPr id="1700955414" name="Picture 932846823" descr="T:\proj\ba2\Stage2\3_Beetaloo\MapsAndFigures\Figures\GBA-BEE-2-021_Beetaloo_WOFS_Summary_Filter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846823"/>
                    <pic:cNvPicPr/>
                  </pic:nvPicPr>
                  <pic:blipFill>
                    <a:blip r:embed="rId103">
                      <a:extLst>
                        <a:ext uri="{28A0092B-C50C-407E-A947-70E740481C1C}">
                          <a14:useLocalDpi xmlns:a14="http://schemas.microsoft.com/office/drawing/2010/main" val="0"/>
                        </a:ext>
                      </a:extLst>
                    </a:blip>
                    <a:stretch>
                      <a:fillRect/>
                    </a:stretch>
                  </pic:blipFill>
                  <pic:spPr>
                    <a:xfrm>
                      <a:off x="0" y="0"/>
                      <a:ext cx="6115050" cy="6362702"/>
                    </a:xfrm>
                    <a:prstGeom prst="rect">
                      <a:avLst/>
                    </a:prstGeom>
                  </pic:spPr>
                </pic:pic>
              </a:graphicData>
            </a:graphic>
          </wp:inline>
        </w:drawing>
      </w:r>
    </w:p>
    <w:p w14:paraId="5D7125C7" w14:textId="54C432A9" w:rsidR="002A1C77" w:rsidRDefault="002A1C77" w:rsidP="002A1C77">
      <w:pPr>
        <w:pStyle w:val="Caption"/>
        <w:rPr>
          <w:noProof/>
        </w:rPr>
      </w:pPr>
      <w:bookmarkStart w:id="847" w:name="_Ref8295496"/>
      <w:bookmarkStart w:id="848" w:name="_Toc5895035"/>
      <w:bookmarkStart w:id="849" w:name="_Toc6308924"/>
      <w:bookmarkStart w:id="850" w:name="_Toc6327588"/>
      <w:bookmarkStart w:id="851" w:name="_Toc38990495"/>
      <w:bookmarkStart w:id="852" w:name="_Toc5635384"/>
      <w:bookmarkStart w:id="853" w:name="_Toc5808343"/>
      <w:r>
        <w:t xml:space="preserve">Figure </w:t>
      </w:r>
      <w:r>
        <w:rPr>
          <w:noProof/>
        </w:rPr>
        <w:fldChar w:fldCharType="begin"/>
      </w:r>
      <w:r>
        <w:rPr>
          <w:noProof/>
        </w:rPr>
        <w:instrText xml:space="preserve"> SEQ Figure \* ARABIC </w:instrText>
      </w:r>
      <w:r>
        <w:rPr>
          <w:noProof/>
        </w:rPr>
        <w:fldChar w:fldCharType="separate"/>
      </w:r>
      <w:r w:rsidR="00B177F5">
        <w:rPr>
          <w:noProof/>
        </w:rPr>
        <w:t>41</w:t>
      </w:r>
      <w:r>
        <w:rPr>
          <w:noProof/>
        </w:rPr>
        <w:fldChar w:fldCharType="end"/>
      </w:r>
      <w:bookmarkEnd w:id="847"/>
      <w:r>
        <w:rPr>
          <w:noProof/>
        </w:rPr>
        <w:t xml:space="preserve"> Filtered Water Observations from Space (W</w:t>
      </w:r>
      <w:r w:rsidR="009F74CC">
        <w:rPr>
          <w:noProof/>
        </w:rPr>
        <w:t>Of</w:t>
      </w:r>
      <w:r>
        <w:rPr>
          <w:noProof/>
        </w:rPr>
        <w:t>s) for the Beetaloo GBA region</w:t>
      </w:r>
      <w:bookmarkEnd w:id="848"/>
      <w:bookmarkEnd w:id="849"/>
      <w:bookmarkEnd w:id="850"/>
      <w:bookmarkEnd w:id="851"/>
      <w:r>
        <w:rPr>
          <w:noProof/>
        </w:rPr>
        <w:t xml:space="preserve"> </w:t>
      </w:r>
      <w:bookmarkEnd w:id="852"/>
      <w:bookmarkEnd w:id="853"/>
    </w:p>
    <w:p w14:paraId="541E4689" w14:textId="1AD82E05" w:rsidR="002A1C77" w:rsidRPr="00B77B6D" w:rsidRDefault="002A1C77" w:rsidP="002A1C77">
      <w:pPr>
        <w:pStyle w:val="SourceornoteforTableorFigure"/>
      </w:pPr>
      <w:r w:rsidRPr="00A61A49">
        <w:t xml:space="preserve">Data: </w:t>
      </w:r>
      <w:r w:rsidR="00E3644A">
        <w:t xml:space="preserve">Water Observations from Space </w:t>
      </w:r>
      <w:r w:rsidR="00E3644A">
        <w:fldChar w:fldCharType="begin"/>
      </w:r>
      <w:r w:rsidR="00F76E0D">
        <w:instrText xml:space="preserve"> ADDIN EN.CITE &lt;EndNote&gt;&lt;Cite&gt;&lt;Author&gt;Geoscience Australia&lt;/Author&gt;&lt;Year&gt;2018&lt;/Year&gt;&lt;RecNum&gt;837&lt;/RecNum&gt;&lt;DisplayText&gt;(Geoscience Australia, 2018)&lt;/DisplayText&gt;&lt;record&gt;&lt;rec-number&gt;837&lt;/rec-number&gt;&lt;foreign-keys&gt;&lt;key app="EN" db-id="wdf9tzzdhw2saee559kv0vezt0wfsta0zedv" timestamp="1553215246"&gt;837&lt;/key&gt;&lt;/foreign-keys&gt;&lt;ref-type name="Dataset"&gt;59&lt;/ref-type&gt;&lt;contributors&gt;&lt;authors&gt;&lt;author&gt;Geoscience Australia,&lt;/author&gt;&lt;/authors&gt;&lt;secondary-authors&gt;&lt;author&gt;Geoscience Australia&lt;/author&gt;&lt;/secondary-authors&gt;&lt;/contributors&gt;&lt;titles&gt;&lt;title&gt;Water Observations from Space (WOfS) summary statistic classified as percentages&lt;/title&gt;&lt;/titles&gt;&lt;keywords&gt;&lt;keyword&gt;geophysical features and processes&lt;/keyword&gt;&lt;/keywords&gt;&lt;dates&gt;&lt;year&gt;2018&lt;/year&gt;&lt;/dates&gt;&lt;pub-location&gt;Canberra&lt;/pub-location&gt;&lt;label&gt;756F0C06-3794-46D0-ABC0-608F9578D45B&lt;/label&gt;&lt;urls&gt;&lt;related-urls&gt;&lt;url&gt;http://pid.geoscience.gov.au/dataset/ga/121054&lt;/url&gt;&lt;/related-urls&gt;&lt;/urls&gt;&lt;custom2&gt;unit of observation&lt;/custom2&gt;&lt;custom3&gt;spatial&lt;/custom3&gt;&lt;custom4&gt;dataset&lt;/custom4&gt;&lt;access-date&gt;18 December 2018&lt;/access-date&gt;&lt;/record&gt;&lt;/Cite&gt;&lt;/EndNote&gt;</w:instrText>
      </w:r>
      <w:r w:rsidR="00E3644A">
        <w:fldChar w:fldCharType="separate"/>
      </w:r>
      <w:r w:rsidR="00E3644A">
        <w:rPr>
          <w:noProof/>
        </w:rPr>
        <w:t>(Geoscience Australia, 2018)</w:t>
      </w:r>
      <w:r w:rsidR="00E3644A">
        <w:fldChar w:fldCharType="end"/>
      </w:r>
      <w:r w:rsidR="00E3644A">
        <w:br/>
      </w:r>
      <w:r w:rsidRPr="00B77B6D">
        <w:t>Element: GBA-</w:t>
      </w:r>
      <w:r>
        <w:t>BEE</w:t>
      </w:r>
      <w:r w:rsidRPr="00B77B6D">
        <w:t>-2-</w:t>
      </w:r>
      <w:r>
        <w:t>021</w:t>
      </w:r>
    </w:p>
    <w:p w14:paraId="3E805783" w14:textId="683603BC" w:rsidR="002207F5" w:rsidRDefault="002207F5" w:rsidP="002207F5">
      <w:pPr>
        <w:pStyle w:val="BodyText"/>
      </w:pPr>
      <w:r>
        <w:t xml:space="preserve">WOfS provides insight into the behaviour of surface water </w:t>
      </w:r>
      <w:r w:rsidR="00513ADA">
        <w:t xml:space="preserve">over </w:t>
      </w:r>
      <w:r>
        <w:t xml:space="preserve">time. Applications </w:t>
      </w:r>
      <w:r w:rsidR="00376301">
        <w:t>of WOfS</w:t>
      </w:r>
      <w:r>
        <w:t xml:space="preserve"> include </w:t>
      </w:r>
      <w:r w:rsidR="000D313B">
        <w:t>assessing</w:t>
      </w:r>
      <w:r>
        <w:t xml:space="preserve"> the degree of perenniality of watercourses, the nature of floods and floodplain extents, the size and nature of wetlands, land surface processes and groundwater recharge </w:t>
      </w:r>
      <w:r w:rsidR="00A541ED">
        <w:fldChar w:fldCharType="begin"/>
      </w:r>
      <w:r w:rsidR="00F76E0D">
        <w:instrText xml:space="preserve"> ADDIN EN.CITE &lt;EndNote&gt;&lt;Cite&gt;&lt;Author&gt;Mueller&lt;/Author&gt;&lt;Year&gt;2016&lt;/Year&gt;&lt;RecNum&gt;462&lt;/RecNum&gt;&lt;DisplayText&gt;(Mueller et al., 2016)&lt;/DisplayText&gt;&lt;record&gt;&lt;rec-number&gt;462&lt;/rec-number&gt;&lt;foreign-keys&gt;&lt;key app="EN" db-id="wdf9tzzdhw2saee559kv0vezt0wfsta0zedv" timestamp="1544416857"&gt;462&lt;/key&gt;&lt;key app="ENWeb" db-id=""&gt;0&lt;/key&gt;&lt;/foreign-keys&gt;&lt;ref-type name="Journal Article"&gt;17&lt;/ref-type&gt;&lt;contributors&gt;&lt;authors&gt;&lt;author&gt;Mueller, N.&lt;/author&gt;&lt;author&gt;Lewis, A.&lt;/author&gt;&lt;author&gt;Roberts, D.&lt;/author&gt;&lt;author&gt;Ring, S.&lt;/author&gt;&lt;author&gt;Melrose, R.&lt;/author&gt;&lt;author&gt;Sixsmith, J.&lt;/author&gt;&lt;author&gt;Lymburner, L.&lt;/author&gt;&lt;author&gt;McIntyre, A.&lt;/author&gt;&lt;author&gt;Tan, P.&lt;/author&gt;&lt;author&gt;Curnow, S.&lt;/author&gt;&lt;author&gt;Ip, A.&lt;/author&gt;&lt;/authors&gt;&lt;/contributors&gt;&lt;titles&gt;&lt;title&gt;Water observations from space: mapping surface water from 25 years of Landsat imagery across Australia&lt;/title&gt;&lt;secondary-title&gt;Remote Sensing of Environment&lt;/secondary-title&gt;&lt;/titles&gt;&lt;periodical&gt;&lt;full-title&gt;Remote Sensing of Environment&lt;/full-title&gt;&lt;/periodical&gt;&lt;pages&gt;341–352&lt;/pages&gt;&lt;volume&gt;174&lt;/volume&gt;&lt;keywords&gt;&lt;keyword&gt;Landsat&lt;/keyword&gt;&lt;keyword&gt;Surface water&lt;/keyword&gt;&lt;keyword&gt;Flood&lt;/keyword&gt;&lt;keyword&gt;Time series&lt;/keyword&gt;&lt;keyword&gt;Water resources&lt;/keyword&gt;&lt;keyword&gt;Water Observations from Space&lt;/keyword&gt;&lt;keyword&gt;Digital Earth Australia&lt;/keyword&gt;&lt;keyword&gt;earth observations from space&lt;/keyword&gt;&lt;keyword&gt;remote sensing&lt;/keyword&gt;&lt;/keywords&gt;&lt;dates&gt;&lt;year&gt;2016&lt;/year&gt;&lt;pub-dates&gt;&lt;date&gt;2016/03/01/&lt;/date&gt;&lt;/pub-dates&gt;&lt;/dates&gt;&lt;isbn&gt;0034-4257&lt;/isbn&gt;&lt;urls&gt;&lt;related-urls&gt;&lt;url&gt;&lt;style face="underline" font="default" size="100%"&gt;http://www.sciencedirect.com/science/article/pii/S0034425715301929&lt;/style&gt;&lt;/url&gt;&lt;/related-urls&gt;&lt;/urls&gt;&lt;electronic-resource-num&gt;10.1016/j.rse.2015.11.003&lt;/electronic-resource-num&gt;&lt;/record&gt;&lt;/Cite&gt;&lt;/EndNote&gt;</w:instrText>
      </w:r>
      <w:r w:rsidR="00A541ED">
        <w:fldChar w:fldCharType="separate"/>
      </w:r>
      <w:r w:rsidR="00A541ED">
        <w:rPr>
          <w:noProof/>
        </w:rPr>
        <w:t>(Mueller et al., 2016)</w:t>
      </w:r>
      <w:r w:rsidR="00A541ED">
        <w:fldChar w:fldCharType="end"/>
      </w:r>
      <w:r>
        <w:t>.</w:t>
      </w:r>
      <w:r w:rsidR="00065E06">
        <w:t xml:space="preserve"> </w:t>
      </w:r>
      <w:r w:rsidR="002510AC">
        <w:t>T</w:t>
      </w:r>
      <w:r w:rsidR="00065E06">
        <w:t xml:space="preserve">he </w:t>
      </w:r>
      <w:r w:rsidR="008E21F5">
        <w:t xml:space="preserve">25 m x 25 m </w:t>
      </w:r>
      <w:r w:rsidR="00065E06">
        <w:t>pixel resolution limits the size of surface water feature</w:t>
      </w:r>
      <w:r w:rsidR="00376301">
        <w:t>s</w:t>
      </w:r>
      <w:r w:rsidR="00065E06">
        <w:t xml:space="preserve"> that can be </w:t>
      </w:r>
      <w:r w:rsidR="006D382C">
        <w:t xml:space="preserve">confidently </w:t>
      </w:r>
      <w:r w:rsidR="00065E06">
        <w:t>detected using this technique</w:t>
      </w:r>
      <w:r w:rsidR="0077221B">
        <w:t xml:space="preserve">. The minimum area repeatedly detectable as surface water is typically 2 x 2 pixels and features smaller than a pixel may not </w:t>
      </w:r>
      <w:r w:rsidR="00376301">
        <w:t xml:space="preserve">always </w:t>
      </w:r>
      <w:r w:rsidR="0077221B">
        <w:t xml:space="preserve">be </w:t>
      </w:r>
      <w:r w:rsidR="006D382C">
        <w:t xml:space="preserve">reliably </w:t>
      </w:r>
      <w:r w:rsidR="0077221B">
        <w:t>observ</w:t>
      </w:r>
      <w:r w:rsidR="006D382C">
        <w:t>ed</w:t>
      </w:r>
      <w:r w:rsidR="00065E06">
        <w:t xml:space="preserve">. Further, Landsat observations </w:t>
      </w:r>
      <w:r w:rsidR="008E21F5">
        <w:t>are only available from 1986</w:t>
      </w:r>
      <w:r w:rsidR="006D382C">
        <w:t xml:space="preserve"> onwards</w:t>
      </w:r>
      <w:r w:rsidR="008E21F5">
        <w:t>,</w:t>
      </w:r>
      <w:r w:rsidR="00065E06">
        <w:t xml:space="preserve"> and images during flooding may be unclear due to cloud cover. Thus, </w:t>
      </w:r>
      <w:r w:rsidR="008E21F5">
        <w:t xml:space="preserve">surface </w:t>
      </w:r>
      <w:r w:rsidR="00065E06">
        <w:t xml:space="preserve">water may be present in the landscape at times and locations not identified by WOfS. </w:t>
      </w:r>
      <w:r w:rsidR="0077221B">
        <w:t>Despite these caveats</w:t>
      </w:r>
      <w:r w:rsidR="00065E06">
        <w:t xml:space="preserve">, the analysis </w:t>
      </w:r>
      <w:r w:rsidR="008E21F5">
        <w:t xml:space="preserve">does </w:t>
      </w:r>
      <w:r w:rsidR="00065E06">
        <w:t xml:space="preserve">provide </w:t>
      </w:r>
      <w:r w:rsidR="00742A12">
        <w:t>very</w:t>
      </w:r>
      <w:r w:rsidR="00065E06">
        <w:t xml:space="preserve"> useful information, particularly on where surface water persists during drier times.</w:t>
      </w:r>
    </w:p>
    <w:p w14:paraId="7B9EE2B0" w14:textId="2A795BF9" w:rsidR="000D313B" w:rsidRDefault="00FA0E75" w:rsidP="002207F5">
      <w:pPr>
        <w:pStyle w:val="BodyText"/>
      </w:pPr>
      <w:r>
        <w:fldChar w:fldCharType="begin"/>
      </w:r>
      <w:r>
        <w:instrText xml:space="preserve"> REF _Ref8295496 \h </w:instrText>
      </w:r>
      <w:r>
        <w:fldChar w:fldCharType="separate"/>
      </w:r>
      <w:r w:rsidR="00B177F5">
        <w:t xml:space="preserve">Figure </w:t>
      </w:r>
      <w:r w:rsidR="00B177F5">
        <w:rPr>
          <w:noProof/>
        </w:rPr>
        <w:t>41</w:t>
      </w:r>
      <w:r>
        <w:fldChar w:fldCharType="end"/>
      </w:r>
      <w:r>
        <w:t xml:space="preserve"> </w:t>
      </w:r>
      <w:r w:rsidR="00513ADA">
        <w:t>s</w:t>
      </w:r>
      <w:r w:rsidR="004422CA">
        <w:t>how</w:t>
      </w:r>
      <w:r w:rsidR="00513ADA">
        <w:t xml:space="preserve">s that </w:t>
      </w:r>
      <w:r w:rsidR="002510AC">
        <w:t xml:space="preserve">surface water was </w:t>
      </w:r>
      <w:r w:rsidR="004422CA">
        <w:t>identified</w:t>
      </w:r>
      <w:r w:rsidR="0077221B">
        <w:t xml:space="preserve"> </w:t>
      </w:r>
      <w:r w:rsidR="00C8692E">
        <w:t xml:space="preserve">by WOfS </w:t>
      </w:r>
      <w:r w:rsidR="00513ADA">
        <w:t>along creek lines</w:t>
      </w:r>
      <w:r w:rsidR="00871487">
        <w:t xml:space="preserve">, </w:t>
      </w:r>
      <w:r w:rsidR="00675664">
        <w:t xml:space="preserve">surface depressions (many probably karst-related), </w:t>
      </w:r>
      <w:r w:rsidR="00871487">
        <w:t>lakes</w:t>
      </w:r>
      <w:r w:rsidR="002510AC">
        <w:t>,</w:t>
      </w:r>
      <w:r w:rsidR="00513ADA">
        <w:t xml:space="preserve"> </w:t>
      </w:r>
      <w:r w:rsidR="00246400">
        <w:t xml:space="preserve">farm dams </w:t>
      </w:r>
      <w:r w:rsidR="00513ADA">
        <w:t xml:space="preserve">and near known GDEs. In the southern parts of the Beetaloo GBA region, </w:t>
      </w:r>
      <w:r w:rsidR="00871487">
        <w:t xml:space="preserve">surface water </w:t>
      </w:r>
      <w:r w:rsidR="002510AC">
        <w:t>was</w:t>
      </w:r>
      <w:r w:rsidR="00871487">
        <w:t xml:space="preserve"> </w:t>
      </w:r>
      <w:r w:rsidR="004422CA">
        <w:t>detected</w:t>
      </w:r>
      <w:r w:rsidR="00871487">
        <w:t xml:space="preserve"> </w:t>
      </w:r>
      <w:r w:rsidR="00513ADA">
        <w:t xml:space="preserve">in floodplains </w:t>
      </w:r>
      <w:r w:rsidR="00871487">
        <w:t>that</w:t>
      </w:r>
      <w:r w:rsidR="00513ADA">
        <w:t xml:space="preserve"> </w:t>
      </w:r>
      <w:r w:rsidR="007960A4">
        <w:t xml:space="preserve">appear to </w:t>
      </w:r>
      <w:r w:rsidR="004422CA">
        <w:t>form</w:t>
      </w:r>
      <w:r w:rsidR="00513ADA">
        <w:t xml:space="preserve"> part of a </w:t>
      </w:r>
      <w:r w:rsidR="007960A4">
        <w:t>closed</w:t>
      </w:r>
      <w:r w:rsidR="00513ADA">
        <w:t xml:space="preserve"> </w:t>
      </w:r>
      <w:r w:rsidR="004422CA">
        <w:t xml:space="preserve">surface water </w:t>
      </w:r>
      <w:r w:rsidR="00513ADA">
        <w:t xml:space="preserve">drainage system south of Daly </w:t>
      </w:r>
      <w:r w:rsidR="00DD6F9C">
        <w:t>W</w:t>
      </w:r>
      <w:r w:rsidR="00513ADA">
        <w:t xml:space="preserve">aters. </w:t>
      </w:r>
      <w:r w:rsidR="00246400">
        <w:t>Most of the floodplain</w:t>
      </w:r>
      <w:r w:rsidR="000D313B">
        <w:t xml:space="preserve"> areas</w:t>
      </w:r>
      <w:r w:rsidR="00246400">
        <w:t xml:space="preserve"> are wet in &lt;10% of observations</w:t>
      </w:r>
      <w:r w:rsidR="00675664">
        <w:t xml:space="preserve">, </w:t>
      </w:r>
      <w:r w:rsidR="000D313B">
        <w:t>but</w:t>
      </w:r>
      <w:r w:rsidR="00675664">
        <w:t xml:space="preserve"> locally surface water has been observed to be present &gt;50% of the time</w:t>
      </w:r>
      <w:r w:rsidR="004422CA">
        <w:t xml:space="preserve"> (e.g. in depressions along the eastern margin of the northern</w:t>
      </w:r>
      <w:r w:rsidR="00C30378">
        <w:t>most</w:t>
      </w:r>
      <w:r w:rsidR="004422CA">
        <w:t xml:space="preserve"> floodplain)</w:t>
      </w:r>
      <w:r w:rsidR="00675664">
        <w:t>.</w:t>
      </w:r>
      <w:r w:rsidR="00246400">
        <w:t xml:space="preserve"> </w:t>
      </w:r>
      <w:r w:rsidR="00513ADA">
        <w:t>The</w:t>
      </w:r>
      <w:r w:rsidR="00C8692E">
        <w:t xml:space="preserve"> floodplain system</w:t>
      </w:r>
      <w:r w:rsidR="00513ADA">
        <w:t xml:space="preserve"> </w:t>
      </w:r>
      <w:r w:rsidR="00871487">
        <w:t>appear</w:t>
      </w:r>
      <w:r w:rsidR="00C8692E">
        <w:t>s</w:t>
      </w:r>
      <w:r w:rsidR="00513ADA">
        <w:t xml:space="preserve"> to </w:t>
      </w:r>
      <w:r w:rsidR="00871487">
        <w:t>drain southwards in part to meet Newcastle Creek</w:t>
      </w:r>
      <w:r w:rsidR="00246400">
        <w:t xml:space="preserve">. South from the confluence, </w:t>
      </w:r>
      <w:r w:rsidR="000D313B">
        <w:t>Newcastle Creek</w:t>
      </w:r>
      <w:r w:rsidR="00246400">
        <w:t xml:space="preserve"> is known as Newcastle Waters</w:t>
      </w:r>
      <w:r w:rsidR="00484F1A">
        <w:t xml:space="preserve"> Creek</w:t>
      </w:r>
      <w:r w:rsidR="00742A12">
        <w:t>. Newcastle Waters</w:t>
      </w:r>
      <w:r w:rsidR="00246400">
        <w:t xml:space="preserve"> </w:t>
      </w:r>
      <w:r w:rsidR="00484F1A">
        <w:t>Creek</w:t>
      </w:r>
      <w:r w:rsidR="00246400">
        <w:t xml:space="preserve"> t</w:t>
      </w:r>
      <w:r w:rsidR="00871487">
        <w:t>erminate</w:t>
      </w:r>
      <w:r w:rsidR="00246400">
        <w:t>s</w:t>
      </w:r>
      <w:r w:rsidR="00871487">
        <w:t xml:space="preserve"> </w:t>
      </w:r>
      <w:r w:rsidR="00742A12">
        <w:t>in</w:t>
      </w:r>
      <w:r w:rsidR="00871487">
        <w:t xml:space="preserve"> Lake Woods. </w:t>
      </w:r>
    </w:p>
    <w:p w14:paraId="2CC0B14F" w14:textId="1094CCE8" w:rsidR="00513ADA" w:rsidRDefault="007960A4" w:rsidP="002207F5">
      <w:pPr>
        <w:pStyle w:val="BodyText"/>
      </w:pPr>
      <w:r>
        <w:t>Water was observed across</w:t>
      </w:r>
      <w:r w:rsidR="00C8692E">
        <w:t xml:space="preserve"> much of Lake Woods &lt;15% of the time, but local values exceed 40% near the </w:t>
      </w:r>
      <w:r>
        <w:t>l</w:t>
      </w:r>
      <w:r w:rsidR="00C8692E">
        <w:t>ake margins.</w:t>
      </w:r>
      <w:r>
        <w:t xml:space="preserve"> Newcastle Waters</w:t>
      </w:r>
      <w:r w:rsidR="00953127">
        <w:t xml:space="preserve"> Creek</w:t>
      </w:r>
      <w:r>
        <w:t xml:space="preserve"> contains water in &gt;80% of observations for over 10</w:t>
      </w:r>
      <w:r w:rsidR="00953127">
        <w:t> </w:t>
      </w:r>
      <w:r>
        <w:t xml:space="preserve">km upstream </w:t>
      </w:r>
      <w:r w:rsidR="00742A12">
        <w:t xml:space="preserve">from its discharge to </w:t>
      </w:r>
      <w:r>
        <w:t xml:space="preserve">Lake Woods. </w:t>
      </w:r>
      <w:r w:rsidR="00513ADA">
        <w:t xml:space="preserve">A recent </w:t>
      </w:r>
      <w:r w:rsidR="00994083">
        <w:t xml:space="preserve">hydrochemical </w:t>
      </w:r>
      <w:r w:rsidR="00513ADA">
        <w:t xml:space="preserve">study </w:t>
      </w:r>
      <w:r w:rsidR="00A541ED">
        <w:fldChar w:fldCharType="begin"/>
      </w:r>
      <w:r w:rsidR="00F76E0D">
        <w:instrText xml:space="preserve"> ADDIN EN.CITE &lt;EndNote&gt;&lt;Cite&gt;&lt;Author&gt;de Caritat&lt;/Author&gt;&lt;Year&gt;2019&lt;/Year&gt;&lt;RecNum&gt;910&lt;/RecNum&gt;&lt;DisplayText&gt;(de Caritat et al., 2019)&lt;/DisplayText&gt;&lt;record&gt;&lt;rec-number&gt;910&lt;/rec-number&gt;&lt;foreign-keys&gt;&lt;key app="EN" db-id="wdf9tzzdhw2saee559kv0vezt0wfsta0zedv" timestamp="1555975788"&gt;910&lt;/key&gt;&lt;/foreign-keys&gt;&lt;ref-type name="Journal Article"&gt;17&lt;/ref-type&gt;&lt;contributors&gt;&lt;authors&gt;&lt;author&gt;de Caritat, P&lt;/author&gt;&lt;author&gt;Bastrakov, EN&lt;/author&gt;&lt;author&gt;Jaireth, S&lt;/author&gt;&lt;author&gt;English, PM&lt;/author&gt;&lt;author&gt;Clarke, JDA&lt;/author&gt;&lt;author&gt;Mernagh, TP&lt;/author&gt;&lt;author&gt;Wygralak, AS&lt;/author&gt;&lt;author&gt;Dulfer, HE&lt;/author&gt;&lt;author&gt;Trafford, J &lt;/author&gt;&lt;/authors&gt;&lt;/contributors&gt;&lt;titles&gt;&lt;title&gt;Groundwater geochemistry, hydrogeology and potash mineral potential of the Lake Woods region, Northern Territory, Australia&lt;/title&gt;&lt;secondary-title&gt;Australian Journal of Earth Sciences&lt;/secondary-title&gt;&lt;/titles&gt;&lt;periodical&gt;&lt;full-title&gt;Australian Journal of Earth Sciences&lt;/full-title&gt;&lt;/periodical&gt;&lt;pages&gt;1-20&lt;/pages&gt;&lt;dates&gt;&lt;year&gt;2019&lt;/year&gt;&lt;/dates&gt;&lt;urls&gt;&lt;/urls&gt;&lt;electronic-resource-num&gt;10.1080/08120099.2018.1543208&lt;/electronic-resource-num&gt;&lt;/record&gt;&lt;/Cite&gt;&lt;/EndNote&gt;</w:instrText>
      </w:r>
      <w:r w:rsidR="00A541ED">
        <w:fldChar w:fldCharType="separate"/>
      </w:r>
      <w:r w:rsidR="00A541ED">
        <w:rPr>
          <w:noProof/>
        </w:rPr>
        <w:t>(de Caritat et al., 2019)</w:t>
      </w:r>
      <w:r w:rsidR="00A541ED">
        <w:fldChar w:fldCharType="end"/>
      </w:r>
      <w:r w:rsidR="00EB2448">
        <w:t xml:space="preserve"> </w:t>
      </w:r>
      <w:r w:rsidR="00513ADA">
        <w:t xml:space="preserve">showed that </w:t>
      </w:r>
      <w:r w:rsidR="002A1C77">
        <w:t>Lake Woods i</w:t>
      </w:r>
      <w:r w:rsidR="00513ADA">
        <w:t>s predominantly fed by surface water from wet</w:t>
      </w:r>
      <w:r w:rsidR="00A00A2A">
        <w:t>-</w:t>
      </w:r>
      <w:r w:rsidR="00513ADA">
        <w:t xml:space="preserve">season rains, and </w:t>
      </w:r>
      <w:r w:rsidR="00994083">
        <w:t>acts</w:t>
      </w:r>
      <w:r w:rsidR="00513ADA">
        <w:t xml:space="preserve"> as a recharge area for the </w:t>
      </w:r>
      <w:r w:rsidR="00513ADA" w:rsidRPr="00584082">
        <w:t xml:space="preserve">Montejinni Limestone aquifer </w:t>
      </w:r>
      <w:r w:rsidR="00994083">
        <w:t>of</w:t>
      </w:r>
      <w:r w:rsidR="00513ADA" w:rsidRPr="00584082">
        <w:t xml:space="preserve"> the Wiso Basin</w:t>
      </w:r>
      <w:r w:rsidR="005C6D5A">
        <w:t>. WOfS</w:t>
      </w:r>
      <w:r w:rsidR="00513ADA">
        <w:t xml:space="preserve"> imagery suggests that water tends to pool in the lake for extended periods before loss through either evaporation or recharge to the underlying aquifers. Other lakes</w:t>
      </w:r>
      <w:r w:rsidR="00953127">
        <w:t xml:space="preserve"> to the east</w:t>
      </w:r>
      <w:r w:rsidR="00513ADA">
        <w:t xml:space="preserve"> </w:t>
      </w:r>
      <w:r w:rsidR="00953127">
        <w:t>(e.g.</w:t>
      </w:r>
      <w:r w:rsidR="00513ADA">
        <w:t xml:space="preserve"> Lake Tarrabool</w:t>
      </w:r>
      <w:r w:rsidR="00953127">
        <w:t>)</w:t>
      </w:r>
      <w:r w:rsidR="00D562A8">
        <w:t xml:space="preserve"> provide</w:t>
      </w:r>
      <w:r w:rsidR="00513ADA">
        <w:t xml:space="preserve"> </w:t>
      </w:r>
      <w:r w:rsidR="00953127">
        <w:t>recharge</w:t>
      </w:r>
      <w:r w:rsidR="00513ADA">
        <w:t xml:space="preserve"> </w:t>
      </w:r>
      <w:r w:rsidR="00D562A8">
        <w:t xml:space="preserve">to </w:t>
      </w:r>
      <w:r w:rsidR="00513ADA">
        <w:t>aquifers</w:t>
      </w:r>
      <w:r w:rsidR="00994083">
        <w:t xml:space="preserve"> </w:t>
      </w:r>
      <w:r w:rsidR="00993A12">
        <w:t>of</w:t>
      </w:r>
      <w:r w:rsidR="00513ADA">
        <w:t xml:space="preserve"> the </w:t>
      </w:r>
      <w:r w:rsidR="00953127">
        <w:t xml:space="preserve">underlying </w:t>
      </w:r>
      <w:r w:rsidR="00513ADA">
        <w:t xml:space="preserve">Georgina </w:t>
      </w:r>
      <w:r w:rsidR="00513ADA" w:rsidRPr="00C75084">
        <w:t xml:space="preserve">Basin </w:t>
      </w:r>
      <w:r w:rsidR="00A541ED">
        <w:fldChar w:fldCharType="begin"/>
      </w:r>
      <w:r w:rsidR="00F76E0D">
        <w:instrText xml:space="preserve"> ADDIN EN.CITE &lt;EndNote&gt;&lt;Cite&gt;&lt;Author&gt;Tickell&lt;/Author&gt;&lt;Year&gt;2017&lt;/Year&gt;&lt;RecNum&gt;695&lt;/RecNum&gt;&lt;DisplayText&gt;(Tickell and Bruwer, 2017)&lt;/DisplayText&gt;&lt;record&gt;&lt;rec-number&gt;695&lt;/rec-number&gt;&lt;foreign-keys&gt;&lt;key app="EN" db-id="wdf9tzzdhw2saee559kv0vezt0wfsta0zedv" timestamp="1545264525"&gt;695&lt;/key&gt;&lt;key app="ENWeb" db-id=""&gt;0&lt;/key&gt;&lt;/foreign-keys&gt;&lt;ref-type name="Report"&gt;27&lt;/ref-type&gt;&lt;contributors&gt;&lt;authors&gt;&lt;author&gt;Tickell, Stephen. J.&lt;/author&gt;&lt;author&gt;Bruwer, Quentin&lt;/author&gt;&lt;/authors&gt;&lt;tertiary-authors&gt;&lt;author&gt;Northern Territory Department of Environment and Natural Resources&lt;/author&gt;&lt;/tertiary-authors&gt;&lt;subsidiary-authors&gt;&lt;author&gt;Water Resources Division&lt;/author&gt;&lt;/subsidiary-authors&gt;&lt;/contributors&gt;&lt;titles&gt;&lt;title&gt;Georgina Basin Groundwater Assessment: Daly Waters to Tennant Creek&lt;/title&gt;&lt;/titles&gt;&lt;pages&gt;108&lt;/pages&gt;&lt;number&gt;Technical Report 17/2017&lt;/number&gt;&lt;dates&gt;&lt;year&gt;2017&lt;/year&gt;&lt;/dates&gt;&lt;publisher&gt;Northern Territory Department of Environment and Natural Resources&lt;/publisher&gt;&lt;isbn&gt;Technical Report 17/2017&lt;/isbn&gt;&lt;urls&gt;&lt;related-urls&gt;&lt;url&gt;&lt;style face="underline" font="default" size="100%"&gt;http://www.territorystories.nt.gov.au/jspui/handle/10070/304921&lt;/style&gt;&lt;/url&gt;&lt;/related-urls&gt;&lt;/urls&gt;&lt;access-date&gt;20 April 2020&lt;/access-date&gt;&lt;/record&gt;&lt;/Cite&gt;&lt;/EndNote&gt;</w:instrText>
      </w:r>
      <w:r w:rsidR="00A541ED">
        <w:fldChar w:fldCharType="separate"/>
      </w:r>
      <w:r w:rsidR="007E7B35">
        <w:rPr>
          <w:noProof/>
        </w:rPr>
        <w:t>(Tickell and Bruwer, 2017)</w:t>
      </w:r>
      <w:r w:rsidR="00A541ED">
        <w:fldChar w:fldCharType="end"/>
      </w:r>
      <w:r w:rsidR="00513ADA" w:rsidRPr="00C75084">
        <w:t>.</w:t>
      </w:r>
    </w:p>
    <w:p w14:paraId="21605AD6" w14:textId="5C8E977A" w:rsidR="00994083" w:rsidRDefault="00742A12" w:rsidP="002207F5">
      <w:pPr>
        <w:pStyle w:val="BodyText"/>
      </w:pPr>
      <w:r>
        <w:t>S</w:t>
      </w:r>
      <w:r w:rsidR="00994083">
        <w:t>urface water</w:t>
      </w:r>
      <w:r w:rsidR="00D56098">
        <w:t xml:space="preserve"> </w:t>
      </w:r>
      <w:r>
        <w:t xml:space="preserve">features identified by WOfS are generally larger </w:t>
      </w:r>
      <w:r w:rsidR="00DD31BF">
        <w:t xml:space="preserve">in the </w:t>
      </w:r>
      <w:r>
        <w:t>south</w:t>
      </w:r>
      <w:r w:rsidR="00DD31BF">
        <w:t xml:space="preserve"> of the GBA Beetaloo region </w:t>
      </w:r>
      <w:r>
        <w:t>than in the north (</w:t>
      </w:r>
      <w:r w:rsidR="00953127">
        <w:t xml:space="preserve">e.g. </w:t>
      </w:r>
      <w:r>
        <w:t xml:space="preserve">no floodplains are highlighted on </w:t>
      </w:r>
      <w:r w:rsidR="00FA0E75">
        <w:fldChar w:fldCharType="begin"/>
      </w:r>
      <w:r w:rsidR="00FA0E75">
        <w:instrText xml:space="preserve"> REF _Ref8295496 \h </w:instrText>
      </w:r>
      <w:r w:rsidR="00FA0E75">
        <w:fldChar w:fldCharType="separate"/>
      </w:r>
      <w:r w:rsidR="00B177F5">
        <w:t xml:space="preserve">Figure </w:t>
      </w:r>
      <w:r w:rsidR="00B177F5">
        <w:rPr>
          <w:noProof/>
        </w:rPr>
        <w:t>41</w:t>
      </w:r>
      <w:r w:rsidR="00FA0E75">
        <w:fldChar w:fldCharType="end"/>
      </w:r>
      <w:r>
        <w:t xml:space="preserve"> in the northern areas). </w:t>
      </w:r>
      <w:r w:rsidR="00DB10AE">
        <w:t xml:space="preserve">The fact that rivers drain off the Sturt Plateau in </w:t>
      </w:r>
      <w:r w:rsidR="00953127">
        <w:t>the north</w:t>
      </w:r>
      <w:r w:rsidR="00DB10AE">
        <w:t xml:space="preserve"> is probably a major factor, but t</w:t>
      </w:r>
      <w:r>
        <w:t xml:space="preserve">his difference may be </w:t>
      </w:r>
      <w:r w:rsidR="00DB10AE">
        <w:t xml:space="preserve">partly </w:t>
      </w:r>
      <w:r>
        <w:t xml:space="preserve">related to </w:t>
      </w:r>
      <w:r w:rsidR="00DD31BF">
        <w:t xml:space="preserve">recharge. While shallow </w:t>
      </w:r>
      <w:r w:rsidR="00BD3D08">
        <w:t>formations</w:t>
      </w:r>
      <w:r w:rsidR="00DD31BF">
        <w:t xml:space="preserve"> of relatively low permeability are present to the south, a lack of thicker confining cover and the presence of sinkholes in the north may </w:t>
      </w:r>
      <w:r w:rsidR="00DB10AE">
        <w:t xml:space="preserve">preclude </w:t>
      </w:r>
      <w:r w:rsidR="00DD31BF">
        <w:t xml:space="preserve">water remaining at surface </w:t>
      </w:r>
      <w:r w:rsidR="00DB10AE">
        <w:t xml:space="preserve">for long periods </w:t>
      </w:r>
      <w:r w:rsidR="00DD31BF">
        <w:t>following rainfall.</w:t>
      </w:r>
      <w:r w:rsidR="00DB10AE">
        <w:t xml:space="preserve"> </w:t>
      </w:r>
    </w:p>
    <w:p w14:paraId="7CBEF491" w14:textId="33F3965A" w:rsidR="00873D70" w:rsidRDefault="00873D70" w:rsidP="002207F5">
      <w:pPr>
        <w:pStyle w:val="BodyText"/>
      </w:pPr>
      <w:r>
        <w:t xml:space="preserve">There is evidence of relatively high </w:t>
      </w:r>
      <w:r w:rsidR="00DB10AE">
        <w:t xml:space="preserve">surface </w:t>
      </w:r>
      <w:r>
        <w:t xml:space="preserve">water persistence in </w:t>
      </w:r>
      <w:r w:rsidR="00DB10AE">
        <w:t>some areas</w:t>
      </w:r>
      <w:r>
        <w:t xml:space="preserve">: several depressions (potentially karst-related) and pools along drainage lines have WOfS values exceeding </w:t>
      </w:r>
      <w:r w:rsidR="00DB10AE">
        <w:t>7</w:t>
      </w:r>
      <w:r>
        <w:t xml:space="preserve">0%. As discussed </w:t>
      </w:r>
      <w:r w:rsidR="00837AD2">
        <w:t xml:space="preserve">in Section </w:t>
      </w:r>
      <w:r w:rsidR="00837AD2">
        <w:fldChar w:fldCharType="begin"/>
      </w:r>
      <w:r w:rsidR="00837AD2">
        <w:instrText xml:space="preserve"> REF _Ref5700489 \r \h </w:instrText>
      </w:r>
      <w:r w:rsidR="00837AD2">
        <w:fldChar w:fldCharType="separate"/>
      </w:r>
      <w:r w:rsidR="00B177F5">
        <w:t>3.4.5</w:t>
      </w:r>
      <w:r w:rsidR="00837AD2">
        <w:fldChar w:fldCharType="end"/>
      </w:r>
      <w:r>
        <w:t xml:space="preserve">, the regional groundwater level is generally </w:t>
      </w:r>
      <w:r w:rsidR="004233F7">
        <w:t>&gt;20 m</w:t>
      </w:r>
      <w:r>
        <w:t xml:space="preserve"> deep </w:t>
      </w:r>
      <w:r w:rsidR="00837AD2">
        <w:t xml:space="preserve">in the Beetaloo GBA region. </w:t>
      </w:r>
      <w:r w:rsidR="004233F7">
        <w:t>I</w:t>
      </w:r>
      <w:r>
        <w:t xml:space="preserve">f </w:t>
      </w:r>
      <w:r w:rsidR="004233F7">
        <w:t>many of</w:t>
      </w:r>
      <w:r>
        <w:t xml:space="preserve"> these </w:t>
      </w:r>
      <w:r w:rsidR="00DB10AE">
        <w:t>features</w:t>
      </w:r>
      <w:r>
        <w:t xml:space="preserve"> are groundwater </w:t>
      </w:r>
      <w:r w:rsidR="00837AD2">
        <w:t xml:space="preserve">dependent, </w:t>
      </w:r>
      <w:r>
        <w:t xml:space="preserve">it </w:t>
      </w:r>
      <w:r w:rsidR="00837AD2">
        <w:t>is most likely</w:t>
      </w:r>
      <w:r>
        <w:t xml:space="preserve"> </w:t>
      </w:r>
      <w:r w:rsidR="00837AD2">
        <w:t>via</w:t>
      </w:r>
      <w:r>
        <w:t xml:space="preserve"> perched, shallow </w:t>
      </w:r>
      <w:r w:rsidR="00DB10AE">
        <w:t xml:space="preserve">groundwater </w:t>
      </w:r>
      <w:r>
        <w:t xml:space="preserve">systems. </w:t>
      </w:r>
      <w:r w:rsidR="004233F7">
        <w:t>It is f</w:t>
      </w:r>
      <w:r w:rsidR="0018107C">
        <w:t>urther</w:t>
      </w:r>
      <w:r w:rsidR="004233F7">
        <w:t xml:space="preserve"> noted that </w:t>
      </w:r>
      <w:r w:rsidR="0018107C">
        <w:t xml:space="preserve">several aquatic GDEs on </w:t>
      </w:r>
      <w:r w:rsidR="005674BA">
        <w:fldChar w:fldCharType="begin"/>
      </w:r>
      <w:r w:rsidR="005674BA">
        <w:instrText xml:space="preserve"> REF _Ref5781880 \h </w:instrText>
      </w:r>
      <w:r w:rsidR="005674BA">
        <w:fldChar w:fldCharType="separate"/>
      </w:r>
      <w:r w:rsidR="00B177F5">
        <w:t xml:space="preserve">Figure </w:t>
      </w:r>
      <w:r w:rsidR="00B177F5">
        <w:rPr>
          <w:noProof/>
        </w:rPr>
        <w:t>40</w:t>
      </w:r>
      <w:r w:rsidR="005674BA">
        <w:fldChar w:fldCharType="end"/>
      </w:r>
      <w:r w:rsidR="0018107C">
        <w:t xml:space="preserve"> do not correspond to areas with high WOfS values. GDEs</w:t>
      </w:r>
      <w:r>
        <w:t xml:space="preserve"> will </w:t>
      </w:r>
      <w:r w:rsidR="0018107C">
        <w:t>require</w:t>
      </w:r>
      <w:r>
        <w:t xml:space="preserve"> more detail</w:t>
      </w:r>
      <w:r w:rsidR="0018107C">
        <w:t>ed assessment</w:t>
      </w:r>
      <w:r>
        <w:t xml:space="preserve"> </w:t>
      </w:r>
      <w:r w:rsidR="00DB10AE">
        <w:t xml:space="preserve">at a local scale </w:t>
      </w:r>
      <w:r w:rsidR="00837AD2">
        <w:t>before any development works.</w:t>
      </w:r>
      <w:r w:rsidR="0018107C">
        <w:t xml:space="preserve"> </w:t>
      </w:r>
    </w:p>
    <w:p w14:paraId="07F51DF4" w14:textId="3AB0535D" w:rsidR="00994083" w:rsidRDefault="50BA1442" w:rsidP="00C75084">
      <w:pPr>
        <w:pStyle w:val="Heading5"/>
      </w:pPr>
      <w:r>
        <w:t xml:space="preserve">Tasselled </w:t>
      </w:r>
      <w:r w:rsidR="00D835D9">
        <w:t>C</w:t>
      </w:r>
      <w:r>
        <w:t xml:space="preserve">ap </w:t>
      </w:r>
      <w:r w:rsidR="00D835D9">
        <w:t>W</w:t>
      </w:r>
      <w:r>
        <w:t>etness</w:t>
      </w:r>
    </w:p>
    <w:p w14:paraId="2C2A97F4" w14:textId="6A627CB2" w:rsidR="00C4439F" w:rsidRDefault="0091479B" w:rsidP="002207F5">
      <w:pPr>
        <w:pStyle w:val="BodyText"/>
      </w:pPr>
      <w:r w:rsidRPr="0091479B">
        <w:t xml:space="preserve">The Tasselled Cap </w:t>
      </w:r>
      <w:r w:rsidR="002836F1">
        <w:t>Index</w:t>
      </w:r>
      <w:r w:rsidRPr="0091479B">
        <w:t xml:space="preserve"> </w:t>
      </w:r>
      <w:r w:rsidR="002836F1">
        <w:t xml:space="preserve">(TCI) </w:t>
      </w:r>
      <w:r w:rsidRPr="0091479B">
        <w:t xml:space="preserve">is </w:t>
      </w:r>
      <w:r w:rsidR="00C4439F">
        <w:t>produced by</w:t>
      </w:r>
      <w:r w:rsidRPr="0091479B">
        <w:t xml:space="preserve"> reducing </w:t>
      </w:r>
      <w:r w:rsidR="00C4439F">
        <w:t>six</w:t>
      </w:r>
      <w:r w:rsidRPr="0091479B">
        <w:t xml:space="preserve"> bands of satellite data (</w:t>
      </w:r>
      <w:r w:rsidR="004B3682">
        <w:t>blue</w:t>
      </w:r>
      <w:r w:rsidRPr="0091479B">
        <w:t>,</w:t>
      </w:r>
      <w:r w:rsidR="004B3682">
        <w:t xml:space="preserve"> green</w:t>
      </w:r>
      <w:r w:rsidRPr="0091479B">
        <w:t xml:space="preserve">, </w:t>
      </w:r>
      <w:r w:rsidR="004B3682">
        <w:t>red</w:t>
      </w:r>
      <w:r w:rsidRPr="0091479B">
        <w:t>, N</w:t>
      </w:r>
      <w:r w:rsidR="008867D1">
        <w:t>EAR INFRARED</w:t>
      </w:r>
      <w:r w:rsidRPr="0091479B">
        <w:t xml:space="preserve">, SWIR1, SWIR2) to </w:t>
      </w:r>
      <w:r w:rsidR="00C4439F">
        <w:t>three</w:t>
      </w:r>
      <w:r w:rsidRPr="0091479B">
        <w:t xml:space="preserve"> bands using Principal Components Analysis and Procrustes Rotation </w:t>
      </w:r>
      <w:r w:rsidR="00A541ED">
        <w:fldChar w:fldCharType="begin"/>
      </w:r>
      <w:r w:rsidR="00F76E0D">
        <w:instrText xml:space="preserve"> ADDIN EN.CITE &lt;EndNote&gt;&lt;Cite&gt;&lt;Author&gt;Roberts&lt;/Author&gt;&lt;Year&gt;2018&lt;/Year&gt;&lt;RecNum&gt;332&lt;/RecNum&gt;&lt;DisplayText&gt;(Roberts et al., 2018)&lt;/DisplayText&gt;&lt;record&gt;&lt;rec-number&gt;332&lt;/rec-number&gt;&lt;foreign-keys&gt;&lt;key app="EN" db-id="wdf9tzzdhw2saee559kv0vezt0wfsta0zedv" timestamp="1541999806"&gt;332&lt;/key&gt;&lt;/foreign-keys&gt;&lt;ref-type name="Journal Article"&gt;17&lt;/ref-type&gt;&lt;contributors&gt;&lt;authors&gt;&lt;author&gt;Roberts, D&lt;/author&gt;&lt;author&gt;Dunn, B&lt;/author&gt;&lt;author&gt;Mueller, N&lt;/author&gt;&lt;/authors&gt;&lt;/contributors&gt;&lt;titles&gt;&lt;title&gt;Open Data Cube Products Using High-Dimensional Statistics of Time Series. International Geoscience and Remote Sensing Symposium. Valencia, Spain: IEEE Geoscience and Remote Sensing Society.&lt;/title&gt;&lt;/titles&gt;&lt;dates&gt;&lt;year&gt;2018&lt;/year&gt;&lt;/dates&gt;&lt;urls&gt;&lt;/urls&gt;&lt;/record&gt;&lt;/Cite&gt;&lt;/EndNote&gt;</w:instrText>
      </w:r>
      <w:r w:rsidR="00A541ED">
        <w:fldChar w:fldCharType="separate"/>
      </w:r>
      <w:r w:rsidR="0086406A">
        <w:rPr>
          <w:noProof/>
        </w:rPr>
        <w:t>(Roberts et al., 2018)</w:t>
      </w:r>
      <w:r w:rsidR="00A541ED">
        <w:fldChar w:fldCharType="end"/>
      </w:r>
      <w:r w:rsidRPr="0091479B">
        <w:t xml:space="preserve">. </w:t>
      </w:r>
      <w:r w:rsidR="00C4439F" w:rsidRPr="0091479B">
        <w:t xml:space="preserve">The </w:t>
      </w:r>
      <w:r w:rsidR="00C4439F">
        <w:t xml:space="preserve">three bands </w:t>
      </w:r>
      <w:r w:rsidR="0018107C">
        <w:t>are designed to</w:t>
      </w:r>
      <w:r w:rsidR="00C4439F">
        <w:t xml:space="preserve"> correlate with </w:t>
      </w:r>
      <w:r w:rsidR="00C4439F" w:rsidRPr="0091479B">
        <w:t>the Brightness, Greenness</w:t>
      </w:r>
      <w:r w:rsidR="00C4439F">
        <w:t>,</w:t>
      </w:r>
      <w:r w:rsidR="00C4439F" w:rsidRPr="0091479B">
        <w:t xml:space="preserve"> and Wetness of the landscape. </w:t>
      </w:r>
      <w:r w:rsidR="002836F1" w:rsidRPr="0091479B">
        <w:t>The ‘Tasselled Cap’ refers to the shape of the distribution of the transformed data</w:t>
      </w:r>
      <w:r w:rsidR="007A3ECA">
        <w:t xml:space="preserve"> in two dimensions</w:t>
      </w:r>
      <w:r w:rsidR="002836F1" w:rsidRPr="0091479B">
        <w:t xml:space="preserve"> </w:t>
      </w:r>
      <w:r w:rsidR="00A541ED">
        <w:fldChar w:fldCharType="begin"/>
      </w:r>
      <w:r w:rsidR="00F76E0D">
        <w:instrText xml:space="preserve"> ADDIN EN.CITE &lt;EndNote&gt;&lt;Cite&gt;&lt;Author&gt;Kauth&lt;/Author&gt;&lt;Year&gt;1976&lt;/Year&gt;&lt;RecNum&gt;333&lt;/RecNum&gt;&lt;DisplayText&gt;(Kauth and Thomas, 1976)&lt;/DisplayText&gt;&lt;record&gt;&lt;rec-number&gt;333&lt;/rec-number&gt;&lt;foreign-keys&gt;&lt;key app="EN" db-id="wdf9tzzdhw2saee559kv0vezt0wfsta0zedv" timestamp="1541999806"&gt;333&lt;/key&gt;&lt;/foreign-keys&gt;&lt;ref-type name="Journal Article"&gt;17&lt;/ref-type&gt;&lt;contributors&gt;&lt;authors&gt;&lt;author&gt;Kauth, R. J. &lt;/author&gt;&lt;author&gt;Thomas, G. &lt;/author&gt;&lt;/authors&gt;&lt;/contributors&gt;&lt;titles&gt;&lt;title&gt;The tasselled cap-a graphic description of the spectral-temporal development of agricultural crops as seen by Landsat. LARS Symposia, 159.&lt;/title&gt;&lt;/titles&gt;&lt;dates&gt;&lt;year&gt;1976&lt;/year&gt;&lt;/dates&gt;&lt;urls&gt;&lt;/urls&gt;&lt;/record&gt;&lt;/Cite&gt;&lt;/EndNote&gt;</w:instrText>
      </w:r>
      <w:r w:rsidR="00A541ED">
        <w:fldChar w:fldCharType="separate"/>
      </w:r>
      <w:r w:rsidR="00A541ED">
        <w:rPr>
          <w:noProof/>
        </w:rPr>
        <w:t>(Kauth and Thomas, 1976)</w:t>
      </w:r>
      <w:r w:rsidR="00A541ED">
        <w:fldChar w:fldCharType="end"/>
      </w:r>
      <w:r w:rsidR="002836F1">
        <w:t>,</w:t>
      </w:r>
      <w:r w:rsidR="002836F1" w:rsidRPr="0091479B">
        <w:t xml:space="preserve"> whic</w:t>
      </w:r>
      <w:r w:rsidR="002836F1">
        <w:t xml:space="preserve">h resembles a hat with a tassel. </w:t>
      </w:r>
    </w:p>
    <w:p w14:paraId="178FCF1B" w14:textId="354DCAF9" w:rsidR="00334E00" w:rsidRDefault="50BA1442" w:rsidP="002207F5">
      <w:pPr>
        <w:pStyle w:val="BodyText"/>
      </w:pPr>
      <w:r>
        <w:t>The Wetness band of the TCI was isolated in the current project to provide an overview of surface water in the landscape for comparison to WOfS data. There may be merit in examining additional bands in future if further analysis is required. For each pixel in the investigation area, the Tasselled Cap Wetness (TCW) value was calculated for each clear Landsat observation. For each pixel, the 10</w:t>
      </w:r>
      <w:r w:rsidRPr="002B0D77">
        <w:t>th</w:t>
      </w:r>
      <w:r>
        <w:t xml:space="preserve"> and 90</w:t>
      </w:r>
      <w:r w:rsidRPr="002B0D77">
        <w:t>th</w:t>
      </w:r>
      <w:r>
        <w:t xml:space="preserve"> percentile TCW statistics were reported for analysis. Without site-specific values, the continuous TCW indices are provisionally interpreted here as (note that wetness increases with increasing index value):</w:t>
      </w:r>
    </w:p>
    <w:p w14:paraId="28C3A89E" w14:textId="7C80615F" w:rsidR="00FA5E82" w:rsidRPr="00496F70" w:rsidRDefault="00FA5E82" w:rsidP="003E1F1E">
      <w:pPr>
        <w:pStyle w:val="ListBullet"/>
      </w:pPr>
      <w:r w:rsidRPr="003E1F1E">
        <w:t>&lt;</w:t>
      </w:r>
      <w:r w:rsidR="002B0D77">
        <w:t>–</w:t>
      </w:r>
      <w:r w:rsidRPr="003E1F1E">
        <w:t>1200: wetness decreasing</w:t>
      </w:r>
      <w:r w:rsidR="00496F70">
        <w:t xml:space="preserve"> </w:t>
      </w:r>
      <w:r w:rsidR="006D5860">
        <w:t>with decreasing</w:t>
      </w:r>
      <w:r w:rsidR="00496F70">
        <w:t xml:space="preserve"> index value</w:t>
      </w:r>
    </w:p>
    <w:p w14:paraId="3436E8FC" w14:textId="01CE4613" w:rsidR="00A4109A" w:rsidRPr="00496F70" w:rsidRDefault="00FA5E82" w:rsidP="003E1F1E">
      <w:pPr>
        <w:pStyle w:val="ListBullet"/>
      </w:pPr>
      <w:r w:rsidRPr="00496F70">
        <w:t>≥</w:t>
      </w:r>
      <w:r w:rsidR="002B0D77">
        <w:t>–</w:t>
      </w:r>
      <w:r w:rsidR="00334E00" w:rsidRPr="00496F70">
        <w:t>1200</w:t>
      </w:r>
      <w:r w:rsidR="00496F70" w:rsidRPr="00496F70">
        <w:t xml:space="preserve"> to </w:t>
      </w:r>
      <w:r w:rsidR="002B0D77">
        <w:t>–</w:t>
      </w:r>
      <w:r w:rsidR="00496F70" w:rsidRPr="00496F70">
        <w:t>600</w:t>
      </w:r>
      <w:r w:rsidR="00334E00" w:rsidRPr="00496F70">
        <w:t xml:space="preserve">: </w:t>
      </w:r>
      <w:r w:rsidR="00496F70">
        <w:t>wet</w:t>
      </w:r>
      <w:r w:rsidR="00496F70" w:rsidRPr="00496F70">
        <w:t>ness increasing</w:t>
      </w:r>
      <w:r w:rsidR="00A4109A" w:rsidRPr="00496F70">
        <w:t xml:space="preserve"> (e.g. </w:t>
      </w:r>
      <w:r w:rsidR="00A4109A">
        <w:t>boggy ground, wet vegetation)</w:t>
      </w:r>
    </w:p>
    <w:p w14:paraId="08684103" w14:textId="6653ACFC" w:rsidR="00A4109A" w:rsidRPr="00496F70" w:rsidRDefault="00FA5E82" w:rsidP="003E1F1E">
      <w:pPr>
        <w:pStyle w:val="ListBullet"/>
      </w:pPr>
      <w:r>
        <w:t>≥</w:t>
      </w:r>
      <w:r w:rsidR="002B0D77">
        <w:t>–</w:t>
      </w:r>
      <w:r w:rsidR="00A4109A">
        <w:t>600: wet (open water and wet vegetation)</w:t>
      </w:r>
    </w:p>
    <w:p w14:paraId="76E9C5DC" w14:textId="2F5FF771" w:rsidR="00A4109A" w:rsidRDefault="00E805E4" w:rsidP="002207F5">
      <w:pPr>
        <w:pStyle w:val="BodyText"/>
      </w:pPr>
      <w:r>
        <w:t xml:space="preserve">The </w:t>
      </w:r>
      <w:r w:rsidR="00A4109A">
        <w:t xml:space="preserve">TCW figures use TCW = </w:t>
      </w:r>
      <w:r w:rsidR="002B0D77">
        <w:t>–</w:t>
      </w:r>
      <w:r w:rsidR="00A4109A">
        <w:t xml:space="preserve">1200 as a cut-off below which </w:t>
      </w:r>
      <w:r w:rsidR="00F6058C">
        <w:t>little</w:t>
      </w:r>
      <w:r w:rsidR="00A4109A">
        <w:t xml:space="preserve"> w</w:t>
      </w:r>
      <w:r w:rsidR="00F6058C">
        <w:t>etness</w:t>
      </w:r>
      <w:r w:rsidR="00A4109A">
        <w:t xml:space="preserve"> has been detected. The colour scale is stretched from -1200 to 0; all values &gt;0 </w:t>
      </w:r>
      <w:r w:rsidR="00F6058C">
        <w:t>are classified in the</w:t>
      </w:r>
      <w:r w:rsidR="00A4109A">
        <w:t xml:space="preserve"> maximum wetness</w:t>
      </w:r>
      <w:r w:rsidR="00F6058C">
        <w:t xml:space="preserve"> category</w:t>
      </w:r>
      <w:r w:rsidR="00D562A8">
        <w:t xml:space="preserve">, while all values below </w:t>
      </w:r>
      <w:r w:rsidR="002B0D77">
        <w:t>–</w:t>
      </w:r>
      <w:r w:rsidR="00D562A8">
        <w:t>1200 are classified in the minimum wetness category</w:t>
      </w:r>
      <w:r w:rsidR="00A4109A">
        <w:t>.</w:t>
      </w:r>
    </w:p>
    <w:p w14:paraId="1CFE3B3C" w14:textId="79A73AD9" w:rsidR="00843764" w:rsidRDefault="00F6058C" w:rsidP="002207F5">
      <w:pPr>
        <w:pStyle w:val="BodyText"/>
      </w:pPr>
      <w:r>
        <w:t>Within the above wetness interpretation, t</w:t>
      </w:r>
      <w:r w:rsidR="00E805E4">
        <w:t xml:space="preserve">he </w:t>
      </w:r>
      <w:r>
        <w:t xml:space="preserve">TCW </w:t>
      </w:r>
      <w:r w:rsidR="00E805E4">
        <w:t>results for the 10</w:t>
      </w:r>
      <w:r w:rsidR="00E805E4" w:rsidRPr="002B0D77">
        <w:t>th</w:t>
      </w:r>
      <w:r w:rsidR="00E805E4">
        <w:t xml:space="preserve"> percentile </w:t>
      </w:r>
      <w:r w:rsidR="00334E00">
        <w:t>can be used to</w:t>
      </w:r>
      <w:r w:rsidR="00E805E4">
        <w:t xml:space="preserve"> show areas where </w:t>
      </w:r>
      <w:r w:rsidR="00334E00">
        <w:t xml:space="preserve">wetness </w:t>
      </w:r>
      <w:r w:rsidR="00E805E4">
        <w:t>is persistent in the landscape, while the 90</w:t>
      </w:r>
      <w:r w:rsidR="00E805E4" w:rsidRPr="002B0D77">
        <w:t>th</w:t>
      </w:r>
      <w:r w:rsidR="00E805E4">
        <w:t xml:space="preserve"> percentile results incorporate areas </w:t>
      </w:r>
      <w:r w:rsidR="00334E00">
        <w:t xml:space="preserve">that </w:t>
      </w:r>
      <w:r w:rsidR="00DF0614">
        <w:t>are</w:t>
      </w:r>
      <w:r w:rsidR="00334E00">
        <w:t xml:space="preserve"> wet</w:t>
      </w:r>
      <w:r w:rsidR="00E805E4">
        <w:t xml:space="preserve"> </w:t>
      </w:r>
      <w:r w:rsidR="00DF0614">
        <w:t>infrequently</w:t>
      </w:r>
      <w:r w:rsidR="00E805E4">
        <w:t xml:space="preserve">. </w:t>
      </w:r>
      <w:r w:rsidR="007F417C">
        <w:t>The wet areas of these</w:t>
      </w:r>
      <w:r w:rsidR="00E805E4">
        <w:t xml:space="preserve"> percentiles roughly correspond to the WOfS </w:t>
      </w:r>
      <w:r w:rsidR="00200D74">
        <w:t>&gt;90</w:t>
      </w:r>
      <w:r w:rsidR="00EB1D0C">
        <w:t xml:space="preserve">% and </w:t>
      </w:r>
      <w:r w:rsidR="00200D74">
        <w:t>&gt;10</w:t>
      </w:r>
      <w:r w:rsidR="00EB1D0C">
        <w:t xml:space="preserve">% </w:t>
      </w:r>
      <w:r w:rsidR="00E805E4">
        <w:t>statistics</w:t>
      </w:r>
      <w:r w:rsidR="002B0D77">
        <w:t>,</w:t>
      </w:r>
      <w:r w:rsidR="00200D74">
        <w:t xml:space="preserve"> respectively</w:t>
      </w:r>
      <w:r w:rsidR="009E1541">
        <w:t xml:space="preserve"> (noting that the percentiles represent the value of the pixel in the distribution of observations as opposed to the percentage of observations in which the pixel was wet)</w:t>
      </w:r>
      <w:r w:rsidR="00EB1D0C">
        <w:t xml:space="preserve">. </w:t>
      </w:r>
      <w:r w:rsidR="009C4E1A" w:rsidRPr="009C4E1A">
        <w:t>However, the TCW results inc</w:t>
      </w:r>
      <w:r w:rsidR="005674BA">
        <w:t>lude</w:t>
      </w:r>
      <w:r w:rsidR="009C4E1A" w:rsidRPr="009C4E1A">
        <w:t xml:space="preserve"> areas where soil </w:t>
      </w:r>
      <w:r>
        <w:t>and vegetation are</w:t>
      </w:r>
      <w:r w:rsidR="009C4E1A" w:rsidRPr="009C4E1A">
        <w:t xml:space="preserve"> wet, so smaller surface water bodies may be identifiable using this technique.</w:t>
      </w:r>
    </w:p>
    <w:p w14:paraId="155FBD3D" w14:textId="6558CA3E" w:rsidR="00F8430F" w:rsidRDefault="00B80239" w:rsidP="002207F5">
      <w:pPr>
        <w:pStyle w:val="BodyText"/>
      </w:pPr>
      <w:r>
        <w:t>Except for a few small localised features, there is little apparent at the</w:t>
      </w:r>
      <w:r w:rsidR="00843764">
        <w:t xml:space="preserve"> 10</w:t>
      </w:r>
      <w:r w:rsidR="00843764" w:rsidRPr="002B0D77">
        <w:t>th</w:t>
      </w:r>
      <w:r w:rsidR="00843764">
        <w:t xml:space="preserve"> percentile</w:t>
      </w:r>
      <w:r w:rsidR="005674BA">
        <w:t xml:space="preserve"> in the Beetaloo GBA region</w:t>
      </w:r>
      <w:r w:rsidR="00843764">
        <w:t>.</w:t>
      </w:r>
      <w:r w:rsidR="005674BA">
        <w:t xml:space="preserve"> </w:t>
      </w:r>
      <w:r w:rsidR="00A84B23">
        <w:t>Some exceptions include s</w:t>
      </w:r>
      <w:r w:rsidR="005674BA">
        <w:t xml:space="preserve">everal of the pools along Newcastle Creek </w:t>
      </w:r>
      <w:r w:rsidR="001B69B4">
        <w:t xml:space="preserve">noted to </w:t>
      </w:r>
      <w:r w:rsidR="005674BA">
        <w:t xml:space="preserve">contain persistent water </w:t>
      </w:r>
      <w:r w:rsidR="002B0D77">
        <w:t xml:space="preserve"> (</w:t>
      </w:r>
      <w:r w:rsidR="005674BA">
        <w:t xml:space="preserve">Section </w:t>
      </w:r>
      <w:r w:rsidR="005674BA">
        <w:fldChar w:fldCharType="begin"/>
      </w:r>
      <w:r w:rsidR="005674BA">
        <w:instrText xml:space="preserve"> REF _Ref5782024 \r \h </w:instrText>
      </w:r>
      <w:r w:rsidR="005674BA">
        <w:fldChar w:fldCharType="separate"/>
      </w:r>
      <w:r w:rsidR="00B177F5">
        <w:t>3.4.5.1</w:t>
      </w:r>
      <w:r w:rsidR="005674BA">
        <w:fldChar w:fldCharType="end"/>
      </w:r>
      <w:r w:rsidR="002B0D77">
        <w:t>)</w:t>
      </w:r>
      <w:r w:rsidR="00A84B23">
        <w:t>. In the surrounding area,</w:t>
      </w:r>
      <w:r w:rsidR="00805C72">
        <w:t xml:space="preserve"> the 10</w:t>
      </w:r>
      <w:r w:rsidR="00805C72" w:rsidRPr="002B0D77">
        <w:t>th</w:t>
      </w:r>
      <w:r w:rsidR="00805C72">
        <w:t xml:space="preserve"> percentile</w:t>
      </w:r>
      <w:r w:rsidR="00A84B23">
        <w:t xml:space="preserve"> TCW </w:t>
      </w:r>
      <w:r w:rsidR="00805C72">
        <w:t xml:space="preserve">analysis </w:t>
      </w:r>
      <w:r w:rsidR="00A84B23">
        <w:t xml:space="preserve">identifies further </w:t>
      </w:r>
      <w:r w:rsidR="004A2B21">
        <w:t xml:space="preserve">persistent </w:t>
      </w:r>
      <w:r w:rsidR="00A84B23">
        <w:t>features note</w:t>
      </w:r>
      <w:r w:rsidR="00233201">
        <w:t>d</w:t>
      </w:r>
      <w:r w:rsidR="00A84B23">
        <w:t xml:space="preserve"> in the WOfS </w:t>
      </w:r>
      <w:r w:rsidR="00805C72">
        <w:t>assessment</w:t>
      </w:r>
      <w:r w:rsidR="00233201">
        <w:t>, including the reach of Newcastle Waters Creek leading to Lake Woods and several surface watercourses near known springs</w:t>
      </w:r>
      <w:r w:rsidR="00805C72">
        <w:t xml:space="preserve"> (e.g. Mataranka)</w:t>
      </w:r>
      <w:r w:rsidR="00233201">
        <w:t>.</w:t>
      </w:r>
    </w:p>
    <w:p w14:paraId="273ED239" w14:textId="51355645" w:rsidR="002207F5" w:rsidRDefault="00F8430F" w:rsidP="007063FB">
      <w:pPr>
        <w:pStyle w:val="BodyText"/>
      </w:pPr>
      <w:r>
        <w:fldChar w:fldCharType="begin"/>
      </w:r>
      <w:r>
        <w:instrText xml:space="preserve"> REF _Ref5784559 \h </w:instrText>
      </w:r>
      <w:r>
        <w:fldChar w:fldCharType="separate"/>
      </w:r>
      <w:r w:rsidR="00B177F5">
        <w:t xml:space="preserve">Figure </w:t>
      </w:r>
      <w:r w:rsidR="00B177F5">
        <w:rPr>
          <w:noProof/>
        </w:rPr>
        <w:t>42</w:t>
      </w:r>
      <w:r>
        <w:fldChar w:fldCharType="end"/>
      </w:r>
      <w:r>
        <w:t xml:space="preserve"> shows </w:t>
      </w:r>
      <w:r w:rsidR="00B95E4C">
        <w:t>many</w:t>
      </w:r>
      <w:r>
        <w:t xml:space="preserve"> of the same features identified by WOfS </w:t>
      </w:r>
      <w:r w:rsidR="00B95E4C">
        <w:t xml:space="preserve">values </w:t>
      </w:r>
      <w:r w:rsidR="00CD0984">
        <w:t>&gt;10%</w:t>
      </w:r>
      <w:r w:rsidR="00B95E4C">
        <w:t xml:space="preserve"> </w:t>
      </w:r>
      <w:r>
        <w:t xml:space="preserve">in Section </w:t>
      </w:r>
      <w:r>
        <w:fldChar w:fldCharType="begin"/>
      </w:r>
      <w:r>
        <w:instrText xml:space="preserve"> REF _Ref5782024 \r \h </w:instrText>
      </w:r>
      <w:r>
        <w:fldChar w:fldCharType="separate"/>
      </w:r>
      <w:r w:rsidR="00B177F5">
        <w:t>3.4.5.1</w:t>
      </w:r>
      <w:r>
        <w:fldChar w:fldCharType="end"/>
      </w:r>
      <w:r>
        <w:t xml:space="preserve">. </w:t>
      </w:r>
      <w:r w:rsidR="00B95E4C">
        <w:t>T</w:t>
      </w:r>
      <w:r>
        <w:t>he lighter</w:t>
      </w:r>
      <w:r w:rsidR="002B0D77">
        <w:t xml:space="preserve"> </w:t>
      </w:r>
      <w:r>
        <w:t xml:space="preserve">coloured </w:t>
      </w:r>
      <w:r w:rsidR="00B95E4C">
        <w:t xml:space="preserve">(less wet) </w:t>
      </w:r>
      <w:r w:rsidR="00F71095">
        <w:t xml:space="preserve">TCW </w:t>
      </w:r>
      <w:r>
        <w:t>areas</w:t>
      </w:r>
      <w:r w:rsidR="00B95E4C">
        <w:t xml:space="preserve"> across the broader region</w:t>
      </w:r>
      <w:r w:rsidR="00CD0984">
        <w:t xml:space="preserve"> on </w:t>
      </w:r>
      <w:r w:rsidR="00CD0984">
        <w:fldChar w:fldCharType="begin"/>
      </w:r>
      <w:r w:rsidR="00CD0984">
        <w:instrText xml:space="preserve"> REF _Ref5784559 \h </w:instrText>
      </w:r>
      <w:r w:rsidR="00CD0984">
        <w:fldChar w:fldCharType="separate"/>
      </w:r>
      <w:r w:rsidR="00B177F5">
        <w:t xml:space="preserve">Figure </w:t>
      </w:r>
      <w:r w:rsidR="00B177F5">
        <w:rPr>
          <w:noProof/>
        </w:rPr>
        <w:t>42</w:t>
      </w:r>
      <w:r w:rsidR="00CD0984">
        <w:fldChar w:fldCharType="end"/>
      </w:r>
      <w:r w:rsidR="00B95E4C">
        <w:t xml:space="preserve"> appear to relate to wet vegetation, having values &lt;</w:t>
      </w:r>
      <w:r w:rsidR="002B0D77">
        <w:t>–</w:t>
      </w:r>
      <w:r w:rsidR="00B95E4C">
        <w:t xml:space="preserve">600. </w:t>
      </w:r>
      <w:r w:rsidR="00BE26F6">
        <w:t>The results can be analysed in detail at individual locations in future research phases.</w:t>
      </w:r>
      <w:r w:rsidR="00B95E4C">
        <w:t xml:space="preserve"> </w:t>
      </w:r>
    </w:p>
    <w:p w14:paraId="65D6BC39" w14:textId="12CFEAFB" w:rsidR="000577F5" w:rsidRPr="000577F5" w:rsidRDefault="00833220" w:rsidP="00D40B76">
      <w:pPr>
        <w:pStyle w:val="Figures"/>
      </w:pPr>
      <w:r>
        <w:rPr>
          <w:noProof/>
        </w:rPr>
        <w:drawing>
          <wp:inline distT="0" distB="0" distL="0" distR="0" wp14:anchorId="3285F9BE" wp14:editId="2502677F">
            <wp:extent cx="6115050" cy="6372225"/>
            <wp:effectExtent l="0" t="0" r="0" b="9525"/>
            <wp:docPr id="993207443" name="Picture 27" descr="T:\proj\ba2\Stage2\3_Beetaloo\MapsAndFigures\Figures\GBA-BEE-2-128_Tasselled_Cap_90thPercent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pic:nvPicPr>
                  <pic:blipFill>
                    <a:blip r:embed="rId104">
                      <a:extLst>
                        <a:ext uri="{28A0092B-C50C-407E-A947-70E740481C1C}">
                          <a14:useLocalDpi xmlns:a14="http://schemas.microsoft.com/office/drawing/2010/main" val="0"/>
                        </a:ext>
                      </a:extLst>
                    </a:blip>
                    <a:stretch>
                      <a:fillRect/>
                    </a:stretch>
                  </pic:blipFill>
                  <pic:spPr>
                    <a:xfrm>
                      <a:off x="0" y="0"/>
                      <a:ext cx="6115050" cy="6372225"/>
                    </a:xfrm>
                    <a:prstGeom prst="rect">
                      <a:avLst/>
                    </a:prstGeom>
                  </pic:spPr>
                </pic:pic>
              </a:graphicData>
            </a:graphic>
          </wp:inline>
        </w:drawing>
      </w:r>
    </w:p>
    <w:p w14:paraId="650EF21F" w14:textId="51867419" w:rsidR="005674BA" w:rsidRDefault="005674BA" w:rsidP="50BA1442">
      <w:pPr>
        <w:pStyle w:val="Caption"/>
        <w:rPr>
          <w:noProof/>
        </w:rPr>
      </w:pPr>
      <w:bookmarkStart w:id="854" w:name="_Ref5784559"/>
      <w:bookmarkStart w:id="855" w:name="_Toc5808345"/>
      <w:bookmarkStart w:id="856" w:name="_Toc5895037"/>
      <w:bookmarkStart w:id="857" w:name="_Toc6308926"/>
      <w:bookmarkStart w:id="858" w:name="_Toc6327590"/>
      <w:bookmarkStart w:id="859" w:name="_Toc38990496"/>
      <w:r>
        <w:t xml:space="preserve">Figure </w:t>
      </w:r>
      <w:r w:rsidRPr="003E1F1E">
        <w:fldChar w:fldCharType="begin"/>
      </w:r>
      <w:r>
        <w:rPr>
          <w:noProof/>
        </w:rPr>
        <w:instrText xml:space="preserve"> SEQ Figure \* ARABIC </w:instrText>
      </w:r>
      <w:r w:rsidRPr="003E1F1E">
        <w:rPr>
          <w:noProof/>
        </w:rPr>
        <w:fldChar w:fldCharType="separate"/>
      </w:r>
      <w:r w:rsidR="00B177F5">
        <w:rPr>
          <w:noProof/>
        </w:rPr>
        <w:t>42</w:t>
      </w:r>
      <w:r w:rsidRPr="003E1F1E">
        <w:fldChar w:fldCharType="end"/>
      </w:r>
      <w:bookmarkEnd w:id="854"/>
      <w:r>
        <w:rPr>
          <w:noProof/>
        </w:rPr>
        <w:t xml:space="preserve"> 90</w:t>
      </w:r>
      <w:r w:rsidRPr="003E1F1E">
        <w:t>th</w:t>
      </w:r>
      <w:r>
        <w:rPr>
          <w:noProof/>
        </w:rPr>
        <w:t xml:space="preserve"> percentile </w:t>
      </w:r>
      <w:r w:rsidR="00F55142">
        <w:rPr>
          <w:noProof/>
        </w:rPr>
        <w:t>Tassell</w:t>
      </w:r>
      <w:r>
        <w:rPr>
          <w:noProof/>
        </w:rPr>
        <w:t xml:space="preserve">ed Cap Wetness (TCW) for </w:t>
      </w:r>
      <w:r w:rsidR="005D41DF">
        <w:rPr>
          <w:noProof/>
        </w:rPr>
        <w:t xml:space="preserve">the </w:t>
      </w:r>
      <w:r>
        <w:rPr>
          <w:noProof/>
        </w:rPr>
        <w:t>Beetaloo GBA region</w:t>
      </w:r>
      <w:bookmarkEnd w:id="855"/>
      <w:bookmarkEnd w:id="856"/>
      <w:bookmarkEnd w:id="857"/>
      <w:bookmarkEnd w:id="858"/>
      <w:bookmarkEnd w:id="859"/>
      <w:r>
        <w:rPr>
          <w:noProof/>
        </w:rPr>
        <w:t xml:space="preserve"> </w:t>
      </w:r>
    </w:p>
    <w:p w14:paraId="26546E8D" w14:textId="4B97ED1A" w:rsidR="00416993" w:rsidRDefault="004A2B21" w:rsidP="009348BB">
      <w:pPr>
        <w:pStyle w:val="SourceornoteforTableorFigure"/>
      </w:pPr>
      <w:r w:rsidRPr="00A61A49">
        <w:t xml:space="preserve">Data: </w:t>
      </w:r>
      <w:r w:rsidR="00032BE9">
        <w:t xml:space="preserve">TCW image </w:t>
      </w:r>
      <w:r w:rsidR="00032BE9">
        <w:fldChar w:fldCharType="begin"/>
      </w:r>
      <w:r w:rsidR="008F30E0">
        <w:instrText xml:space="preserve"> ADDIN EN.CITE &lt;EndNote&gt;&lt;Cite&gt;&lt;Author&gt;Geological and Bioregional Assessment Program&lt;/Author&gt;&lt;Year&gt;2019&lt;/Year&gt;&lt;RecNum&gt;1366&lt;/RecNum&gt;&lt;DisplayText&gt;(Geological and Bioregional Assessment Program, 2019c)&lt;/DisplayText&gt;&lt;record&gt;&lt;rec-number&gt;1366&lt;/rec-number&gt;&lt;foreign-keys&gt;&lt;key app="EN" db-id="wdf9tzzdhw2saee559kv0vezt0wfsta0zedv" timestamp="1574895995"&gt;1366&lt;/key&gt;&lt;/foreign-keys&gt;&lt;ref-type name="Dataset"&gt;59&lt;/ref-type&gt;&lt;contributors&gt;&lt;authors&gt;&lt;author&gt;Geological and Bioregional Assessment Program,&lt;/author&gt;&lt;/authors&gt;&lt;secondary-authors&gt;&lt;author&gt;Geoscience Australia&lt;/author&gt;&lt;/secondary-authors&gt;&lt;/contributors&gt;&lt;titles&gt;&lt;title&gt;Tasseled Cap Index wetness Index - Beetaloo GBA region&lt;/title&gt;&lt;/titles&gt;&lt;dates&gt;&lt;year&gt;2019&lt;/year&gt;&lt;/dates&gt;&lt;pub-location&gt;Canberra&lt;/pub-location&gt;&lt;label&gt;FE2AAF5B-9204-4771-998E-9F002FEDE3BA&lt;/label&gt;&lt;urls&gt;&lt;related-urls&gt;&lt;url&gt;https://repo.bioregionalassessments.gov.au/metadata/FE2AAF5B-9204-4771-998E-9F002FEDE3BA&lt;/url&gt;&lt;/related-urls&gt;&lt;/urls&gt;&lt;access-date&gt;19 April 2019&lt;/access-date&gt;&lt;/record&gt;&lt;/Cite&gt;&lt;/EndNote&gt;</w:instrText>
      </w:r>
      <w:r w:rsidR="00032BE9">
        <w:fldChar w:fldCharType="separate"/>
      </w:r>
      <w:r w:rsidR="008F30E0">
        <w:rPr>
          <w:noProof/>
        </w:rPr>
        <w:t>(Geological and Bioregional Assessment Program, 2019c)</w:t>
      </w:r>
      <w:r w:rsidR="00032BE9">
        <w:fldChar w:fldCharType="end"/>
      </w:r>
      <w:r w:rsidR="00BA1995">
        <w:br/>
      </w:r>
      <w:r w:rsidRPr="00B77B6D">
        <w:t>Element: GBA-</w:t>
      </w:r>
      <w:r>
        <w:t>BEE</w:t>
      </w:r>
      <w:r w:rsidRPr="00B77B6D">
        <w:t>-2-</w:t>
      </w:r>
      <w:r>
        <w:t>128</w:t>
      </w:r>
      <w:r w:rsidR="00416993">
        <w:br w:type="page"/>
      </w:r>
    </w:p>
    <w:p w14:paraId="1E6FEBC5" w14:textId="77777777" w:rsidR="00390580" w:rsidRDefault="00390580" w:rsidP="00416993">
      <w:pPr>
        <w:pStyle w:val="BodyText"/>
      </w:pPr>
    </w:p>
    <w:p w14:paraId="3A3746FD" w14:textId="77777777" w:rsidR="00542626" w:rsidRDefault="00542626" w:rsidP="00416993">
      <w:pPr>
        <w:pStyle w:val="BodyText"/>
      </w:pPr>
    </w:p>
    <w:p w14:paraId="668DE248" w14:textId="3D5B16F7" w:rsidR="0049002A" w:rsidRDefault="00863DA9" w:rsidP="00C761B1">
      <w:pPr>
        <w:pStyle w:val="Heading2"/>
        <w:numPr>
          <w:ilvl w:val="0"/>
          <w:numId w:val="12"/>
        </w:numPr>
      </w:pPr>
      <w:bookmarkStart w:id="860" w:name="_Toc38990445"/>
      <w:r>
        <w:t>Potential hydrological connections</w:t>
      </w:r>
      <w:bookmarkEnd w:id="860"/>
    </w:p>
    <w:p w14:paraId="24EAA9B8" w14:textId="55DF44CF" w:rsidR="00DC55AA" w:rsidRPr="00D97D44" w:rsidRDefault="409708BF" w:rsidP="409708BF">
      <w:pPr>
        <w:pStyle w:val="Summarystage2"/>
        <w:jc w:val="both"/>
        <w:rPr>
          <w:rFonts w:asciiTheme="minorHAnsi" w:hAnsiTheme="minorHAnsi" w:cstheme="minorBidi"/>
        </w:rPr>
      </w:pPr>
      <w:r w:rsidRPr="409708BF">
        <w:rPr>
          <w:rFonts w:asciiTheme="minorHAnsi" w:hAnsiTheme="minorHAnsi" w:cstheme="minorBidi"/>
        </w:rPr>
        <w:t>For groundwater, five potential connective pathways</w:t>
      </w:r>
      <w:r w:rsidR="00B0017C">
        <w:rPr>
          <w:rFonts w:asciiTheme="minorHAnsi" w:hAnsiTheme="minorHAnsi" w:cstheme="minorBidi"/>
        </w:rPr>
        <w:t xml:space="preserve"> </w:t>
      </w:r>
      <w:r w:rsidR="00B37A08">
        <w:rPr>
          <w:rFonts w:asciiTheme="minorHAnsi" w:hAnsiTheme="minorHAnsi" w:cstheme="minorBidi"/>
        </w:rPr>
        <w:t>between hydrogeological systems</w:t>
      </w:r>
      <w:r w:rsidRPr="409708BF">
        <w:rPr>
          <w:rFonts w:asciiTheme="minorHAnsi" w:hAnsiTheme="minorHAnsi" w:cstheme="minorBidi"/>
        </w:rPr>
        <w:t xml:space="preserve"> </w:t>
      </w:r>
      <w:r w:rsidR="00110275">
        <w:rPr>
          <w:rFonts w:asciiTheme="minorHAnsi" w:hAnsiTheme="minorHAnsi" w:cstheme="minorBidi"/>
        </w:rPr>
        <w:t>could</w:t>
      </w:r>
      <w:r w:rsidRPr="409708BF">
        <w:rPr>
          <w:rFonts w:asciiTheme="minorHAnsi" w:hAnsiTheme="minorHAnsi" w:cstheme="minorBidi"/>
        </w:rPr>
        <w:t xml:space="preserve"> occur in the Beetaloo GBA region. These are: </w:t>
      </w:r>
    </w:p>
    <w:p w14:paraId="597DB223" w14:textId="3D9012E6" w:rsidR="00DC55AA" w:rsidRPr="00D97D44" w:rsidRDefault="092B7509" w:rsidP="092B7509">
      <w:pPr>
        <w:pStyle w:val="Summarystage2"/>
        <w:jc w:val="both"/>
        <w:rPr>
          <w:rFonts w:asciiTheme="minorHAnsi" w:hAnsiTheme="minorHAnsi" w:cstheme="minorBidi"/>
        </w:rPr>
      </w:pPr>
      <w:r w:rsidRPr="092B7509">
        <w:rPr>
          <w:rFonts w:asciiTheme="minorHAnsi" w:hAnsiTheme="minorHAnsi" w:cstheme="minorBidi"/>
        </w:rPr>
        <w:t xml:space="preserve">1. </w:t>
      </w:r>
      <w:r w:rsidR="00B80F6F">
        <w:rPr>
          <w:rFonts w:asciiTheme="minorHAnsi" w:hAnsiTheme="minorHAnsi" w:cstheme="minorBidi"/>
        </w:rPr>
        <w:t xml:space="preserve">via </w:t>
      </w:r>
      <w:r w:rsidRPr="092B7509">
        <w:rPr>
          <w:rFonts w:asciiTheme="minorHAnsi" w:hAnsiTheme="minorHAnsi" w:cstheme="minorBidi"/>
        </w:rPr>
        <w:t>direct stratigraphic contact</w:t>
      </w:r>
    </w:p>
    <w:p w14:paraId="4627CEB1" w14:textId="7B9264C2" w:rsidR="00DC55AA" w:rsidRPr="00D97D44" w:rsidRDefault="006E235C" w:rsidP="00DC55AA">
      <w:pPr>
        <w:pStyle w:val="Summarystage2"/>
        <w:jc w:val="both"/>
        <w:rPr>
          <w:rFonts w:asciiTheme="minorHAnsi" w:hAnsiTheme="minorHAnsi" w:cstheme="minorHAnsi"/>
        </w:rPr>
      </w:pPr>
      <w:r>
        <w:rPr>
          <w:rFonts w:asciiTheme="minorHAnsi" w:hAnsiTheme="minorHAnsi" w:cstheme="minorHAnsi"/>
        </w:rPr>
        <w:t>2.</w:t>
      </w:r>
      <w:r w:rsidR="00DC55AA" w:rsidRPr="00D97D44">
        <w:rPr>
          <w:rFonts w:asciiTheme="minorHAnsi" w:hAnsiTheme="minorHAnsi" w:cstheme="minorHAnsi"/>
        </w:rPr>
        <w:t xml:space="preserve"> </w:t>
      </w:r>
      <w:r w:rsidR="00B80F6F">
        <w:rPr>
          <w:rFonts w:asciiTheme="minorHAnsi" w:hAnsiTheme="minorHAnsi" w:cstheme="minorHAnsi"/>
        </w:rPr>
        <w:t xml:space="preserve">via </w:t>
      </w:r>
      <w:r w:rsidR="00DC55AA" w:rsidRPr="00D97D44">
        <w:rPr>
          <w:rFonts w:asciiTheme="minorHAnsi" w:hAnsiTheme="minorHAnsi" w:cstheme="minorHAnsi"/>
        </w:rPr>
        <w:t>faults</w:t>
      </w:r>
    </w:p>
    <w:p w14:paraId="00313E50" w14:textId="684D5B0D" w:rsidR="00DC55AA" w:rsidRPr="00D97D44" w:rsidRDefault="006E235C" w:rsidP="00DC55AA">
      <w:pPr>
        <w:pStyle w:val="Summarystage2"/>
        <w:jc w:val="both"/>
        <w:rPr>
          <w:rFonts w:asciiTheme="minorHAnsi" w:hAnsiTheme="minorHAnsi" w:cstheme="minorHAnsi"/>
        </w:rPr>
      </w:pPr>
      <w:r>
        <w:rPr>
          <w:rFonts w:asciiTheme="minorHAnsi" w:hAnsiTheme="minorHAnsi" w:cstheme="minorHAnsi"/>
        </w:rPr>
        <w:t xml:space="preserve">3. </w:t>
      </w:r>
      <w:r w:rsidR="00DC55AA" w:rsidRPr="00D97D44">
        <w:rPr>
          <w:rFonts w:asciiTheme="minorHAnsi" w:hAnsiTheme="minorHAnsi" w:cstheme="minorHAnsi"/>
        </w:rPr>
        <w:t>through porous/karst aquifers</w:t>
      </w:r>
    </w:p>
    <w:p w14:paraId="7C3026A6" w14:textId="06B57EF0" w:rsidR="00DC55AA" w:rsidRPr="00D97D44" w:rsidRDefault="00DC55AA" w:rsidP="00DC55AA">
      <w:pPr>
        <w:pStyle w:val="Summarystage2"/>
        <w:jc w:val="both"/>
        <w:rPr>
          <w:rFonts w:asciiTheme="minorHAnsi" w:hAnsiTheme="minorHAnsi" w:cstheme="minorHAnsi"/>
        </w:rPr>
      </w:pPr>
      <w:r w:rsidRPr="00D97D44">
        <w:rPr>
          <w:rFonts w:asciiTheme="minorHAnsi" w:hAnsiTheme="minorHAnsi" w:cstheme="minorHAnsi"/>
        </w:rPr>
        <w:t xml:space="preserve">4 through partial aquifers/aquitards </w:t>
      </w:r>
      <w:r w:rsidR="00B80F6F">
        <w:rPr>
          <w:rFonts w:asciiTheme="minorHAnsi" w:hAnsiTheme="minorHAnsi" w:cstheme="minorHAnsi"/>
        </w:rPr>
        <w:t>reaching overlying aquifers</w:t>
      </w:r>
    </w:p>
    <w:p w14:paraId="5E47B939" w14:textId="7F602965" w:rsidR="00DC55AA" w:rsidRPr="00D97D44" w:rsidRDefault="00DC55AA" w:rsidP="00DC55AA">
      <w:pPr>
        <w:pStyle w:val="Summarystage2"/>
        <w:jc w:val="both"/>
        <w:rPr>
          <w:rFonts w:asciiTheme="minorHAnsi" w:hAnsiTheme="minorHAnsi" w:cstheme="minorHAnsi"/>
        </w:rPr>
      </w:pPr>
      <w:r w:rsidRPr="00D97D44">
        <w:rPr>
          <w:rFonts w:asciiTheme="minorHAnsi" w:hAnsiTheme="minorHAnsi" w:cstheme="minorHAnsi"/>
        </w:rPr>
        <w:t>5.</w:t>
      </w:r>
      <w:r w:rsidR="00B80F6F">
        <w:rPr>
          <w:rFonts w:asciiTheme="minorHAnsi" w:hAnsiTheme="minorHAnsi" w:cstheme="minorHAnsi"/>
        </w:rPr>
        <w:t xml:space="preserve"> via groundwater discharge from CLA aquifer to springs</w:t>
      </w:r>
      <w:r w:rsidRPr="00D97D44">
        <w:rPr>
          <w:rFonts w:asciiTheme="minorHAnsi" w:hAnsiTheme="minorHAnsi" w:cstheme="minorHAnsi"/>
        </w:rPr>
        <w:t>.</w:t>
      </w:r>
    </w:p>
    <w:p w14:paraId="485D2335" w14:textId="0F4D5CE9" w:rsidR="00DC55AA" w:rsidRPr="00D97D44" w:rsidRDefault="409708BF" w:rsidP="409708BF">
      <w:pPr>
        <w:pStyle w:val="Summarystage2"/>
        <w:jc w:val="both"/>
        <w:rPr>
          <w:rFonts w:asciiTheme="minorHAnsi" w:hAnsiTheme="minorHAnsi" w:cstheme="minorBidi"/>
        </w:rPr>
      </w:pPr>
      <w:r w:rsidRPr="409708BF">
        <w:rPr>
          <w:rFonts w:asciiTheme="minorHAnsi" w:hAnsiTheme="minorHAnsi" w:cstheme="minorBidi"/>
        </w:rPr>
        <w:t xml:space="preserve">Some of these pathways </w:t>
      </w:r>
      <w:r w:rsidR="00110275" w:rsidRPr="00110275">
        <w:rPr>
          <w:rFonts w:asciiTheme="minorHAnsi" w:hAnsiTheme="minorHAnsi" w:cstheme="minorBidi"/>
        </w:rPr>
        <w:t>can provide connectivity between shallow aquifers (such as the CLA) and environmental assets such as springs. Various combinations of these pathways would influence how and to what degree, a hazard (e.g. a spill, drawdown) may impact upon a hydrogeological-related asset (such as an aquifer or spring).</w:t>
      </w:r>
      <w:r w:rsidR="00110275">
        <w:rPr>
          <w:rFonts w:asciiTheme="minorHAnsi" w:hAnsiTheme="minorHAnsi" w:cstheme="minorBidi"/>
        </w:rPr>
        <w:t xml:space="preserve"> Others </w:t>
      </w:r>
      <w:r w:rsidR="00C75E6C">
        <w:rPr>
          <w:rFonts w:asciiTheme="minorHAnsi" w:hAnsiTheme="minorHAnsi" w:cstheme="minorBidi"/>
        </w:rPr>
        <w:t>could</w:t>
      </w:r>
      <w:r w:rsidRPr="409708BF">
        <w:rPr>
          <w:rFonts w:asciiTheme="minorHAnsi" w:hAnsiTheme="minorHAnsi" w:cstheme="minorBidi"/>
        </w:rPr>
        <w:t xml:space="preserve"> </w:t>
      </w:r>
      <w:r w:rsidR="00110275">
        <w:rPr>
          <w:rFonts w:asciiTheme="minorHAnsi" w:hAnsiTheme="minorHAnsi" w:cstheme="minorBidi"/>
        </w:rPr>
        <w:t xml:space="preserve">result in </w:t>
      </w:r>
      <w:r w:rsidRPr="409708BF">
        <w:rPr>
          <w:rFonts w:asciiTheme="minorHAnsi" w:hAnsiTheme="minorHAnsi" w:cstheme="minorBidi"/>
        </w:rPr>
        <w:t xml:space="preserve">connectivity between the deeply buried </w:t>
      </w:r>
      <w:r w:rsidR="0069000D">
        <w:rPr>
          <w:rFonts w:asciiTheme="minorHAnsi" w:hAnsiTheme="minorHAnsi" w:cstheme="minorBidi"/>
        </w:rPr>
        <w:t>Maiwok Sub</w:t>
      </w:r>
      <w:r w:rsidR="007A14EA">
        <w:rPr>
          <w:rFonts w:asciiTheme="minorHAnsi" w:hAnsiTheme="minorHAnsi" w:cstheme="minorBidi"/>
        </w:rPr>
        <w:t xml:space="preserve">group (part of the </w:t>
      </w:r>
      <w:r w:rsidRPr="409708BF">
        <w:rPr>
          <w:rFonts w:asciiTheme="minorHAnsi" w:hAnsiTheme="minorHAnsi" w:cstheme="minorBidi"/>
        </w:rPr>
        <w:t xml:space="preserve">Roper Group </w:t>
      </w:r>
      <w:r w:rsidR="007A14EA">
        <w:rPr>
          <w:rFonts w:asciiTheme="minorHAnsi" w:hAnsiTheme="minorHAnsi" w:cstheme="minorBidi"/>
        </w:rPr>
        <w:t xml:space="preserve">and </w:t>
      </w:r>
      <w:r w:rsidRPr="409708BF">
        <w:rPr>
          <w:rFonts w:asciiTheme="minorHAnsi" w:hAnsiTheme="minorHAnsi" w:cstheme="minorBidi"/>
        </w:rPr>
        <w:t xml:space="preserve">the primary target for </w:t>
      </w:r>
      <w:r w:rsidR="00EE7961" w:rsidRPr="00EE7961">
        <w:rPr>
          <w:rFonts w:asciiTheme="minorHAnsi" w:hAnsiTheme="minorHAnsi" w:cstheme="minorBidi"/>
        </w:rPr>
        <w:t>shale gas, tight gas and shale oil</w:t>
      </w:r>
      <w:r w:rsidRPr="409708BF">
        <w:rPr>
          <w:rFonts w:asciiTheme="minorHAnsi" w:hAnsiTheme="minorHAnsi" w:cstheme="minorBidi"/>
        </w:rPr>
        <w:t xml:space="preserve"> exploration) and shallower aquifers. </w:t>
      </w:r>
    </w:p>
    <w:p w14:paraId="4B71890D" w14:textId="3A0D1337" w:rsidR="00DC55AA" w:rsidRPr="00D97D44" w:rsidRDefault="007A14EA" w:rsidP="092B7509">
      <w:pPr>
        <w:pStyle w:val="Summarystage2"/>
        <w:jc w:val="both"/>
        <w:rPr>
          <w:rFonts w:asciiTheme="minorHAnsi" w:hAnsiTheme="minorHAnsi" w:cstheme="minorBidi"/>
        </w:rPr>
      </w:pPr>
      <w:r>
        <w:rPr>
          <w:rFonts w:asciiTheme="minorHAnsi" w:hAnsiTheme="minorHAnsi" w:cstheme="minorBidi"/>
        </w:rPr>
        <w:t>While these f</w:t>
      </w:r>
      <w:r w:rsidR="092B7509" w:rsidRPr="092B7509">
        <w:rPr>
          <w:rFonts w:asciiTheme="minorHAnsi" w:hAnsiTheme="minorHAnsi" w:cstheme="minorBidi"/>
        </w:rPr>
        <w:t xml:space="preserve">ive potential hydrological connections are currently considered </w:t>
      </w:r>
      <w:r>
        <w:rPr>
          <w:rFonts w:asciiTheme="minorHAnsi" w:hAnsiTheme="minorHAnsi" w:cstheme="minorBidi"/>
        </w:rPr>
        <w:t>possi</w:t>
      </w:r>
      <w:r w:rsidR="092B7509" w:rsidRPr="092B7509">
        <w:rPr>
          <w:rFonts w:asciiTheme="minorHAnsi" w:hAnsiTheme="minorHAnsi" w:cstheme="minorBidi"/>
        </w:rPr>
        <w:t>ble based on the existing data</w:t>
      </w:r>
      <w:r w:rsidR="00B10B7F">
        <w:rPr>
          <w:rFonts w:asciiTheme="minorHAnsi" w:hAnsiTheme="minorHAnsi" w:cstheme="minorBidi"/>
        </w:rPr>
        <w:t>,</w:t>
      </w:r>
      <w:r w:rsidR="092B7509" w:rsidRPr="092B7509">
        <w:rPr>
          <w:rFonts w:asciiTheme="minorHAnsi" w:hAnsiTheme="minorHAnsi" w:cstheme="minorBidi"/>
        </w:rPr>
        <w:t xml:space="preserve"> it is important to note that further data collection</w:t>
      </w:r>
      <w:r w:rsidR="006A60C9">
        <w:rPr>
          <w:rFonts w:asciiTheme="minorHAnsi" w:hAnsiTheme="minorHAnsi" w:cstheme="minorBidi"/>
        </w:rPr>
        <w:t>,</w:t>
      </w:r>
      <w:r w:rsidR="092B7509" w:rsidRPr="092B7509">
        <w:rPr>
          <w:rFonts w:asciiTheme="minorHAnsi" w:hAnsiTheme="minorHAnsi" w:cstheme="minorBidi"/>
        </w:rPr>
        <w:t xml:space="preserve"> modelling </w:t>
      </w:r>
      <w:r w:rsidR="006A60C9">
        <w:rPr>
          <w:rFonts w:asciiTheme="minorHAnsi" w:hAnsiTheme="minorHAnsi" w:cstheme="minorBidi"/>
        </w:rPr>
        <w:t xml:space="preserve">and assessment is being </w:t>
      </w:r>
      <w:r w:rsidR="092B7509" w:rsidRPr="092B7509">
        <w:rPr>
          <w:rFonts w:asciiTheme="minorHAnsi" w:hAnsiTheme="minorHAnsi" w:cstheme="minorBidi"/>
        </w:rPr>
        <w:t xml:space="preserve">conducted as part of Stage 3 of the GBA </w:t>
      </w:r>
      <w:r w:rsidR="005502EC">
        <w:rPr>
          <w:rFonts w:asciiTheme="minorHAnsi" w:hAnsiTheme="minorHAnsi" w:cstheme="minorBidi"/>
        </w:rPr>
        <w:t>P</w:t>
      </w:r>
      <w:r w:rsidR="002F456E">
        <w:rPr>
          <w:rFonts w:asciiTheme="minorHAnsi" w:hAnsiTheme="minorHAnsi" w:cstheme="minorBidi"/>
        </w:rPr>
        <w:t>rogram</w:t>
      </w:r>
      <w:r w:rsidR="006A60C9">
        <w:rPr>
          <w:rFonts w:asciiTheme="minorHAnsi" w:hAnsiTheme="minorHAnsi" w:cstheme="minorBidi"/>
        </w:rPr>
        <w:t>. These further assessments</w:t>
      </w:r>
      <w:r w:rsidR="092B7509" w:rsidRPr="092B7509">
        <w:rPr>
          <w:rFonts w:asciiTheme="minorHAnsi" w:hAnsiTheme="minorHAnsi" w:cstheme="minorBidi"/>
        </w:rPr>
        <w:t xml:space="preserve"> may allow some of these pathways to be disc</w:t>
      </w:r>
      <w:r w:rsidR="002F456E">
        <w:rPr>
          <w:rFonts w:asciiTheme="minorHAnsi" w:hAnsiTheme="minorHAnsi" w:cstheme="minorBidi"/>
        </w:rPr>
        <w:t>ounted</w:t>
      </w:r>
      <w:r w:rsidR="092B7509" w:rsidRPr="092B7509">
        <w:rPr>
          <w:rFonts w:asciiTheme="minorHAnsi" w:hAnsiTheme="minorHAnsi" w:cstheme="minorBidi"/>
        </w:rPr>
        <w:t xml:space="preserve"> as plausible pathways for impact, if the</w:t>
      </w:r>
      <w:r w:rsidR="006A60C9">
        <w:rPr>
          <w:rFonts w:asciiTheme="minorHAnsi" w:hAnsiTheme="minorHAnsi" w:cstheme="minorBidi"/>
        </w:rPr>
        <w:t>y</w:t>
      </w:r>
      <w:r w:rsidR="092B7509" w:rsidRPr="092B7509">
        <w:rPr>
          <w:rFonts w:asciiTheme="minorHAnsi" w:hAnsiTheme="minorHAnsi" w:cstheme="minorBidi"/>
        </w:rPr>
        <w:t xml:space="preserve"> indicate that activities conducted as part of unconventional shale gas development </w:t>
      </w:r>
      <w:r w:rsidR="006A60C9">
        <w:rPr>
          <w:rFonts w:asciiTheme="minorHAnsi" w:hAnsiTheme="minorHAnsi" w:cstheme="minorBidi"/>
        </w:rPr>
        <w:t>are</w:t>
      </w:r>
      <w:r w:rsidR="092B7509" w:rsidRPr="092B7509">
        <w:rPr>
          <w:rFonts w:asciiTheme="minorHAnsi" w:hAnsiTheme="minorHAnsi" w:cstheme="minorBidi"/>
        </w:rPr>
        <w:t xml:space="preserve"> unlikely to result in impacts on environmental assets. </w:t>
      </w:r>
    </w:p>
    <w:p w14:paraId="00999ECC" w14:textId="47ABED2D" w:rsidR="00DC55AA" w:rsidRDefault="0C49B279" w:rsidP="0C49B279">
      <w:pPr>
        <w:pStyle w:val="Summarystage2"/>
        <w:jc w:val="both"/>
        <w:rPr>
          <w:rFonts w:asciiTheme="minorHAnsi" w:hAnsiTheme="minorHAnsi" w:cstheme="minorBidi"/>
        </w:rPr>
      </w:pPr>
      <w:r w:rsidRPr="00647CCA">
        <w:rPr>
          <w:rFonts w:asciiTheme="minorHAnsi" w:hAnsiTheme="minorHAnsi" w:cstheme="minorBidi"/>
        </w:rPr>
        <w:t>Based on the limited available baseline data for deeper formations, hydrochemistry and dissolved gas concentrations provide evidence o</w:t>
      </w:r>
      <w:r w:rsidR="00C75E6C" w:rsidRPr="00647CCA">
        <w:rPr>
          <w:rFonts w:asciiTheme="minorHAnsi" w:hAnsiTheme="minorHAnsi" w:cstheme="minorBidi"/>
        </w:rPr>
        <w:t>f</w:t>
      </w:r>
      <w:r w:rsidRPr="00647CCA">
        <w:rPr>
          <w:rFonts w:asciiTheme="minorHAnsi" w:hAnsiTheme="minorHAnsi" w:cstheme="minorBidi"/>
        </w:rPr>
        <w:t xml:space="preserve"> </w:t>
      </w:r>
      <w:r w:rsidR="002664E4" w:rsidRPr="00647CCA">
        <w:rPr>
          <w:rFonts w:asciiTheme="minorHAnsi" w:hAnsiTheme="minorHAnsi" w:cstheme="minorBidi"/>
        </w:rPr>
        <w:t xml:space="preserve">potential </w:t>
      </w:r>
      <w:r w:rsidRPr="00647CCA">
        <w:rPr>
          <w:rFonts w:asciiTheme="minorHAnsi" w:hAnsiTheme="minorHAnsi" w:cstheme="minorBidi"/>
        </w:rPr>
        <w:t>connectivity between the different hydrogeological system components</w:t>
      </w:r>
      <w:r w:rsidR="00647CCA" w:rsidRPr="00647CCA">
        <w:rPr>
          <w:rFonts w:asciiTheme="minorHAnsi" w:hAnsiTheme="minorHAnsi" w:cstheme="minorBidi"/>
        </w:rPr>
        <w:t xml:space="preserve"> in some locations</w:t>
      </w:r>
      <w:r w:rsidRPr="00647CCA">
        <w:rPr>
          <w:rFonts w:asciiTheme="minorHAnsi" w:hAnsiTheme="minorHAnsi" w:cstheme="minorBidi"/>
        </w:rPr>
        <w:t>.</w:t>
      </w:r>
      <w:r w:rsidRPr="0C49B279">
        <w:rPr>
          <w:rFonts w:asciiTheme="minorHAnsi" w:hAnsiTheme="minorHAnsi" w:cstheme="minorBidi"/>
        </w:rPr>
        <w:t xml:space="preserve"> </w:t>
      </w:r>
      <w:r w:rsidR="008603AE">
        <w:rPr>
          <w:rFonts w:asciiTheme="minorHAnsi" w:hAnsiTheme="minorHAnsi" w:cstheme="minorBidi"/>
        </w:rPr>
        <w:t>T</w:t>
      </w:r>
      <w:r w:rsidRPr="0C49B279">
        <w:rPr>
          <w:rFonts w:asciiTheme="minorHAnsi" w:hAnsiTheme="minorHAnsi" w:cstheme="minorBidi"/>
        </w:rPr>
        <w:t xml:space="preserve">he assessment highlights that considerable data and knowledge gaps exist. In particular, the absence of nested groundwater observation bore sites where multiple aquifers are monitored simultaneously means that there is currently insufficient evidence to rule in or out some pathways. This section outlines some of the key knowledge gaps and hypotheses that will be tested as part of Stage 3 of the Beetaloo GBA or may be considered in future studies to determine the likelihood of identified pathways from stressors to assets. </w:t>
      </w:r>
    </w:p>
    <w:p w14:paraId="3E4A6F75" w14:textId="21B71EC5" w:rsidR="00CB03A1" w:rsidRPr="00D97D44" w:rsidRDefault="00CB03A1" w:rsidP="0C49B279">
      <w:pPr>
        <w:pStyle w:val="Summarystage2"/>
        <w:jc w:val="both"/>
        <w:rPr>
          <w:rFonts w:asciiTheme="minorHAnsi" w:hAnsiTheme="minorHAnsi" w:cstheme="minorBidi"/>
        </w:rPr>
      </w:pPr>
      <w:r w:rsidRPr="4A0FE93E">
        <w:rPr>
          <w:rFonts w:cstheme="minorBidi"/>
        </w:rPr>
        <w:t xml:space="preserve">The potential connectivity pathways described above are unlikely to occur simultaneously and are also unlikely to create conditions that link the stressors to environmental assets in a human timescale. Nevertheless, considering existing numerous knowledge gaps, it is important to take a precautionary approach when assessing such processes and consider the possibility that fluid migration from one compartment of the basin to another may occur at different timescales, eventually </w:t>
      </w:r>
      <w:r>
        <w:rPr>
          <w:rFonts w:cstheme="minorBidi"/>
        </w:rPr>
        <w:t>impacting</w:t>
      </w:r>
      <w:r w:rsidRPr="4A0FE93E">
        <w:rPr>
          <w:rFonts w:cstheme="minorBidi"/>
        </w:rPr>
        <w:t xml:space="preserve"> assets.</w:t>
      </w:r>
    </w:p>
    <w:p w14:paraId="307039C2" w14:textId="3448075B" w:rsidR="006E235C" w:rsidRPr="00200642" w:rsidRDefault="092B7509" w:rsidP="00200642">
      <w:pPr>
        <w:pStyle w:val="BodyText"/>
      </w:pPr>
      <w:r>
        <w:t xml:space="preserve">Multiple datasets are integrated in this section to understand the potential for hydrogeological connections between stressors associated with petroleum development in the Beetaloo Sub-basin and existing assets (e.g. aquifers, springs, surface water and ecosystems dependent on groundwater). The assessment of the derived geological framework is based on the use of key horizons and structural features in the three-dimensional geological model summarised in Section </w:t>
      </w:r>
      <w:r>
        <w:fldChar w:fldCharType="begin"/>
      </w:r>
      <w:r>
        <w:instrText xml:space="preserve"> REF _Ref14704635 \r \h  \* MERGEFORMAT </w:instrText>
      </w:r>
      <w:r>
        <w:fldChar w:fldCharType="separate"/>
      </w:r>
      <w:r w:rsidR="00B177F5">
        <w:t>3.2</w:t>
      </w:r>
      <w:r>
        <w:fldChar w:fldCharType="end"/>
      </w:r>
      <w:r>
        <w:t xml:space="preserve"> and described in further detail in </w:t>
      </w:r>
      <w:r>
        <w:fldChar w:fldCharType="begin"/>
      </w:r>
      <w:r w:rsidR="00F76E0D">
        <w:instrText xml:space="preserve"> ADDIN EN.CITE &lt;EndNote&gt;&lt;Cite AuthorYear="1"&gt;&lt;Author&gt;Orr&lt;/Author&gt;&lt;Year&gt;2020&lt;/Year&gt;&lt;RecNum&gt;797&lt;/RecNum&gt;&lt;DisplayText&gt;Orr et al. (2020)&lt;/DisplayText&gt;&lt;record&gt;&lt;rec-number&gt;797&lt;/rec-number&gt;&lt;foreign-keys&gt;&lt;key app="EN" db-id="wdf9tzzdhw2saee559kv0vezt0wfsta0zedv" timestamp="1552607511"&gt;797&lt;/key&gt;&lt;/foreign-keys&gt;&lt;ref-type name="Report"&gt;27&lt;/ref-type&gt;&lt;contributors&gt;&lt;authors&gt;&lt;author&gt;Orr, M.L.,&lt;/author&gt;&lt;author&gt;Bernardel, G.,&lt;/author&gt;&lt;author&gt;Owens, R.,&lt;/author&gt;&lt;author&gt;Hall,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fldChar w:fldCharType="separate"/>
      </w:r>
      <w:r w:rsidR="008603AE" w:rsidRPr="2EFE43AC">
        <w:rPr>
          <w:noProof/>
        </w:rPr>
        <w:t>Orr et al. (2020)</w:t>
      </w:r>
      <w:r>
        <w:fldChar w:fldCharType="end"/>
      </w:r>
      <w:r>
        <w:t>.</w:t>
      </w:r>
      <w:r w:rsidR="00A85718">
        <w:t xml:space="preserve"> Within the Beetaloo Sub-basin</w:t>
      </w:r>
      <w:r w:rsidR="2E40758C">
        <w:t>,</w:t>
      </w:r>
      <w:r w:rsidR="00A85718">
        <w:t xml:space="preserve"> the primary </w:t>
      </w:r>
      <w:r w:rsidR="271ACB5B">
        <w:t xml:space="preserve">targets for petroleum exploration are the Kyalla and Velkerrie formations </w:t>
      </w:r>
      <w:r w:rsidR="006C2E5C">
        <w:fldChar w:fldCharType="begin"/>
      </w:r>
      <w:r w:rsidR="00F76E0D">
        <w:instrText xml:space="preserve"> ADDIN EN.CITE &lt;EndNote&gt;&lt;Cite&gt;&lt;Author&gt;Hall&lt;/Author&gt;&lt;Year&gt;2020&lt;/Year&gt;&lt;RecNum&gt;1190&lt;/RecNum&gt;&lt;DisplayText&gt;(Hall et al., 2020)&lt;/DisplayText&gt;&lt;record&gt;&lt;rec-number&gt;1190&lt;/rec-number&gt;&lt;foreign-keys&gt;&lt;key app="EN" db-id="wdf9tzzdhw2saee559kv0vezt0wfsta0zedv" timestamp="1563842478"&gt;1190&lt;/key&gt;&lt;/foreign-keys&gt;&lt;ref-type name="Report"&gt;27&lt;/ref-type&gt;&lt;contributors&gt;&lt;authors&gt;&lt;author&gt;Hall, L.S.,&lt;/author&gt;&lt;author&gt;Wang, L.,&lt;/author&gt;&lt;author&gt;Bailey, A.H.E.,&lt;/author&gt;&lt;author&gt;Orr, M.L.,&lt;/author&gt;&lt;author&gt;Owens, R.,&lt;/author&gt;&lt;author&gt;Jarrett, A.J.M.,&lt;/author&gt;&lt;author&gt;Lech, M.E.,&lt;/author&gt;&lt;author&gt;Skeers, N.,&lt;/author&gt;&lt;author&gt;Reese, B.,&lt;/author&gt;&lt;author&gt;Woods, M.,&lt;/author&gt;&lt;/authors&gt;&lt;/contributors&gt;&lt;titles&gt;&lt;title&gt;Petroleum prospectivity of the Beetaloo Sub-basin.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6C2E5C">
        <w:fldChar w:fldCharType="separate"/>
      </w:r>
      <w:r w:rsidR="006C2E5C">
        <w:rPr>
          <w:noProof/>
        </w:rPr>
        <w:t>(Hall et al., 2020)</w:t>
      </w:r>
      <w:r w:rsidR="006C2E5C">
        <w:fldChar w:fldCharType="end"/>
      </w:r>
      <w:r w:rsidR="1AF206BC" w:rsidRPr="006C2E5C">
        <w:t>.</w:t>
      </w:r>
    </w:p>
    <w:p w14:paraId="558BC2D5" w14:textId="4E9E37AB" w:rsidR="006E235C" w:rsidRPr="00200642" w:rsidRDefault="092B7509" w:rsidP="092B7509">
      <w:pPr>
        <w:pStyle w:val="BodyText"/>
        <w:rPr>
          <w:highlight w:val="yellow"/>
        </w:rPr>
      </w:pPr>
      <w:r>
        <w:t>Several two-dimensional cross-sections, extending from the Beetaloo Sub-basin at depth to surface (</w:t>
      </w:r>
      <w:r w:rsidR="006C2E5C">
        <w:t>s</w:t>
      </w:r>
      <w:r>
        <w:t xml:space="preserve">ee </w:t>
      </w:r>
      <w:r w:rsidR="005A48D9">
        <w:fldChar w:fldCharType="begin"/>
      </w:r>
      <w:r w:rsidR="005A48D9">
        <w:instrText xml:space="preserve"> REF _Ref14704825 \h  \* MERGEFORMAT </w:instrText>
      </w:r>
      <w:r w:rsidR="005A48D9">
        <w:fldChar w:fldCharType="separate"/>
      </w:r>
      <w:r w:rsidR="00B177F5">
        <w:t>Figure 43</w:t>
      </w:r>
      <w:r w:rsidR="005A48D9">
        <w:fldChar w:fldCharType="end"/>
      </w:r>
      <w:r>
        <w:t xml:space="preserve"> for location of sections) were constructed to integrate currently available fault zone architecture information into the context of the regional stratigraphic framework and compare geological architecture and structure with the spatial distribution of assets</w:t>
      </w:r>
      <w:r w:rsidR="009A4457">
        <w:t>.</w:t>
      </w:r>
    </w:p>
    <w:p w14:paraId="3ADFDEDB" w14:textId="7419AEF3" w:rsidR="005A48D9" w:rsidRPr="00200642" w:rsidRDefault="092B7509" w:rsidP="00200642">
      <w:pPr>
        <w:pStyle w:val="BodyText"/>
      </w:pPr>
      <w:r>
        <w:t xml:space="preserve">On the basis of the cross-sections, conceptual models of potential flow paths were constructed with the aim to identify areas where there is greater likelihood of hydrogeological connection. The </w:t>
      </w:r>
      <w:r w:rsidR="00306623">
        <w:t>conceptual</w:t>
      </w:r>
      <w:r>
        <w:t xml:space="preserve"> models are represented on sections as potential flow arrows. The potential for hydrogeological connection is qualitatively assessed on a combination of factors, including:</w:t>
      </w:r>
    </w:p>
    <w:p w14:paraId="2352D83D" w14:textId="116BFE9E" w:rsidR="005A48D9" w:rsidRPr="006E235C" w:rsidRDefault="005502EC" w:rsidP="006E235C">
      <w:pPr>
        <w:pStyle w:val="ListBullet"/>
        <w:rPr>
          <w:szCs w:val="24"/>
        </w:rPr>
      </w:pPr>
      <w:r>
        <w:t>e</w:t>
      </w:r>
      <w:r w:rsidR="56F28415">
        <w:t xml:space="preserve">xtent, thickness and depth to </w:t>
      </w:r>
      <w:r w:rsidR="7D462BE0">
        <w:t>petroleum targets in Kyalla and Velkerrie formation</w:t>
      </w:r>
      <w:r w:rsidR="56F28415">
        <w:t xml:space="preserve"> (see </w:t>
      </w:r>
      <w:r w:rsidR="006C2E5C">
        <w:fldChar w:fldCharType="begin"/>
      </w:r>
      <w:r w:rsidR="00F76E0D">
        <w:instrText xml:space="preserve"> ADDIN EN.CITE &lt;EndNote&gt;&lt;Cite AuthorYear="1"&gt;&lt;Author&gt;Hall&lt;/Author&gt;&lt;Year&gt;2020&lt;/Year&gt;&lt;RecNum&gt;1190&lt;/RecNum&gt;&lt;DisplayText&gt;Hall et al. (2020)&lt;/DisplayText&gt;&lt;record&gt;&lt;rec-number&gt;1190&lt;/rec-number&gt;&lt;foreign-keys&gt;&lt;key app="EN" db-id="wdf9tzzdhw2saee559kv0vezt0wfsta0zedv" timestamp="1563842478"&gt;1190&lt;/key&gt;&lt;/foreign-keys&gt;&lt;ref-type name="Report"&gt;27&lt;/ref-type&gt;&lt;contributors&gt;&lt;authors&gt;&lt;author&gt;Hall, L.S.,&lt;/author&gt;&lt;author&gt;Wang, L.,&lt;/author&gt;&lt;author&gt;Bailey, A.H.E.,&lt;/author&gt;&lt;author&gt;Orr, M.L.,&lt;/author&gt;&lt;author&gt;Owens, R.,&lt;/author&gt;&lt;author&gt;Jarrett, A.J.M.,&lt;/author&gt;&lt;author&gt;Lech, M.E.,&lt;/author&gt;&lt;author&gt;Skeers, N.,&lt;/author&gt;&lt;author&gt;Reese, B.,&lt;/author&gt;&lt;author&gt;Woods, M.,&lt;/author&gt;&lt;/authors&gt;&lt;/contributors&gt;&lt;titles&gt;&lt;title&gt;Petroleum prospectivity of the Beetaloo Sub-basin.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6C2E5C">
        <w:fldChar w:fldCharType="separate"/>
      </w:r>
      <w:r w:rsidR="006C2E5C">
        <w:rPr>
          <w:noProof/>
        </w:rPr>
        <w:t>Hall et al. (2020)</w:t>
      </w:r>
      <w:r w:rsidR="006C2E5C">
        <w:fldChar w:fldCharType="end"/>
      </w:r>
      <w:r w:rsidR="56F28415">
        <w:t xml:space="preserve"> </w:t>
      </w:r>
      <w:r w:rsidR="42E6BEA2">
        <w:t xml:space="preserve">for detail). The </w:t>
      </w:r>
      <w:r w:rsidR="00B93882">
        <w:t>e</w:t>
      </w:r>
      <w:r w:rsidR="42E6BEA2">
        <w:t xml:space="preserve">xtent is outlined in </w:t>
      </w:r>
      <w:r w:rsidR="006C2E5C">
        <w:fldChar w:fldCharType="begin"/>
      </w:r>
      <w:r w:rsidR="006C2E5C">
        <w:instrText xml:space="preserve"> REF _Ref14704825 \h </w:instrText>
      </w:r>
      <w:r w:rsidR="006C2E5C">
        <w:fldChar w:fldCharType="separate"/>
      </w:r>
      <w:r w:rsidR="00B177F5">
        <w:t xml:space="preserve">Figure </w:t>
      </w:r>
      <w:r w:rsidR="00B177F5">
        <w:rPr>
          <w:noProof/>
        </w:rPr>
        <w:t>43</w:t>
      </w:r>
      <w:r w:rsidR="006C2E5C">
        <w:fldChar w:fldCharType="end"/>
      </w:r>
    </w:p>
    <w:p w14:paraId="397546AF" w14:textId="4BDB46D2" w:rsidR="005A48D9" w:rsidRPr="006E235C" w:rsidRDefault="005502EC" w:rsidP="006E235C">
      <w:pPr>
        <w:pStyle w:val="ListBullet"/>
        <w:rPr>
          <w:szCs w:val="24"/>
        </w:rPr>
      </w:pPr>
      <w:r>
        <w:t>s</w:t>
      </w:r>
      <w:r w:rsidR="71425D07">
        <w:t xml:space="preserve">eparation difference and potential </w:t>
      </w:r>
      <w:r w:rsidR="7CE262B7">
        <w:t xml:space="preserve">for </w:t>
      </w:r>
      <w:r w:rsidR="71425D07">
        <w:t xml:space="preserve">connectivity between </w:t>
      </w:r>
      <w:r w:rsidR="7429E4D8">
        <w:t>petroluem pla</w:t>
      </w:r>
      <w:r>
        <w:t>y</w:t>
      </w:r>
      <w:r w:rsidR="7429E4D8">
        <w:t xml:space="preserve">s and overlying aquifers such as the </w:t>
      </w:r>
      <w:r w:rsidR="092B7509">
        <w:t>Jamison sandstone, Bukalara Sandstone</w:t>
      </w:r>
      <w:r w:rsidR="2F09D6DA">
        <w:t xml:space="preserve">, </w:t>
      </w:r>
      <w:r w:rsidR="092B7509">
        <w:t xml:space="preserve">through </w:t>
      </w:r>
      <w:r w:rsidR="174F4DF9">
        <w:t xml:space="preserve">to </w:t>
      </w:r>
      <w:r w:rsidR="092B7509">
        <w:t>the karstic/fracture systems of the Cambrian Limestone Aquifer, basal sandstone of Carpentaria Basin, Cenozoic aquifer and near-surface assets</w:t>
      </w:r>
    </w:p>
    <w:p w14:paraId="63257A38" w14:textId="47EFF14E" w:rsidR="005A48D9" w:rsidRPr="006E235C" w:rsidRDefault="005502EC" w:rsidP="006E235C">
      <w:pPr>
        <w:pStyle w:val="ListBullet"/>
      </w:pPr>
      <w:r>
        <w:t>h</w:t>
      </w:r>
      <w:r w:rsidR="33E231A6">
        <w:t xml:space="preserve">ydraulic gradients </w:t>
      </w:r>
      <w:r w:rsidR="086E9FF0">
        <w:t xml:space="preserve">between the </w:t>
      </w:r>
      <w:r w:rsidR="375747EE">
        <w:t>Kyalla and Velkerrie formations</w:t>
      </w:r>
      <w:r w:rsidR="086E9FF0">
        <w:t xml:space="preserve"> and overlying hydrostratigraphic </w:t>
      </w:r>
      <w:r w:rsidR="4C10241C">
        <w:t xml:space="preserve">sequences </w:t>
      </w:r>
      <w:r w:rsidR="4C10241C" w:rsidRPr="006C2E5C">
        <w:t>(</w:t>
      </w:r>
      <w:r w:rsidR="006C2E5C">
        <w:t>s</w:t>
      </w:r>
      <w:r w:rsidR="4C10241C" w:rsidRPr="006C2E5C">
        <w:t xml:space="preserve">ee Section </w:t>
      </w:r>
      <w:r w:rsidR="006C2E5C">
        <w:fldChar w:fldCharType="begin"/>
      </w:r>
      <w:r w:rsidR="006C2E5C">
        <w:instrText xml:space="preserve"> REF _Ref35595594 \r \h </w:instrText>
      </w:r>
      <w:r w:rsidR="006C2E5C">
        <w:fldChar w:fldCharType="separate"/>
      </w:r>
      <w:r w:rsidR="00B177F5">
        <w:t>3.1</w:t>
      </w:r>
      <w:r w:rsidR="006C2E5C">
        <w:fldChar w:fldCharType="end"/>
      </w:r>
      <w:r w:rsidR="4C10241C" w:rsidRPr="006C2E5C">
        <w:t>)</w:t>
      </w:r>
    </w:p>
    <w:p w14:paraId="2FCE9D99" w14:textId="40940C56" w:rsidR="005A48D9" w:rsidRPr="006E235C" w:rsidRDefault="005A48D9" w:rsidP="006E235C">
      <w:pPr>
        <w:pStyle w:val="ListBullet"/>
      </w:pPr>
      <w:r w:rsidRPr="006E235C">
        <w:t>general stress regime associated with the geological structures conducive to fault reactivation and enhancement</w:t>
      </w:r>
    </w:p>
    <w:p w14:paraId="2480B599" w14:textId="5900F89C" w:rsidR="005A48D9" w:rsidRPr="006E235C" w:rsidRDefault="092B7509" w:rsidP="006E235C">
      <w:pPr>
        <w:pStyle w:val="ListBullet"/>
      </w:pPr>
      <w:r>
        <w:t>spatial distribution of thickness and hydraulic properties of the aquitard/seals (e.g. Hayfield mudstone and Antrim Plateau Volcanics) positioned between the hydrocarbon plays and the identified overlying assets</w:t>
      </w:r>
    </w:p>
    <w:p w14:paraId="78C37F34" w14:textId="07F5DD93" w:rsidR="005A48D9" w:rsidRPr="006E235C" w:rsidRDefault="005A48D9" w:rsidP="006E235C">
      <w:pPr>
        <w:pStyle w:val="ListBullet"/>
      </w:pPr>
      <w:r w:rsidRPr="006E235C">
        <w:t>anomalies identified in physical-chemical, hydrochemical measurements in groundwater, springs and surface water samples (</w:t>
      </w:r>
      <w:r w:rsidR="00306623">
        <w:t xml:space="preserve">Section </w:t>
      </w:r>
      <w:r w:rsidR="00306623">
        <w:fldChar w:fldCharType="begin"/>
      </w:r>
      <w:r w:rsidR="00306623">
        <w:instrText xml:space="preserve"> REF _Ref34299142 \r \h </w:instrText>
      </w:r>
      <w:r w:rsidR="00306623">
        <w:fldChar w:fldCharType="separate"/>
      </w:r>
      <w:r w:rsidR="00B177F5">
        <w:t>3.4</w:t>
      </w:r>
      <w:r w:rsidR="00306623">
        <w:fldChar w:fldCharType="end"/>
      </w:r>
      <w:r w:rsidRPr="006E235C">
        <w:t>)</w:t>
      </w:r>
      <w:r w:rsidR="008357A1">
        <w:t>,</w:t>
      </w:r>
      <w:r w:rsidRPr="006E235C">
        <w:t xml:space="preserve"> and several gas measurements from water bores</w:t>
      </w:r>
    </w:p>
    <w:p w14:paraId="65F53460" w14:textId="0DC2A5BC" w:rsidR="00A268DC" w:rsidRPr="006E235C" w:rsidRDefault="00A268DC" w:rsidP="006E235C">
      <w:pPr>
        <w:pStyle w:val="ListBullet"/>
      </w:pPr>
      <w:r w:rsidRPr="006E235C">
        <w:t>spatial location and extent of environmental assets, including GDEs, springs, reaches where baseflow to streams is likely to occur and groundwater bores used for water supply.</w:t>
      </w:r>
    </w:p>
    <w:p w14:paraId="4AB542B5" w14:textId="664AEB22" w:rsidR="003A3725" w:rsidRDefault="00B93882" w:rsidP="006E235C">
      <w:pPr>
        <w:pStyle w:val="BodyText"/>
      </w:pPr>
      <w:r>
        <w:t xml:space="preserve">The major potential development-related stressors identified in the Beetaloo GBA region </w:t>
      </w:r>
      <w:r w:rsidR="003A3725">
        <w:t xml:space="preserve">that </w:t>
      </w:r>
      <w:r w:rsidR="000D0848">
        <w:t>could</w:t>
      </w:r>
      <w:r w:rsidR="003A3725">
        <w:t xml:space="preserve"> lead to hydrological connectivity related impacts are from the </w:t>
      </w:r>
      <w:r w:rsidR="000D0848">
        <w:t>extract</w:t>
      </w:r>
      <w:r w:rsidR="003A3725">
        <w:t>ion of gas</w:t>
      </w:r>
      <w:r w:rsidR="000D0848">
        <w:t xml:space="preserve"> and oil</w:t>
      </w:r>
      <w:r w:rsidR="003A3725">
        <w:t xml:space="preserve"> from reservoir depths and the extraction of groundwater to provide water for petroleum activities</w:t>
      </w:r>
      <w:r w:rsidR="000D0848">
        <w:t>.</w:t>
      </w:r>
      <w:r w:rsidR="003A3725">
        <w:t xml:space="preserve"> These stressors could lead to changes in permeability</w:t>
      </w:r>
      <w:r w:rsidR="47768CC8">
        <w:t>,</w:t>
      </w:r>
      <w:r w:rsidR="00BD7AA5">
        <w:t xml:space="preserve"> </w:t>
      </w:r>
      <w:r w:rsidR="47768CC8">
        <w:t>groundwater flow directions</w:t>
      </w:r>
      <w:r w:rsidR="000D0848">
        <w:t xml:space="preserve"> </w:t>
      </w:r>
      <w:r w:rsidR="79F66674">
        <w:t>and</w:t>
      </w:r>
      <w:r w:rsidR="000D0848">
        <w:t xml:space="preserve"> </w:t>
      </w:r>
      <w:r w:rsidR="003A3725">
        <w:t xml:space="preserve"> </w:t>
      </w:r>
      <w:r w:rsidR="000D0848">
        <w:t xml:space="preserve">hydraulic gradients, which may result in changes to hydrological connectivity. </w:t>
      </w:r>
    </w:p>
    <w:p w14:paraId="5F82C2BC" w14:textId="448D6C91" w:rsidR="00AE0CA4" w:rsidRDefault="000D0848" w:rsidP="006E235C">
      <w:pPr>
        <w:pStyle w:val="BodyText"/>
      </w:pPr>
      <w:r>
        <w:t>The primary targets for gas and oil</w:t>
      </w:r>
      <w:r w:rsidR="003A3725">
        <w:t xml:space="preserve"> </w:t>
      </w:r>
      <w:r w:rsidR="00B93882">
        <w:t xml:space="preserve"> production </w:t>
      </w:r>
      <w:r>
        <w:t xml:space="preserve">are </w:t>
      </w:r>
      <w:r w:rsidR="00B93882">
        <w:t xml:space="preserve">the </w:t>
      </w:r>
      <w:r>
        <w:t xml:space="preserve">shales of the </w:t>
      </w:r>
      <w:r w:rsidR="00B93882">
        <w:t>late Mesoproterozoic Velkerri</w:t>
      </w:r>
      <w:r w:rsidR="74D179D5">
        <w:t xml:space="preserve"> </w:t>
      </w:r>
      <w:r w:rsidR="00B93882">
        <w:t>and Kyalla formations</w:t>
      </w:r>
      <w:r w:rsidR="00695BF4">
        <w:t>.</w:t>
      </w:r>
      <w:r>
        <w:t xml:space="preserve"> These formations have low permeability.</w:t>
      </w:r>
      <w:r w:rsidR="00B93882">
        <w:t xml:space="preserve"> The Moroak Sandstone </w:t>
      </w:r>
      <w:r w:rsidR="615B2B4F">
        <w:t>is a tight gas play</w:t>
      </w:r>
      <w:r>
        <w:t xml:space="preserve"> </w:t>
      </w:r>
      <w:r w:rsidR="00B93882">
        <w:t>stratigraphically situated between Velkerri and Kyalla formations</w:t>
      </w:r>
      <w:r>
        <w:t>.</w:t>
      </w:r>
      <w:r w:rsidR="00BE309C" w:rsidDel="000D0848">
        <w:t xml:space="preserve"> </w:t>
      </w:r>
      <w:r w:rsidR="00BE309C">
        <w:t>In some areas</w:t>
      </w:r>
      <w:r w:rsidR="0065374A">
        <w:t xml:space="preserve"> </w:t>
      </w:r>
      <w:r w:rsidR="00BE309C">
        <w:t xml:space="preserve">the Moroak Sandstone can locally </w:t>
      </w:r>
      <w:r w:rsidR="00695BF4">
        <w:t>exhibit</w:t>
      </w:r>
      <w:r w:rsidR="00B93882">
        <w:t xml:space="preserve"> some </w:t>
      </w:r>
      <w:r w:rsidR="00BE309C">
        <w:t xml:space="preserve">of the </w:t>
      </w:r>
      <w:r w:rsidR="00B93882">
        <w:t>properties of a fractured rock aquifer</w:t>
      </w:r>
      <w:r w:rsidR="0065374A">
        <w:t xml:space="preserve"> (see Section</w:t>
      </w:r>
      <w:r>
        <w:fldChar w:fldCharType="begin"/>
      </w:r>
      <w:r>
        <w:instrText xml:space="preserve"> REF _Ref279671 \n \h </w:instrText>
      </w:r>
      <w:r>
        <w:fldChar w:fldCharType="separate"/>
      </w:r>
      <w:r w:rsidR="00B177F5">
        <w:t>3.2.1</w:t>
      </w:r>
      <w:r>
        <w:fldChar w:fldCharType="end"/>
      </w:r>
      <w:r w:rsidR="0065374A">
        <w:t>)</w:t>
      </w:r>
      <w:r w:rsidR="00B93882">
        <w:t>. While information is limited, the Moroak Sandstone in the Beetaloo Sub-basin is unlikely to be an effective groundwater system. Limited sampling suggests the water quality is highly saline, and the cross-sections suggest it may be for the most part isolated from shallower aquifer systems, which minimises potential for inter-aquifer leakage.</w:t>
      </w:r>
    </w:p>
    <w:p w14:paraId="7D0089E9" w14:textId="7506CB75" w:rsidR="00AE0CA4" w:rsidRDefault="00B93882" w:rsidP="687386F2">
      <w:pPr>
        <w:pStyle w:val="BodyText"/>
      </w:pPr>
      <w:r>
        <w:t>Groundwater</w:t>
      </w:r>
      <w:r w:rsidR="007D25B1">
        <w:t>,</w:t>
      </w:r>
      <w:r>
        <w:t xml:space="preserve"> </w:t>
      </w:r>
      <w:r w:rsidR="007D25B1">
        <w:t xml:space="preserve">extracted under licence, </w:t>
      </w:r>
      <w:r>
        <w:t>is likely to be the main source of water for any future petroleum development in the Beetaloo GBA region due to legislated restrictions on the use of surface water sources. The extraction of groundwater</w:t>
      </w:r>
      <w:r w:rsidR="007D25B1">
        <w:t>, in some circumstances,</w:t>
      </w:r>
      <w:r>
        <w:t xml:space="preserve"> </w:t>
      </w:r>
      <w:r w:rsidR="007D25B1">
        <w:t>can</w:t>
      </w:r>
      <w:r>
        <w:t xml:space="preserve"> cause drawdown in aquifers, at least in close proximity to extraction bores, and is considered as a possible stressor that </w:t>
      </w:r>
      <w:r w:rsidRPr="004E2F67">
        <w:t>may impact on water volume or quality of these aquifers and associated assets. The aquifers considered include the Jamison sandstone, Bukalara Sandstone, C</w:t>
      </w:r>
      <w:r>
        <w:t>LA</w:t>
      </w:r>
      <w:r w:rsidRPr="004E2F67">
        <w:t>, the saturated basal intervals of the overlying Cretaceous and perched aquifers within the Cenozoic sediments.</w:t>
      </w:r>
    </w:p>
    <w:p w14:paraId="132B87DC" w14:textId="744948F9" w:rsidR="00B93882" w:rsidRPr="00D97D44" w:rsidRDefault="009B6D5A" w:rsidP="00B93882">
      <w:pPr>
        <w:pStyle w:val="BodyText"/>
      </w:pPr>
      <w:r>
        <w:t xml:space="preserve">The surface assets that </w:t>
      </w:r>
      <w:r w:rsidR="00B93882">
        <w:t xml:space="preserve">may </w:t>
      </w:r>
      <w:r>
        <w:t xml:space="preserve">be </w:t>
      </w:r>
      <w:r w:rsidR="00B93882">
        <w:t>impact</w:t>
      </w:r>
      <w:r>
        <w:t>ed</w:t>
      </w:r>
      <w:r w:rsidR="00B93882">
        <w:t xml:space="preserve"> includ</w:t>
      </w:r>
      <w:r>
        <w:t>e</w:t>
      </w:r>
      <w:r w:rsidR="00B93882">
        <w:t>:</w:t>
      </w:r>
    </w:p>
    <w:p w14:paraId="207D3A70" w14:textId="68ECA3EF" w:rsidR="74049BA7" w:rsidRDefault="008D7D6F" w:rsidP="3307957E">
      <w:pPr>
        <w:pStyle w:val="ListBullet"/>
      </w:pPr>
      <w:r>
        <w:t>Springs (</w:t>
      </w:r>
      <w:r w:rsidR="0090016F" w:rsidRPr="687386F2">
        <w:rPr>
          <w:rFonts w:cstheme="minorBidi"/>
        </w:rPr>
        <w:t xml:space="preserve">Section </w:t>
      </w:r>
      <w:r w:rsidR="0090016F" w:rsidRPr="687386F2">
        <w:rPr>
          <w:rFonts w:cstheme="minorBidi"/>
        </w:rPr>
        <w:fldChar w:fldCharType="begin"/>
      </w:r>
      <w:r w:rsidR="0090016F" w:rsidRPr="687386F2">
        <w:rPr>
          <w:rFonts w:cstheme="minorBidi"/>
        </w:rPr>
        <w:instrText xml:space="preserve"> REF _Ref5787288 \r \h </w:instrText>
      </w:r>
      <w:r w:rsidRPr="687386F2">
        <w:rPr>
          <w:rFonts w:cstheme="minorBidi"/>
        </w:rPr>
        <w:instrText xml:space="preserve"> \* MERGEFORMAT </w:instrText>
      </w:r>
      <w:r w:rsidR="0090016F" w:rsidRPr="687386F2">
        <w:rPr>
          <w:rFonts w:cstheme="minorBidi"/>
        </w:rPr>
      </w:r>
      <w:r w:rsidR="0090016F" w:rsidRPr="687386F2">
        <w:rPr>
          <w:rFonts w:cstheme="minorBidi"/>
        </w:rPr>
        <w:fldChar w:fldCharType="separate"/>
      </w:r>
      <w:r w:rsidR="00B177F5">
        <w:rPr>
          <w:rFonts w:cstheme="minorBidi"/>
        </w:rPr>
        <w:t>3.4.3</w:t>
      </w:r>
      <w:r w:rsidR="0090016F" w:rsidRPr="687386F2">
        <w:rPr>
          <w:rFonts w:cstheme="minorBidi"/>
        </w:rPr>
        <w:fldChar w:fldCharType="end"/>
      </w:r>
      <w:r w:rsidRPr="687386F2">
        <w:rPr>
          <w:rFonts w:cstheme="minorBidi"/>
        </w:rPr>
        <w:t>)</w:t>
      </w:r>
      <w:r w:rsidR="00864C5E" w:rsidRPr="687386F2">
        <w:rPr>
          <w:rFonts w:cstheme="minorBidi"/>
        </w:rPr>
        <w:t>.</w:t>
      </w:r>
      <w:r w:rsidR="558D5418" w:rsidRPr="687386F2">
        <w:rPr>
          <w:rFonts w:cstheme="minorBidi"/>
        </w:rPr>
        <w:t xml:space="preserve"> </w:t>
      </w:r>
      <w:r w:rsidR="00B93882" w:rsidRPr="37D398EC">
        <w:rPr>
          <w:rFonts w:cstheme="minorBidi"/>
        </w:rPr>
        <w:t xml:space="preserve">The closest springs are located approximately 10 km to the northeast of the limits of the Beetaloo GBA region (e.g. Lagoon Creek and Beauty Creek Springs). Mataranka Thermal Pools </w:t>
      </w:r>
      <w:r w:rsidR="00B93882">
        <w:rPr>
          <w:rFonts w:cstheme="minorBidi"/>
        </w:rPr>
        <w:t xml:space="preserve">is </w:t>
      </w:r>
      <w:r w:rsidR="00B93882" w:rsidRPr="37D398EC">
        <w:rPr>
          <w:rFonts w:cstheme="minorBidi"/>
        </w:rPr>
        <w:t>located to the north of the Beetaloo GBA region but is potentially indirectly connected through groundwater flow out of the region.</w:t>
      </w:r>
      <w:r w:rsidR="00B93882">
        <w:t xml:space="preserve"> At present, the understanding on potential contributions from different source aquifers is limited due to a lack of baseline monitoring data (e.g. hydrochemistry and environmental tracers) particularly from formations below the CLA. Hydrochemistry and environmental tracer field sampling campaigns conducted as part of Stage 3 will help to improve this system understanding.</w:t>
      </w:r>
    </w:p>
    <w:p w14:paraId="243879AB" w14:textId="538E81AE" w:rsidR="00AE0CA4" w:rsidRPr="00D97D44" w:rsidRDefault="00864C5E" w:rsidP="092B7509">
      <w:pPr>
        <w:pStyle w:val="ListBullet"/>
        <w:rPr>
          <w:szCs w:val="24"/>
        </w:rPr>
      </w:pPr>
      <w:r>
        <w:t>GDEs</w:t>
      </w:r>
      <w:r w:rsidR="008D7D6F" w:rsidRPr="008D7D6F">
        <w:t xml:space="preserve"> </w:t>
      </w:r>
      <w:r>
        <w:t>(</w:t>
      </w:r>
      <w:r w:rsidR="008D7D6F" w:rsidRPr="008D7D6F">
        <w:rPr>
          <w:rFonts w:cstheme="minorBidi"/>
        </w:rPr>
        <w:t>s</w:t>
      </w:r>
      <w:r w:rsidR="092B7509" w:rsidRPr="008D7D6F">
        <w:rPr>
          <w:rFonts w:cstheme="minorBidi"/>
        </w:rPr>
        <w:t>ee Section</w:t>
      </w:r>
      <w:r w:rsidR="008D7D6F" w:rsidRPr="008D7D6F">
        <w:rPr>
          <w:rFonts w:cstheme="minorBidi"/>
        </w:rPr>
        <w:t xml:space="preserve"> </w:t>
      </w:r>
      <w:r w:rsidR="0090016F" w:rsidRPr="008D7D6F">
        <w:rPr>
          <w:rFonts w:cstheme="minorBidi"/>
        </w:rPr>
        <w:fldChar w:fldCharType="begin"/>
      </w:r>
      <w:r w:rsidR="0090016F" w:rsidRPr="008D7D6F">
        <w:rPr>
          <w:rFonts w:cstheme="minorBidi"/>
        </w:rPr>
        <w:instrText xml:space="preserve"> REF _Ref5700489 \r \h </w:instrText>
      </w:r>
      <w:r w:rsidR="008D7D6F">
        <w:rPr>
          <w:rFonts w:cstheme="minorBidi"/>
        </w:rPr>
        <w:instrText xml:space="preserve"> \* MERGEFORMAT </w:instrText>
      </w:r>
      <w:r w:rsidR="0090016F" w:rsidRPr="008D7D6F">
        <w:rPr>
          <w:rFonts w:cstheme="minorBidi"/>
        </w:rPr>
      </w:r>
      <w:r w:rsidR="0090016F" w:rsidRPr="008D7D6F">
        <w:rPr>
          <w:rFonts w:cstheme="minorBidi"/>
        </w:rPr>
        <w:fldChar w:fldCharType="separate"/>
      </w:r>
      <w:r w:rsidR="00B177F5">
        <w:rPr>
          <w:rFonts w:cstheme="minorBidi"/>
        </w:rPr>
        <w:t>3.4.5</w:t>
      </w:r>
      <w:r w:rsidR="0090016F" w:rsidRPr="008D7D6F">
        <w:rPr>
          <w:rFonts w:cstheme="minorBidi"/>
        </w:rPr>
        <w:fldChar w:fldCharType="end"/>
      </w:r>
      <w:r w:rsidR="0090016F">
        <w:rPr>
          <w:rFonts w:cstheme="minorBidi"/>
        </w:rPr>
        <w:t>)</w:t>
      </w:r>
      <w:r w:rsidR="008D7D6F">
        <w:rPr>
          <w:rFonts w:cstheme="minorBidi"/>
        </w:rPr>
        <w:t>.</w:t>
      </w:r>
      <w:r w:rsidR="0090016F">
        <w:rPr>
          <w:rFonts w:cstheme="minorBidi"/>
        </w:rPr>
        <w:t xml:space="preserve"> </w:t>
      </w:r>
      <w:r w:rsidR="092B7509" w:rsidRPr="092B7509">
        <w:rPr>
          <w:rFonts w:cstheme="minorBidi"/>
        </w:rPr>
        <w:t xml:space="preserve">Only those </w:t>
      </w:r>
      <w:r w:rsidR="005539AF">
        <w:rPr>
          <w:rFonts w:cstheme="minorBidi"/>
        </w:rPr>
        <w:t>w</w:t>
      </w:r>
      <w:r w:rsidR="005539AF" w:rsidRPr="005539AF">
        <w:rPr>
          <w:rFonts w:cstheme="minorBidi"/>
        </w:rPr>
        <w:t xml:space="preserve">atercourses and wetlands with known or moderate to high probability of being groundwater-dependent ecosystems (GDEs) </w:t>
      </w:r>
      <w:r w:rsidR="092B7509" w:rsidRPr="092B7509">
        <w:rPr>
          <w:rFonts w:cstheme="minorBidi"/>
        </w:rPr>
        <w:t xml:space="preserve">in the </w:t>
      </w:r>
      <w:r w:rsidR="092B7509" w:rsidRPr="00864C5E">
        <w:rPr>
          <w:rFonts w:cstheme="minorBidi"/>
          <w:i/>
          <w:iCs/>
        </w:rPr>
        <w:t>Groundwater Dependent Ecosystem</w:t>
      </w:r>
      <w:r>
        <w:rPr>
          <w:rFonts w:cstheme="minorBidi"/>
          <w:i/>
          <w:iCs/>
        </w:rPr>
        <w:t>s</w:t>
      </w:r>
      <w:r w:rsidR="092B7509" w:rsidRPr="00864C5E">
        <w:rPr>
          <w:rFonts w:cstheme="minorBidi"/>
          <w:i/>
          <w:iCs/>
        </w:rPr>
        <w:t xml:space="preserve"> Atlas</w:t>
      </w:r>
      <w:r w:rsidR="092B7509" w:rsidRPr="092B7509">
        <w:rPr>
          <w:rFonts w:cstheme="minorBidi"/>
        </w:rPr>
        <w:t xml:space="preserve"> </w:t>
      </w:r>
      <w:r w:rsidR="00E31E78">
        <w:rPr>
          <w:noProof/>
        </w:rPr>
        <w:fldChar w:fldCharType="begin"/>
      </w:r>
      <w:r w:rsidR="00F76E0D">
        <w:rPr>
          <w:noProof/>
        </w:rPr>
        <w:instrText xml:space="preserve"> ADDIN EN.CITE &lt;EndNote&gt;&lt;Cite&gt;&lt;Author&gt;Bureau of Meteorology&lt;/Author&gt;&lt;Year&gt;2017&lt;/Year&gt;&lt;RecNum&gt;424&lt;/RecNum&gt;&lt;DisplayText&gt;(Bureau of Meteorology, 2017)&lt;/DisplayText&gt;&lt;record&gt;&lt;rec-number&gt;424&lt;/rec-number&gt;&lt;foreign-keys&gt;&lt;key app="EN" db-id="wdf9tzzdhw2saee559kv0vezt0wfsta0zedv" timestamp="1544416414"&gt;424&lt;/key&gt;&lt;/foreign-keys&gt;&lt;ref-type name="Dataset"&gt;59&lt;/ref-type&gt;&lt;contributors&gt;&lt;authors&gt;&lt;author&gt;Bureau of Meteorology,&lt;/author&gt;&lt;/authors&gt;&lt;secondary-authors&gt;&lt;author&gt;Geoscience Australia,&lt;/author&gt;&lt;/secondary-authors&gt;&lt;/contributors&gt;&lt;titles&gt;&lt;title&gt;Groundwater Dependent Ecosystems Atlas&lt;/title&gt;&lt;/titles&gt;&lt;keywords&gt;&lt;keyword&gt;Environmental resources protection and conservation&lt;/keyword&gt;&lt;/keywords&gt;&lt;dates&gt;&lt;year&gt;2017&lt;/year&gt;&lt;/dates&gt;&lt;pub-location&gt;Canberra&lt;/pub-location&gt;&lt;label&gt;25207635-859C-4170-BEE1-21A456DB9754&lt;/label&gt;&lt;urls&gt;&lt;related-urls&gt;&lt;url&gt;http://www.bom.gov.au/water/groundwater/gde/index.shtml&lt;/url&gt;&lt;/related-urls&gt;&lt;/urls&gt;&lt;custom2&gt;unit of observation&lt;/custom2&gt;&lt;custom3&gt;spatial&lt;/custom3&gt;&lt;custom4&gt;dataset&lt;/custom4&gt;&lt;access-date&gt;04 October 2018&lt;/access-date&gt;&lt;/record&gt;&lt;/Cite&gt;&lt;/EndNote&gt;</w:instrText>
      </w:r>
      <w:r w:rsidR="00E31E78">
        <w:rPr>
          <w:noProof/>
        </w:rPr>
        <w:fldChar w:fldCharType="separate"/>
      </w:r>
      <w:r w:rsidR="00E31E78">
        <w:rPr>
          <w:noProof/>
        </w:rPr>
        <w:t>(Bureau of Meteorology, 2017)</w:t>
      </w:r>
      <w:r w:rsidR="00E31E78">
        <w:rPr>
          <w:noProof/>
        </w:rPr>
        <w:fldChar w:fldCharType="end"/>
      </w:r>
      <w:r w:rsidR="092B7509">
        <w:t xml:space="preserve"> were considered for the assessment, as shown in </w:t>
      </w:r>
      <w:r>
        <w:fldChar w:fldCharType="begin"/>
      </w:r>
      <w:r>
        <w:instrText xml:space="preserve"> REF _Ref5781880 \h </w:instrText>
      </w:r>
      <w:r>
        <w:fldChar w:fldCharType="separate"/>
      </w:r>
      <w:r w:rsidR="00B177F5">
        <w:t xml:space="preserve">Figure </w:t>
      </w:r>
      <w:r w:rsidR="00B177F5">
        <w:rPr>
          <w:noProof/>
        </w:rPr>
        <w:t>40</w:t>
      </w:r>
      <w:r>
        <w:fldChar w:fldCharType="end"/>
      </w:r>
      <w:r w:rsidR="092B7509">
        <w:t>. GDEs m</w:t>
      </w:r>
      <w:r w:rsidR="092B7509" w:rsidRPr="092B7509">
        <w:rPr>
          <w:rFonts w:cstheme="minorBidi"/>
        </w:rPr>
        <w:t xml:space="preserve">ay depend on </w:t>
      </w:r>
      <w:r w:rsidR="00E6749D">
        <w:rPr>
          <w:rFonts w:cstheme="minorBidi"/>
        </w:rPr>
        <w:t xml:space="preserve">associated </w:t>
      </w:r>
      <w:r w:rsidR="092B7509" w:rsidRPr="092B7509">
        <w:rPr>
          <w:rFonts w:cstheme="minorBidi"/>
        </w:rPr>
        <w:t xml:space="preserve">shallow perched groundwater systems as well as discharges from deeper regional groundwater systems such as the CLA. </w:t>
      </w:r>
      <w:r w:rsidR="00E6749D">
        <w:rPr>
          <w:rFonts w:cstheme="minorBidi"/>
        </w:rPr>
        <w:t xml:space="preserve">For instance, </w:t>
      </w:r>
      <w:r w:rsidR="092B7509" w:rsidRPr="092B7509">
        <w:rPr>
          <w:rFonts w:cstheme="minorBidi"/>
        </w:rPr>
        <w:t xml:space="preserve">Mataranka </w:t>
      </w:r>
      <w:r w:rsidR="00525209">
        <w:rPr>
          <w:rFonts w:cstheme="minorBidi"/>
        </w:rPr>
        <w:t>Thermal Pools</w:t>
      </w:r>
      <w:r w:rsidR="092B7509" w:rsidRPr="092B7509">
        <w:rPr>
          <w:rFonts w:cstheme="minorBidi"/>
        </w:rPr>
        <w:t xml:space="preserve">, identified as a terrestrial GDE area, is known to be reliant on discharge from the CLA. </w:t>
      </w:r>
    </w:p>
    <w:p w14:paraId="3501FCC2" w14:textId="4AC5A9DF" w:rsidR="00AE0CA4" w:rsidRPr="00D97D44" w:rsidRDefault="092B7509" w:rsidP="00B93882">
      <w:pPr>
        <w:pStyle w:val="ListBullet"/>
        <w:numPr>
          <w:ilvl w:val="0"/>
          <w:numId w:val="0"/>
        </w:numPr>
        <w:ind w:left="567"/>
        <w:rPr>
          <w:rFonts w:cstheme="minorBidi"/>
        </w:rPr>
      </w:pPr>
      <w:r w:rsidRPr="092B7509">
        <w:rPr>
          <w:rFonts w:cstheme="minorBidi"/>
        </w:rPr>
        <w:t xml:space="preserve">Data (e.g. environmental tracers and hydrochemistry) collected as part of Stage 3 and </w:t>
      </w:r>
      <w:r w:rsidR="00525209">
        <w:rPr>
          <w:rFonts w:cstheme="minorBidi"/>
        </w:rPr>
        <w:t>by CSIRO</w:t>
      </w:r>
      <w:r w:rsidR="004E4701">
        <w:rPr>
          <w:rFonts w:cstheme="minorBidi"/>
        </w:rPr>
        <w:t>’s</w:t>
      </w:r>
      <w:r w:rsidR="00525209">
        <w:rPr>
          <w:rFonts w:cstheme="minorBidi"/>
        </w:rPr>
        <w:t xml:space="preserve"> </w:t>
      </w:r>
      <w:r w:rsidRPr="092B7509">
        <w:rPr>
          <w:rFonts w:cstheme="minorBidi"/>
        </w:rPr>
        <w:t>GISERA will help to better understand connections between aquifers and GDEs and reduce uncertainties on the understanding of the hydrogeological and hydrological systems.</w:t>
      </w:r>
    </w:p>
    <w:p w14:paraId="284A600A" w14:textId="65980862" w:rsidR="00AE0CA4" w:rsidRPr="00BC097C" w:rsidRDefault="00A240F3" w:rsidP="73ACC16E">
      <w:pPr>
        <w:pStyle w:val="ListBullet"/>
        <w:rPr>
          <w:rFonts w:cstheme="minorBidi"/>
        </w:rPr>
      </w:pPr>
      <w:r>
        <w:t>s</w:t>
      </w:r>
      <w:r w:rsidR="73ACC16E">
        <w:t xml:space="preserve">treams and wetlands </w:t>
      </w:r>
      <w:r>
        <w:t>–</w:t>
      </w:r>
      <w:r w:rsidR="73ACC16E">
        <w:t xml:space="preserve"> including</w:t>
      </w:r>
      <w:r w:rsidR="73ACC16E" w:rsidRPr="73ACC16E">
        <w:rPr>
          <w:rFonts w:cstheme="minorBidi"/>
        </w:rPr>
        <w:t xml:space="preserve"> Roper, Daly and Limmen Bight rivers, Wiso and the Barkly regions and Lake Woods (south). </w:t>
      </w:r>
    </w:p>
    <w:p w14:paraId="48533700" w14:textId="4D5ED375" w:rsidR="00AE0CA4" w:rsidRPr="00273E9B" w:rsidRDefault="00A240F3" w:rsidP="006E235C">
      <w:pPr>
        <w:pStyle w:val="ListBullet"/>
        <w:rPr>
          <w:rStyle w:val="BodyTextChar"/>
        </w:rPr>
      </w:pPr>
      <w:r>
        <w:t>s</w:t>
      </w:r>
      <w:r w:rsidR="005C6D5A" w:rsidRPr="000423B0">
        <w:t>hallow</w:t>
      </w:r>
      <w:r w:rsidR="00AE0CA4" w:rsidRPr="000423B0">
        <w:t xml:space="preserve"> groundwater bores</w:t>
      </w:r>
      <w:r w:rsidR="000423B0" w:rsidRPr="000423B0">
        <w:t xml:space="preserve"> </w:t>
      </w:r>
      <w:r>
        <w:t>–</w:t>
      </w:r>
      <w:r w:rsidR="00AE0CA4" w:rsidRPr="000423B0">
        <w:t xml:space="preserve"> used</w:t>
      </w:r>
      <w:r w:rsidR="00AE0CA4" w:rsidRPr="092B7509">
        <w:rPr>
          <w:rFonts w:cstheme="minorBidi"/>
        </w:rPr>
        <w:t xml:space="preserve"> for stock and domestic water supply, as registered in the Department of Environment and Natural Resources (NT) groundwater databases (see Section </w:t>
      </w:r>
      <w:r>
        <w:rPr>
          <w:rFonts w:cstheme="minorBidi"/>
        </w:rPr>
        <w:fldChar w:fldCharType="begin"/>
      </w:r>
      <w:r>
        <w:rPr>
          <w:rFonts w:cstheme="minorBidi"/>
        </w:rPr>
        <w:instrText xml:space="preserve"> REF _Ref534806538 \r \h </w:instrText>
      </w:r>
      <w:r>
        <w:rPr>
          <w:rFonts w:cstheme="minorBidi"/>
        </w:rPr>
      </w:r>
      <w:r>
        <w:rPr>
          <w:rFonts w:cstheme="minorBidi"/>
        </w:rPr>
        <w:fldChar w:fldCharType="separate"/>
      </w:r>
      <w:r w:rsidR="00B177F5">
        <w:rPr>
          <w:rFonts w:cstheme="minorBidi"/>
        </w:rPr>
        <w:t>2</w:t>
      </w:r>
      <w:r>
        <w:rPr>
          <w:rFonts w:cstheme="minorBidi"/>
        </w:rPr>
        <w:fldChar w:fldCharType="end"/>
      </w:r>
      <w:r w:rsidR="00AE0CA4" w:rsidRPr="092B7509">
        <w:rPr>
          <w:rFonts w:cstheme="minorBidi"/>
        </w:rPr>
        <w:t xml:space="preserve"> for detail).</w:t>
      </w:r>
      <w:r w:rsidR="000C1A72">
        <w:rPr>
          <w:rFonts w:cstheme="minorBidi"/>
        </w:rPr>
        <w:t xml:space="preserve"> Within the Beetaloo GBA region these bores draw groundwater predominantly from the CLA, Antrim Plateau </w:t>
      </w:r>
      <w:r w:rsidR="00306623">
        <w:rPr>
          <w:rFonts w:cstheme="minorBidi"/>
        </w:rPr>
        <w:t>Volcanics</w:t>
      </w:r>
      <w:r w:rsidR="000C1A72">
        <w:rPr>
          <w:rFonts w:cstheme="minorBidi"/>
        </w:rPr>
        <w:t xml:space="preserve"> or </w:t>
      </w:r>
      <w:r w:rsidR="009E7078">
        <w:rPr>
          <w:rFonts w:cstheme="minorBidi"/>
        </w:rPr>
        <w:t xml:space="preserve">Carpentaria Basin. </w:t>
      </w:r>
    </w:p>
    <w:p w14:paraId="3B71CCE6" w14:textId="78027CC6" w:rsidR="00AE0CA4" w:rsidRDefault="00C86B25" w:rsidP="000423B0">
      <w:pPr>
        <w:pStyle w:val="Figures"/>
      </w:pPr>
      <w:r>
        <w:rPr>
          <w:noProof/>
        </w:rPr>
        <w:drawing>
          <wp:inline distT="0" distB="0" distL="0" distR="0" wp14:anchorId="749CBF33" wp14:editId="7E78B69C">
            <wp:extent cx="6137275" cy="81343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screen">
                      <a:extLst>
                        <a:ext uri="{28A0092B-C50C-407E-A947-70E740481C1C}">
                          <a14:useLocalDpi xmlns:a14="http://schemas.microsoft.com/office/drawing/2010/main" val="0"/>
                        </a:ext>
                      </a:extLst>
                    </a:blip>
                    <a:srcRect/>
                    <a:stretch>
                      <a:fillRect/>
                    </a:stretch>
                  </pic:blipFill>
                  <pic:spPr bwMode="auto">
                    <a:xfrm>
                      <a:off x="0" y="0"/>
                      <a:ext cx="6137275" cy="8134350"/>
                    </a:xfrm>
                    <a:prstGeom prst="rect">
                      <a:avLst/>
                    </a:prstGeom>
                    <a:noFill/>
                    <a:ln>
                      <a:noFill/>
                    </a:ln>
                  </pic:spPr>
                </pic:pic>
              </a:graphicData>
            </a:graphic>
          </wp:inline>
        </w:drawing>
      </w:r>
    </w:p>
    <w:p w14:paraId="03A7FA2A" w14:textId="3F31083D" w:rsidR="000A29F5" w:rsidRPr="00001C61" w:rsidRDefault="00327389" w:rsidP="000A29F5">
      <w:pPr>
        <w:pStyle w:val="Caption"/>
      </w:pPr>
      <w:bookmarkStart w:id="861" w:name="_Ref14704825"/>
      <w:bookmarkStart w:id="862" w:name="_Toc38990497"/>
      <w:r>
        <w:t xml:space="preserve">Figure </w:t>
      </w:r>
      <w:r>
        <w:fldChar w:fldCharType="begin"/>
      </w:r>
      <w:r>
        <w:instrText>SEQ Figure \* ARABIC</w:instrText>
      </w:r>
      <w:r>
        <w:fldChar w:fldCharType="separate"/>
      </w:r>
      <w:r w:rsidR="00B177F5">
        <w:rPr>
          <w:noProof/>
        </w:rPr>
        <w:t>43</w:t>
      </w:r>
      <w:r>
        <w:fldChar w:fldCharType="end"/>
      </w:r>
      <w:bookmarkEnd w:id="861"/>
      <w:r w:rsidR="000A29F5">
        <w:t xml:space="preserve"> </w:t>
      </w:r>
      <w:r w:rsidR="000A29F5" w:rsidRPr="00001C61">
        <w:t xml:space="preserve">Beetaloo GBA region </w:t>
      </w:r>
      <w:r w:rsidR="00946E46" w:rsidRPr="00001C61">
        <w:t>–</w:t>
      </w:r>
      <w:r w:rsidR="000A29F5" w:rsidRPr="00001C61">
        <w:t xml:space="preserve"> surface geology, structures, footprint of </w:t>
      </w:r>
      <w:r w:rsidR="009D0B34">
        <w:fldChar w:fldCharType="begin"/>
      </w:r>
      <w:r w:rsidR="009D0B34">
        <w:instrText xml:space="preserve"> REF _Ref34248544 \h </w:instrText>
      </w:r>
      <w:r w:rsidR="009D0B34">
        <w:fldChar w:fldCharType="separate"/>
      </w:r>
      <w:r w:rsidR="00B177F5">
        <w:t xml:space="preserve">Figure </w:t>
      </w:r>
      <w:r w:rsidR="00B177F5">
        <w:rPr>
          <w:noProof/>
        </w:rPr>
        <w:t>44</w:t>
      </w:r>
      <w:r w:rsidR="009D0B34">
        <w:fldChar w:fldCharType="end"/>
      </w:r>
      <w:r w:rsidR="000A29F5" w:rsidRPr="00001C61">
        <w:t xml:space="preserve">, </w:t>
      </w:r>
      <w:r w:rsidR="000A29F5" w:rsidRPr="092B7509">
        <w:rPr>
          <w:rFonts w:asciiTheme="minorHAnsi" w:hAnsiTheme="minorHAnsi" w:cstheme="minorBidi"/>
        </w:rPr>
        <w:fldChar w:fldCharType="begin"/>
      </w:r>
      <w:r w:rsidR="000A29F5" w:rsidRPr="092B7509">
        <w:rPr>
          <w:rFonts w:asciiTheme="minorHAnsi" w:hAnsiTheme="minorHAnsi" w:cstheme="minorBidi"/>
        </w:rPr>
        <w:instrText xml:space="preserve"> REF _Ref531595642 \h  \* MERGEFORMAT </w:instrText>
      </w:r>
      <w:r w:rsidR="000A29F5" w:rsidRPr="092B7509">
        <w:rPr>
          <w:rFonts w:asciiTheme="minorHAnsi" w:hAnsiTheme="minorHAnsi" w:cstheme="minorBidi"/>
        </w:rPr>
      </w:r>
      <w:r w:rsidR="000A29F5" w:rsidRPr="092B7509">
        <w:rPr>
          <w:rFonts w:asciiTheme="minorHAnsi" w:hAnsiTheme="minorHAnsi" w:cstheme="minorBidi"/>
        </w:rPr>
        <w:fldChar w:fldCharType="separate"/>
      </w:r>
      <w:r w:rsidR="00B177F5" w:rsidRPr="00B177F5">
        <w:rPr>
          <w:rFonts w:asciiTheme="minorHAnsi" w:hAnsiTheme="minorHAnsi" w:cstheme="minorBidi"/>
        </w:rPr>
        <w:t xml:space="preserve">Figure </w:t>
      </w:r>
      <w:r w:rsidR="00B177F5" w:rsidRPr="00B177F5">
        <w:rPr>
          <w:rFonts w:asciiTheme="minorHAnsi" w:hAnsiTheme="minorHAnsi" w:cstheme="minorBidi"/>
          <w:noProof/>
        </w:rPr>
        <w:t>45</w:t>
      </w:r>
      <w:r w:rsidR="000A29F5" w:rsidRPr="092B7509">
        <w:rPr>
          <w:rFonts w:asciiTheme="minorHAnsi" w:hAnsiTheme="minorHAnsi" w:cstheme="minorBidi"/>
        </w:rPr>
        <w:fldChar w:fldCharType="end"/>
      </w:r>
      <w:r w:rsidR="000A29F5" w:rsidRPr="00001C61">
        <w:t xml:space="preserve"> and </w:t>
      </w:r>
      <w:r w:rsidR="000A29F5" w:rsidRPr="092B7509">
        <w:rPr>
          <w:rFonts w:asciiTheme="minorHAnsi" w:hAnsiTheme="minorHAnsi" w:cstheme="minorBidi"/>
        </w:rPr>
        <w:fldChar w:fldCharType="begin"/>
      </w:r>
      <w:r w:rsidR="000A29F5" w:rsidRPr="092B7509">
        <w:rPr>
          <w:rFonts w:asciiTheme="minorHAnsi" w:hAnsiTheme="minorHAnsi" w:cstheme="minorBidi"/>
        </w:rPr>
        <w:instrText xml:space="preserve"> REF _Ref531595653 \h  \* MERGEFORMAT </w:instrText>
      </w:r>
      <w:r w:rsidR="000A29F5" w:rsidRPr="092B7509">
        <w:rPr>
          <w:rFonts w:asciiTheme="minorHAnsi" w:hAnsiTheme="minorHAnsi" w:cstheme="minorBidi"/>
        </w:rPr>
      </w:r>
      <w:r w:rsidR="000A29F5" w:rsidRPr="092B7509">
        <w:rPr>
          <w:rFonts w:asciiTheme="minorHAnsi" w:hAnsiTheme="minorHAnsi" w:cstheme="minorBidi"/>
        </w:rPr>
        <w:fldChar w:fldCharType="separate"/>
      </w:r>
      <w:r w:rsidR="00B177F5" w:rsidRPr="00B177F5">
        <w:rPr>
          <w:rFonts w:asciiTheme="minorHAnsi" w:hAnsiTheme="minorHAnsi" w:cstheme="minorBidi"/>
        </w:rPr>
        <w:t xml:space="preserve">Figure </w:t>
      </w:r>
      <w:r w:rsidR="00B177F5" w:rsidRPr="00B177F5">
        <w:rPr>
          <w:rFonts w:asciiTheme="minorHAnsi" w:hAnsiTheme="minorHAnsi" w:cstheme="minorBidi"/>
          <w:noProof/>
        </w:rPr>
        <w:t>46</w:t>
      </w:r>
      <w:bookmarkEnd w:id="862"/>
      <w:r w:rsidR="000A29F5" w:rsidRPr="092B7509">
        <w:rPr>
          <w:rFonts w:asciiTheme="minorHAnsi" w:hAnsiTheme="minorHAnsi" w:cstheme="minorBidi"/>
        </w:rPr>
        <w:fldChar w:fldCharType="end"/>
      </w:r>
    </w:p>
    <w:p w14:paraId="5E34C0ED" w14:textId="0B899B56" w:rsidR="000A29F5" w:rsidRPr="000C31B4" w:rsidRDefault="749253F6" w:rsidP="749253F6">
      <w:pPr>
        <w:pStyle w:val="SourceornoteforTableorFigure"/>
      </w:pPr>
      <w:r>
        <w:t>Data:</w:t>
      </w:r>
      <w:r w:rsidR="00806436">
        <w:t xml:space="preserve"> </w:t>
      </w:r>
      <w:r w:rsidR="00A240F3">
        <w:t>f</w:t>
      </w:r>
      <w:r w:rsidR="009A1E9B">
        <w:t xml:space="preserve">aults sourced from </w:t>
      </w:r>
      <w:r>
        <w:fldChar w:fldCharType="begin"/>
      </w:r>
      <w:r w:rsidR="00F76E0D">
        <w:instrText xml:space="preserve"> ADDIN EN.CITE &lt;EndNote&gt;&lt;Cite AuthorYear="1"&gt;&lt;Author&gt;Betts&lt;/Author&gt;&lt;Year&gt;2015&lt;/Year&gt;&lt;RecNum&gt;804&lt;/RecNum&gt;&lt;DisplayText&gt;Betts et al. (2015)&lt;/DisplayText&gt;&lt;record&gt;&lt;rec-number&gt;804&lt;/rec-number&gt;&lt;foreign-keys&gt;&lt;key app="EN" db-id="wdf9tzzdhw2saee559kv0vezt0wfsta0zedv" timestamp="1552630691"&gt;804&lt;/key&gt;&lt;/foreign-keys&gt;&lt;ref-type name="Report"&gt;27&lt;/ref-type&gt;&lt;contributors&gt;&lt;authors&gt;&lt;author&gt;Betts, P.&lt;/author&gt;&lt;author&gt;Armit, R.&lt;/author&gt;&lt;author&gt;Ailleres, L.&lt;/author&gt;&lt;/authors&gt;&lt;tertiary-authors&gt;&lt;author&gt;Northern Territory Geological Survey&lt;/author&gt;&lt;/tertiary-authors&gt;&lt;subsidiary-authors&gt;&lt;author&gt;Department of Mines and Energy&lt;/author&gt;&lt;/subsidiary-authors&gt;&lt;/contributors&gt;&lt;titles&gt;&lt;title&gt;Potential-field interpretation mapping of the greater McArthur Basin. PGN Geoscience Report 15/2014&lt;/title&gt;&lt;secondary-title&gt;&amp;apos;Geophysical and structural interpretation of the greater McArthur Basin&amp;apos;. Northern Territory Geological Survey, Digital Information Package DIP 015&lt;/secondary-title&gt;&lt;/titles&gt;&lt;pages&gt;70&lt;/pages&gt;&lt;dates&gt;&lt;year&gt;2015&lt;/year&gt;&lt;/dates&gt;&lt;pub-location&gt;Darwin&lt;/pub-location&gt;&lt;publisher&gt;Northern Territory Geological Survey&lt;/publisher&gt;&lt;urls&gt;&lt;related-urls&gt;&lt;url&gt;&lt;style face="underline" font="default" size="100%"&gt;https://geoscience.nt.gov.au/gemis/ntgsjspui/handle/1/81754&lt;/style&gt;&lt;/url&gt;&lt;/related-urls&gt;&lt;/urls&gt;&lt;access-date&gt;24 October 2019&lt;/access-date&gt;&lt;/record&gt;&lt;/Cite&gt;&lt;/EndNote&gt;</w:instrText>
      </w:r>
      <w:r>
        <w:fldChar w:fldCharType="separate"/>
      </w:r>
      <w:r w:rsidR="00357ADF" w:rsidRPr="002DF632">
        <w:rPr>
          <w:noProof/>
        </w:rPr>
        <w:t>Betts et al. (2015)</w:t>
      </w:r>
      <w:r>
        <w:fldChar w:fldCharType="end"/>
      </w:r>
      <w:r w:rsidR="006C2E5C">
        <w:t>;</w:t>
      </w:r>
      <w:r w:rsidR="00275A12">
        <w:t xml:space="preserve"> unconventional gas plays footprints from </w:t>
      </w:r>
      <w:r>
        <w:fldChar w:fldCharType="begin"/>
      </w:r>
      <w:r w:rsidR="008F30E0">
        <w:instrText xml:space="preserve"> ADDIN EN.CITE &lt;EndNote&gt;&lt;Cite AuthorYear="1"&gt;&lt;Author&gt;Geological and Bioregional Assessment Program&lt;/Author&gt;&lt;Year&gt;2019&lt;/Year&gt;&lt;RecNum&gt;1284&lt;/RecNum&gt;&lt;DisplayText&gt;Geological and Bioregional Assessment Program (2019b)&lt;/DisplayText&gt;&lt;record&gt;&lt;rec-number&gt;1284&lt;/rec-number&gt;&lt;foreign-keys&gt;&lt;key app="EN" db-id="wdf9tzzdhw2saee559kv0vezt0wfsta0zedv" timestamp="1569795427"&gt;1284&lt;/key&gt;&lt;/foreign-keys&gt;&lt;ref-type name="Dataset"&gt;59&lt;/ref-type&gt;&lt;contributors&gt;&lt;authors&gt;&lt;author&gt;Geological and Bioregional Assessment Program,&lt;/author&gt;&lt;/authors&gt;&lt;secondary-authors&gt;&lt;author&gt;CSIRO,&lt;/author&gt;&lt;/secondary-authors&gt;&lt;/contributors&gt;&lt;titles&gt;&lt;title&gt;Unconventional gas plays footprint within the Beetaloo GBA region&lt;/title&gt;&lt;/titles&gt;&lt;keywords&gt;&lt;keyword&gt;GEOLOGY Mapping&lt;/keyword&gt;&lt;/keywords&gt;&lt;dates&gt;&lt;year&gt;2019&lt;/year&gt;&lt;/dates&gt;&lt;pub-location&gt;Canberra&lt;/pub-location&gt;&lt;label&gt;8AFD2AA4-8361-4D6D-B64B-125C58F14EC6&lt;/label&gt;&lt;urls&gt;&lt;related-urls&gt;&lt;url&gt;https://repo.bioregionalassessments.gov.au/metadata/8AFD2AA4-8361-4D6D-B64B-125C58F14EC6&lt;/url&gt;&lt;/related-urls&gt;&lt;/urls&gt;&lt;custom2&gt;unit of observation&lt;/custom2&gt;&lt;custom3&gt;spatial&lt;/custom3&gt;&lt;custom4&gt;dataset&lt;/custom4&gt;&lt;access-date&gt;27 September 2019&lt;/access-date&gt;&lt;/record&gt;&lt;/Cite&gt;&lt;/EndNote&gt;</w:instrText>
      </w:r>
      <w:r>
        <w:fldChar w:fldCharType="separate"/>
      </w:r>
      <w:r w:rsidR="008F30E0">
        <w:rPr>
          <w:noProof/>
        </w:rPr>
        <w:t>Geological and Bioregional Assessment Program (2019b)</w:t>
      </w:r>
      <w:r>
        <w:fldChar w:fldCharType="end"/>
      </w:r>
      <w:r w:rsidR="006C2E5C">
        <w:t>;</w:t>
      </w:r>
      <w:r w:rsidR="00026FBC">
        <w:t xml:space="preserve"> springs from </w:t>
      </w:r>
      <w:r>
        <w:fldChar w:fldCharType="begin"/>
      </w:r>
      <w:r w:rsidR="00F76E0D">
        <w:instrText xml:space="preserve"> ADDIN EN.CITE &lt;EndNote&gt;&lt;Cite AuthorYear="1"&gt;&lt;Author&gt;Department of Environment and Natural Resources (NT)&lt;/Author&gt;&lt;Year&gt;2013&lt;/Year&gt;&lt;RecNum&gt;830&lt;/RecNum&gt;&lt;DisplayText&gt;Department of Environment and Natural Resources (NT) (2013)&lt;/DisplayText&gt;&lt;record&gt;&lt;rec-number&gt;830&lt;/rec-number&gt;&lt;foreign-keys&gt;&lt;key app="EN" db-id="wdf9tzzdhw2saee559kv0vezt0wfsta0zedv" timestamp="1553215245"&gt;830&lt;/key&gt;&lt;/foreign-keys&gt;&lt;ref-type name="Dataset"&gt;59&lt;/ref-type&gt;&lt;contributors&gt;&lt;authors&gt;&lt;author&gt;Department of Environment and Natural Resources (NT),&lt;/author&gt;&lt;/authors&gt;&lt;secondary-authors&gt;&lt;author&gt;,&lt;/author&gt;&lt;/secondary-authors&gt;&lt;/contributors&gt;&lt;titles&gt;&lt;title&gt;Springs of the Northern Territory&lt;/title&gt;&lt;/titles&gt;&lt;keywords&gt;&lt;keyword&gt;WATER Hydrology Mapping, ECOLOGY biophysical, WATER Hydrology Mapping&lt;/keyword&gt;&lt;/keywords&gt;&lt;dates&gt;&lt;year&gt;2013&lt;/year&gt;&lt;/dates&gt;&lt;pub-location&gt;Canberra&lt;/pub-location&gt;&lt;label&gt;1D351848-02FB-4E90-9390-4E2F895B9F89&lt;/label&gt;&lt;urls&gt;&lt;related-urls&gt;&lt;url&gt;http://www.ntlis.nt.gov.au/metadata/export_data?type=html&amp;amp;metadata_id=E9D78F668FC02B33E040CD9B214403C3&lt;/url&gt;&lt;/related-urls&gt;&lt;/urls&gt;&lt;custom2&gt;unit of observation&lt;/custom2&gt;&lt;custom3&gt;spatial&lt;/custom3&gt;&lt;custom4&gt;dataset&lt;/custom4&gt;&lt;access-date&gt;20 March 2019&lt;/access-date&gt;&lt;/record&gt;&lt;/Cite&gt;&lt;/EndNote&gt;</w:instrText>
      </w:r>
      <w:r>
        <w:fldChar w:fldCharType="separate"/>
      </w:r>
      <w:r w:rsidR="00F456D4" w:rsidRPr="002DF632">
        <w:rPr>
          <w:noProof/>
        </w:rPr>
        <w:t>Department of Environment and Natural Resources (NT) (2013)</w:t>
      </w:r>
      <w:r>
        <w:fldChar w:fldCharType="end"/>
      </w:r>
      <w:r w:rsidR="00E00F76">
        <w:t xml:space="preserve"> and geology from </w:t>
      </w:r>
      <w:r>
        <w:fldChar w:fldCharType="begin"/>
      </w:r>
      <w:r w:rsidR="00F76E0D">
        <w:instrText xml:space="preserve"> ADDIN EN.CITE &lt;EndNote&gt;&lt;Cite AuthorYear="1"&gt;&lt;Author&gt;Geoscience Australia&lt;/Author&gt;&lt;Year&gt;2012&lt;/Year&gt;&lt;RecNum&gt;763&lt;/RecNum&gt;&lt;DisplayText&gt;Geoscience Australia (2012)&lt;/DisplayText&gt;&lt;record&gt;&lt;rec-number&gt;763&lt;/rec-number&gt;&lt;foreign-keys&gt;&lt;key app="EN" db-id="wdf9tzzdhw2saee559kv0vezt0wfsta0zedv" timestamp="1551312235"&gt;763&lt;/key&gt;&lt;/foreign-keys&gt;&lt;ref-type name="Dataset"&gt;59&lt;/ref-type&gt;&lt;contributors&gt;&lt;authors&gt;&lt;author&gt;Geoscience Australia,&lt;/author&gt;&lt;/authors&gt;&lt;secondary-authors&gt;&lt;author&gt;Geoscience Australia&lt;/author&gt;&lt;/secondary-authors&gt;&lt;/contributors&gt;&lt;titles&gt;&lt;title&gt;Surface geology of Australia 1:1 million&lt;/title&gt;&lt;/titles&gt;&lt;keywords&gt;&lt;keyword&gt;GEOLOGY Mapping&lt;/keyword&gt;&lt;/keywords&gt;&lt;dates&gt;&lt;year&gt;2012&lt;/year&gt;&lt;/dates&gt;&lt;pub-location&gt;Canberra&lt;/pub-location&gt;&lt;label&gt;A74CCABD-CB40-4741-A301-DAC9F53CEAE1&lt;/label&gt;&lt;urls&gt;&lt;related-urls&gt;&lt;url&gt;http://pid.geoscience.gov.au/dataset/ga/74619&lt;/url&gt;&lt;/related-urls&gt;&lt;/urls&gt;&lt;custom2&gt;unit of observation&lt;/custom2&gt;&lt;custom3&gt;spatial&lt;/custom3&gt;&lt;custom4&gt;dataset&lt;/custom4&gt;&lt;access-date&gt;27 March 2018&lt;/access-date&gt;&lt;/record&gt;&lt;/Cite&gt;&lt;/EndNote&gt;</w:instrText>
      </w:r>
      <w:r>
        <w:fldChar w:fldCharType="separate"/>
      </w:r>
      <w:r w:rsidR="00F456D4" w:rsidRPr="002DF632">
        <w:rPr>
          <w:noProof/>
        </w:rPr>
        <w:t>Geoscience Australia (2012)</w:t>
      </w:r>
      <w:r>
        <w:fldChar w:fldCharType="end"/>
      </w:r>
      <w:r>
        <w:br/>
        <w:t>Element: GBA-BEE-2-</w:t>
      </w:r>
      <w:r w:rsidR="00504AFA">
        <w:t>424</w:t>
      </w:r>
    </w:p>
    <w:p w14:paraId="6D3E7B46" w14:textId="02C585C6" w:rsidR="00D86359" w:rsidRDefault="00D86359" w:rsidP="0069354C">
      <w:pPr>
        <w:pStyle w:val="Heading3"/>
        <w:keepLines/>
      </w:pPr>
      <w:bookmarkStart w:id="863" w:name="_Toc4072473"/>
      <w:bookmarkStart w:id="864" w:name="_Toc5020803"/>
      <w:bookmarkStart w:id="865" w:name="_Toc5021610"/>
      <w:bookmarkStart w:id="866" w:name="_Ref5715616"/>
      <w:bookmarkStart w:id="867" w:name="_Toc5808371"/>
      <w:bookmarkStart w:id="868" w:name="_Toc5895064"/>
      <w:bookmarkStart w:id="869" w:name="_Toc6308952"/>
      <w:bookmarkStart w:id="870" w:name="_Toc6327616"/>
      <w:bookmarkStart w:id="871" w:name="_Toc38990446"/>
      <w:r>
        <w:t xml:space="preserve">Potential </w:t>
      </w:r>
      <w:r w:rsidR="00660874">
        <w:t>connectivity pathways</w:t>
      </w:r>
      <w:bookmarkEnd w:id="863"/>
      <w:bookmarkEnd w:id="864"/>
      <w:bookmarkEnd w:id="865"/>
      <w:bookmarkEnd w:id="866"/>
      <w:bookmarkEnd w:id="867"/>
      <w:bookmarkEnd w:id="868"/>
      <w:bookmarkEnd w:id="869"/>
      <w:bookmarkEnd w:id="870"/>
      <w:bookmarkEnd w:id="871"/>
    </w:p>
    <w:p w14:paraId="7D77CA92" w14:textId="7D08CC79" w:rsidR="00D86359" w:rsidRPr="00067A76" w:rsidRDefault="68E66425" w:rsidP="00067A76">
      <w:pPr>
        <w:pStyle w:val="BodyText"/>
      </w:pPr>
      <w:r w:rsidRPr="00067A76">
        <w:t>Over much of the eastern</w:t>
      </w:r>
      <w:r w:rsidR="007A689B">
        <w:t xml:space="preserve"> portion of the </w:t>
      </w:r>
      <w:r w:rsidRPr="00067A76">
        <w:t xml:space="preserve">Beetaloo GBA region, the CLA is separated from the underlying prospective Neo and Mesoproterozoic units by multiple aquitards including uppermost, the Antrim Plateau Volcanics and the underlying Hayfield mudstone </w:t>
      </w:r>
      <w:r w:rsidR="008D7D6F" w:rsidRPr="00067A76">
        <w:t>(</w:t>
      </w:r>
      <w:r w:rsidR="00856EB2">
        <w:t>s</w:t>
      </w:r>
      <w:r w:rsidR="008D7D6F" w:rsidRPr="00067A76">
        <w:t xml:space="preserve">ee Section </w:t>
      </w:r>
      <w:r w:rsidR="008D7D6F" w:rsidRPr="00067A76">
        <w:fldChar w:fldCharType="begin"/>
      </w:r>
      <w:r w:rsidR="008D7D6F" w:rsidRPr="00067A76">
        <w:instrText xml:space="preserve"> REF _Ref33450674 \r \h  \* MERGEFORMAT </w:instrText>
      </w:r>
      <w:r w:rsidR="008D7D6F" w:rsidRPr="00067A76">
        <w:fldChar w:fldCharType="separate"/>
      </w:r>
      <w:r w:rsidR="00B177F5">
        <w:t>3.2</w:t>
      </w:r>
      <w:r w:rsidR="008D7D6F" w:rsidRPr="00067A76">
        <w:fldChar w:fldCharType="end"/>
      </w:r>
      <w:r w:rsidRPr="00067A76">
        <w:t xml:space="preserve"> and </w:t>
      </w:r>
      <w:r w:rsidR="008D7D6F" w:rsidRPr="00067A76">
        <w:fldChar w:fldCharType="begin"/>
      </w:r>
      <w:r w:rsidR="00F76E0D">
        <w:instrText xml:space="preserve"> ADDIN EN.CITE &lt;EndNote&gt;&lt;Cite AuthorYear="1"&gt;&lt;Author&gt;Orr&lt;/Author&gt;&lt;Year&gt;2020&lt;/Year&gt;&lt;RecNum&gt;797&lt;/RecNum&gt;&lt;DisplayText&gt;Orr et al. (2020)&lt;/DisplayText&gt;&lt;record&gt;&lt;rec-number&gt;797&lt;/rec-number&gt;&lt;foreign-keys&gt;&lt;key app="EN" db-id="wdf9tzzdhw2saee559kv0vezt0wfsta0zedv" timestamp="1552607511"&gt;797&lt;/key&gt;&lt;/foreign-keys&gt;&lt;ref-type name="Report"&gt;27&lt;/ref-type&gt;&lt;contributors&gt;&lt;authors&gt;&lt;author&gt;Orr, M.L.,&lt;/author&gt;&lt;author&gt;Bernardel, G.,&lt;/author&gt;&lt;author&gt;Owens, R.,&lt;/author&gt;&lt;author&gt;Hall,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8D7D6F" w:rsidRPr="00067A76">
        <w:fldChar w:fldCharType="separate"/>
      </w:r>
      <w:r w:rsidR="008D7D6F" w:rsidRPr="00067A76">
        <w:rPr>
          <w:noProof/>
        </w:rPr>
        <w:t>Orr et al. (2020)</w:t>
      </w:r>
      <w:r w:rsidR="008D7D6F" w:rsidRPr="00067A76">
        <w:fldChar w:fldCharType="end"/>
      </w:r>
      <w:r w:rsidR="008D7D6F" w:rsidRPr="00067A76">
        <w:t>)</w:t>
      </w:r>
      <w:r w:rsidRPr="00067A76">
        <w:t xml:space="preserve">. The thickness of the Hayfield mudstone can reach 569 m, as recorded in exploration hole Tanumbirini-1. These collectively form a thick barrier to minimise mixing of deeper hydrocarbons and brines in the Roper Group with the lower salinity groundwater in the CLA and other shallow aquifers. However, </w:t>
      </w:r>
      <w:r w:rsidR="00D633FE">
        <w:t xml:space="preserve">in a few </w:t>
      </w:r>
      <w:r w:rsidR="00F70AB4">
        <w:t>areas</w:t>
      </w:r>
      <w:r w:rsidR="00D633FE">
        <w:t xml:space="preserve"> </w:t>
      </w:r>
      <w:r w:rsidRPr="00067A76">
        <w:t>where these intervening aquitards are absent, thinner or are fractured along faults, there may be the potential for groundwater interconnectivity between the CLA and Neoproterozoic reservoirs such as the Jamison sandstone.</w:t>
      </w:r>
    </w:p>
    <w:p w14:paraId="6308D889" w14:textId="70C7B5AC" w:rsidR="00160E77" w:rsidRPr="00067A76" w:rsidRDefault="00B93882" w:rsidP="00067A76">
      <w:pPr>
        <w:pStyle w:val="BodyText"/>
      </w:pPr>
      <w:r w:rsidRPr="00067A76">
        <w:t xml:space="preserve">Based on currently available baseline data, five </w:t>
      </w:r>
      <w:r w:rsidR="009B6D5A">
        <w:t>po</w:t>
      </w:r>
      <w:r w:rsidR="00BF7FCF">
        <w:t>tential</w:t>
      </w:r>
      <w:r w:rsidRPr="00067A76">
        <w:t xml:space="preserve"> hydrological connections could </w:t>
      </w:r>
      <w:r>
        <w:t>poss</w:t>
      </w:r>
      <w:r w:rsidRPr="00067A76">
        <w:t xml:space="preserve">ibly form pathways for groundwater and gas from deep shale </w:t>
      </w:r>
      <w:r>
        <w:t>gas,</w:t>
      </w:r>
      <w:r w:rsidRPr="00067A76">
        <w:t xml:space="preserve"> tight gas</w:t>
      </w:r>
      <w:r>
        <w:t xml:space="preserve"> and shale oil</w:t>
      </w:r>
      <w:r w:rsidRPr="00067A76">
        <w:t xml:space="preserve"> plays, or from aquifer systems under pumping (hydraulic stress) in the Beetaloo Sub-basin</w:t>
      </w:r>
      <w:r>
        <w:t>,</w:t>
      </w:r>
      <w:r w:rsidRPr="00067A76">
        <w:t xml:space="preserve"> to near-surface assets. </w:t>
      </w:r>
      <w:r w:rsidR="2CA4E9EB">
        <w:t>Therefore,</w:t>
      </w:r>
      <w:r w:rsidR="006F55C7">
        <w:t xml:space="preserve"> without further investigation some of these </w:t>
      </w:r>
      <w:r>
        <w:t xml:space="preserve">pathways </w:t>
      </w:r>
      <w:r w:rsidRPr="00067A76">
        <w:t xml:space="preserve">cannot be ruled </w:t>
      </w:r>
      <w:r w:rsidR="006F55C7">
        <w:t xml:space="preserve">in or </w:t>
      </w:r>
      <w:r w:rsidRPr="00067A76">
        <w:t>out.</w:t>
      </w:r>
      <w:r w:rsidR="006A6FB6">
        <w:t xml:space="preserve"> </w:t>
      </w:r>
      <w:r w:rsidRPr="00067A76">
        <w:t>The</w:t>
      </w:r>
      <w:r w:rsidR="006F55C7">
        <w:t xml:space="preserve"> </w:t>
      </w:r>
      <w:r w:rsidR="007C42F3">
        <w:t xml:space="preserve">development of </w:t>
      </w:r>
      <w:bookmarkStart w:id="872" w:name="_Hlk37919851"/>
      <w:r w:rsidR="00EB744F">
        <w:t xml:space="preserve">any </w:t>
      </w:r>
      <w:r w:rsidRPr="00067A76">
        <w:t>hydrological connecti</w:t>
      </w:r>
      <w:r w:rsidR="007C42F3">
        <w:t>vity</w:t>
      </w:r>
      <w:r w:rsidR="006F55C7">
        <w:t xml:space="preserve"> </w:t>
      </w:r>
      <w:bookmarkEnd w:id="872"/>
      <w:r w:rsidR="007C42F3">
        <w:t>is</w:t>
      </w:r>
      <w:r w:rsidRPr="00067A76">
        <w:t xml:space="preserve"> influenced by the natural geological framework of the Beetaloo GBA region, including the geometry of aquifers and aquitards and their internal architecture, proximity of assets to faults, vertical continuity of faults and geological heterogeneity near the basin margins. Evidence considered for this initial assessment also included hydrochemical records from groundwater and surface water</w:t>
      </w:r>
      <w:r w:rsidR="68E66425" w:rsidRPr="00067A76">
        <w:t xml:space="preserve"> (see Section </w:t>
      </w:r>
      <w:r w:rsidR="008D7D6F" w:rsidRPr="00067A76">
        <w:fldChar w:fldCharType="begin"/>
      </w:r>
      <w:r w:rsidR="008D7D6F" w:rsidRPr="00067A76">
        <w:instrText xml:space="preserve"> REF _Ref33450794 \r \h  \* MERGEFORMAT </w:instrText>
      </w:r>
      <w:r w:rsidR="008D7D6F" w:rsidRPr="00067A76">
        <w:fldChar w:fldCharType="separate"/>
      </w:r>
      <w:r w:rsidR="00B177F5">
        <w:t>3.4</w:t>
      </w:r>
      <w:r w:rsidR="008D7D6F" w:rsidRPr="00067A76">
        <w:fldChar w:fldCharType="end"/>
      </w:r>
      <w:r w:rsidR="008D7D6F" w:rsidRPr="00067A76">
        <w:t>)</w:t>
      </w:r>
      <w:r w:rsidR="68E66425" w:rsidRPr="00067A76">
        <w:t>.</w:t>
      </w:r>
    </w:p>
    <w:p w14:paraId="6567F6AE" w14:textId="1A70CE57" w:rsidR="00160E77" w:rsidRPr="00AC418C" w:rsidRDefault="00160E77" w:rsidP="00AC418C">
      <w:pPr>
        <w:pStyle w:val="BodyText"/>
      </w:pPr>
      <w:r w:rsidRPr="00AC418C">
        <w:t xml:space="preserve">The five </w:t>
      </w:r>
      <w:r w:rsidR="009B6D5A">
        <w:t>possible</w:t>
      </w:r>
      <w:r w:rsidRPr="00AC418C">
        <w:t xml:space="preserve"> hydrological connections are:</w:t>
      </w:r>
    </w:p>
    <w:p w14:paraId="606F552A" w14:textId="735F2D5B" w:rsidR="00160E77" w:rsidRPr="00AC418C" w:rsidRDefault="00B80F6F" w:rsidP="00C761B1">
      <w:pPr>
        <w:pStyle w:val="ListNumber"/>
        <w:numPr>
          <w:ilvl w:val="0"/>
          <w:numId w:val="20"/>
        </w:numPr>
      </w:pPr>
      <w:bookmarkStart w:id="873" w:name="_Hlk34747993"/>
      <w:r>
        <w:t xml:space="preserve">via </w:t>
      </w:r>
      <w:r w:rsidR="0A539EBA" w:rsidRPr="00AC418C">
        <w:t>direct stratigraphic contact</w:t>
      </w:r>
    </w:p>
    <w:p w14:paraId="2A2311F0" w14:textId="2F9E7BE9" w:rsidR="00160E77" w:rsidRPr="00AC418C" w:rsidRDefault="00B80F6F" w:rsidP="00C761B1">
      <w:pPr>
        <w:pStyle w:val="ListNumber"/>
        <w:numPr>
          <w:ilvl w:val="0"/>
          <w:numId w:val="20"/>
        </w:numPr>
      </w:pPr>
      <w:r>
        <w:t xml:space="preserve">via </w:t>
      </w:r>
      <w:r w:rsidR="68E66425" w:rsidRPr="00AC418C">
        <w:t>faults</w:t>
      </w:r>
    </w:p>
    <w:p w14:paraId="1E73EA53" w14:textId="03FE59AD" w:rsidR="00160E77" w:rsidRPr="00AC418C" w:rsidRDefault="68E66425" w:rsidP="00C761B1">
      <w:pPr>
        <w:pStyle w:val="ListNumber"/>
        <w:numPr>
          <w:ilvl w:val="0"/>
          <w:numId w:val="20"/>
        </w:numPr>
      </w:pPr>
      <w:r w:rsidRPr="00AC418C">
        <w:t>through porous/karst aquifers</w:t>
      </w:r>
    </w:p>
    <w:p w14:paraId="5FF1263A" w14:textId="37D72302" w:rsidR="00160E77" w:rsidRPr="00AC418C" w:rsidRDefault="00160E77" w:rsidP="00C761B1">
      <w:pPr>
        <w:pStyle w:val="ListNumber"/>
        <w:numPr>
          <w:ilvl w:val="0"/>
          <w:numId w:val="20"/>
        </w:numPr>
      </w:pPr>
      <w:r w:rsidRPr="00AC418C">
        <w:t>through partial aquifers/aquitards reaching overlying aquifers</w:t>
      </w:r>
    </w:p>
    <w:p w14:paraId="41546220" w14:textId="7B71DD17" w:rsidR="00160E77" w:rsidRPr="00AC418C" w:rsidRDefault="00B80F6F" w:rsidP="00C761B1">
      <w:pPr>
        <w:pStyle w:val="ListNumber"/>
        <w:numPr>
          <w:ilvl w:val="0"/>
          <w:numId w:val="20"/>
        </w:numPr>
      </w:pPr>
      <w:r>
        <w:t xml:space="preserve">via </w:t>
      </w:r>
      <w:r w:rsidR="0A539EBA" w:rsidRPr="00AC418C">
        <w:t>groundwater discharge from CLA aquifer to springs.</w:t>
      </w:r>
    </w:p>
    <w:bookmarkEnd w:id="873"/>
    <w:p w14:paraId="5EE65CF2" w14:textId="6FCDA6BD" w:rsidR="00A7439D" w:rsidRDefault="00B93882" w:rsidP="009B6D5A">
      <w:pPr>
        <w:pStyle w:val="BodyText"/>
      </w:pPr>
      <w:r w:rsidRPr="00AC418C">
        <w:t>It is important to point out that a combination of pathways may be required to allow migration of fluids or pressure from the hydrocarbon plays to near-surface assets</w:t>
      </w:r>
      <w:r w:rsidR="0013290E">
        <w:t xml:space="preserve">, </w:t>
      </w:r>
      <w:r w:rsidR="00EB744F">
        <w:t xml:space="preserve">and that </w:t>
      </w:r>
      <w:r w:rsidR="008E7C67">
        <w:t xml:space="preserve">if </w:t>
      </w:r>
      <w:r w:rsidR="00EB744F">
        <w:t xml:space="preserve">these conditions </w:t>
      </w:r>
      <w:r w:rsidR="008E7C67">
        <w:t xml:space="preserve">occur </w:t>
      </w:r>
      <w:r w:rsidR="2B4A6BCA">
        <w:t xml:space="preserve">they </w:t>
      </w:r>
      <w:r w:rsidR="00A7439D">
        <w:t xml:space="preserve">may not </w:t>
      </w:r>
      <w:r w:rsidR="00EB744F">
        <w:t xml:space="preserve">manifest </w:t>
      </w:r>
      <w:r w:rsidR="00A7439D">
        <w:t>o</w:t>
      </w:r>
      <w:r w:rsidR="00EB744F">
        <w:t xml:space="preserve">n a </w:t>
      </w:r>
      <w:r w:rsidR="0013290E" w:rsidRPr="0013290E">
        <w:t>human timescale</w:t>
      </w:r>
      <w:r w:rsidRPr="00AC418C">
        <w:t xml:space="preserve">. </w:t>
      </w:r>
      <w:r w:rsidR="009B6D5A">
        <w:t>Through the five pathways, the key areas of potential concern for groundwater include:</w:t>
      </w:r>
      <w:r w:rsidR="0013290E" w:rsidRPr="0013290E">
        <w:t xml:space="preserve"> </w:t>
      </w:r>
    </w:p>
    <w:p w14:paraId="56240756" w14:textId="77777777" w:rsidR="009B6D5A" w:rsidRDefault="009B6D5A" w:rsidP="00C761B1">
      <w:pPr>
        <w:pStyle w:val="ListBullet"/>
        <w:numPr>
          <w:ilvl w:val="0"/>
          <w:numId w:val="4"/>
        </w:numPr>
      </w:pPr>
      <w:r w:rsidRPr="00231134">
        <w:t>connectivity</w:t>
      </w:r>
      <w:r>
        <w:t xml:space="preserve"> issues associated with gas and petroleum production from prospective Roper Group formations, whereby impacts could propagate to overlying groundwater systems (pathways 1 and 2)</w:t>
      </w:r>
    </w:p>
    <w:p w14:paraId="3F3A4815" w14:textId="77777777" w:rsidR="009B6D5A" w:rsidRPr="00C07647" w:rsidRDefault="009B6D5A" w:rsidP="00C761B1">
      <w:pPr>
        <w:pStyle w:val="ListBullet"/>
        <w:numPr>
          <w:ilvl w:val="0"/>
          <w:numId w:val="4"/>
        </w:numPr>
        <w:rPr>
          <w:szCs w:val="24"/>
        </w:rPr>
      </w:pPr>
      <w:r>
        <w:t>connectivity issues associated with extracting groundwater from units above the Roper Group for use in petroleum resource development, whereby impacts may spread to existing groundwater users and the environment through shallow groundwater systems (pathways 1, 2 and 3)</w:t>
      </w:r>
    </w:p>
    <w:p w14:paraId="39EC1F4D" w14:textId="77777777" w:rsidR="009B6D5A" w:rsidRPr="00C07647" w:rsidRDefault="009B6D5A" w:rsidP="00C761B1">
      <w:pPr>
        <w:pStyle w:val="ListBullet"/>
        <w:numPr>
          <w:ilvl w:val="0"/>
          <w:numId w:val="4"/>
        </w:numPr>
        <w:rPr>
          <w:szCs w:val="24"/>
        </w:rPr>
      </w:pPr>
      <w:r>
        <w:t>connectivity through shallow aquifers (e.g. karst features in the CLA) enabling migration of contamination due to infiltration of surface spills from petroleum development or production. Effects from points 1 and 2 above may also follow this pathway (pathways 3, 4 and 5).</w:t>
      </w:r>
    </w:p>
    <w:p w14:paraId="5D454468" w14:textId="47F85E27" w:rsidR="00160E77" w:rsidRPr="00AC418C" w:rsidRDefault="00B93882" w:rsidP="00AC418C">
      <w:pPr>
        <w:pStyle w:val="BodyText"/>
      </w:pPr>
      <w:r w:rsidRPr="00AC418C">
        <w:t>Furthermore, it is important to highlight that the limited available baseline data and groundwater observation bore infrastructure (i.e. the absence of multi-level groundwater observation sites where aquifers at different depths are monitored simultaneously) means that some pathways cannot be ruled in or out at present. However, additional collection of hydrochemical data</w:t>
      </w:r>
      <w:r>
        <w:t xml:space="preserve"> and </w:t>
      </w:r>
      <w:r w:rsidRPr="00AC418C">
        <w:t>environmental tracers</w:t>
      </w:r>
      <w:r>
        <w:t>,</w:t>
      </w:r>
      <w:r w:rsidRPr="00AC418C">
        <w:t xml:space="preserve"> </w:t>
      </w:r>
      <w:r>
        <w:t>along with</w:t>
      </w:r>
      <w:r w:rsidRPr="00AC418C">
        <w:t xml:space="preserve"> modelling conducted during Stage 3 may allow some of the pathways </w:t>
      </w:r>
      <w:r>
        <w:t xml:space="preserve">to be </w:t>
      </w:r>
      <w:r w:rsidR="008531C0">
        <w:t>ruled out</w:t>
      </w:r>
      <w:r>
        <w:t xml:space="preserve"> </w:t>
      </w:r>
      <w:r w:rsidRPr="00AC418C">
        <w:t>if the assessment indicates that activities associated with unconventional gas development are unlikely to result in actual impacts along a potential hydrological connection.</w:t>
      </w:r>
      <w:r w:rsidR="68E66425" w:rsidRPr="00AC418C">
        <w:t xml:space="preserve"> </w:t>
      </w:r>
    </w:p>
    <w:p w14:paraId="455E415E" w14:textId="77777777" w:rsidR="00160E77" w:rsidRPr="00FB59D2" w:rsidRDefault="52CE5417" w:rsidP="008A2FFC">
      <w:pPr>
        <w:pStyle w:val="Heading4"/>
        <w:numPr>
          <w:ilvl w:val="2"/>
          <w:numId w:val="0"/>
        </w:numPr>
        <w:ind w:left="1134" w:hanging="1134"/>
      </w:pPr>
      <w:r>
        <w:t>① Potential connection via direct stratigraphic contact</w:t>
      </w:r>
    </w:p>
    <w:p w14:paraId="66B5E85F" w14:textId="77777777" w:rsidR="00B93882" w:rsidRDefault="00B93882" w:rsidP="00B93882">
      <w:pPr>
        <w:pStyle w:val="BodyText"/>
      </w:pPr>
      <w:r>
        <w:t>Two possible scenarios of hydraulic connection may occur where a direct stratigraphic contact exists between the potential unconventional gas plays and adjacent overlying environmental assets (aquifers and associated surface features e.g. springs).</w:t>
      </w:r>
    </w:p>
    <w:p w14:paraId="36AF58E1" w14:textId="07BBDC2A" w:rsidR="00160E77" w:rsidRPr="00D97D44" w:rsidRDefault="00B93882" w:rsidP="00B93882">
      <w:pPr>
        <w:pStyle w:val="BodyText"/>
        <w:rPr>
          <w:highlight w:val="yellow"/>
          <w:lang w:val="en-US"/>
        </w:rPr>
      </w:pPr>
      <w:r>
        <w:t>An evident connectivity pathway ‘gas plays – asset aquifer’ may be represented by the contact between the Velkerri and Kyalla formation</w:t>
      </w:r>
      <w:r w:rsidR="008531C0">
        <w:t>s</w:t>
      </w:r>
      <w:r>
        <w:t xml:space="preserve"> with overlying units such as the Moroak Sandstone and Jamison sandstone</w:t>
      </w:r>
      <w:r w:rsidR="009B6D5A">
        <w:t>.</w:t>
      </w:r>
      <w:r w:rsidR="009B6D5A" w:rsidRPr="009B6D5A">
        <w:t xml:space="preserve"> </w:t>
      </w:r>
      <w:r w:rsidR="009B6D5A">
        <w:t>Groundwater quality can be relatively poor in these hydrostratigraphic units and they have highly variable hydraulic properties due to predominance of secondary porosity.</w:t>
      </w:r>
      <w:r>
        <w:t xml:space="preserve"> The Kyalla Formation is also in direct contact with other overlying formations, including the Bukalara Sandstone, Antrim Plateau Volcanics and CLA, in discrete areas </w:t>
      </w:r>
      <w:bookmarkStart w:id="874" w:name="_Hlk37939260"/>
      <w:r>
        <w:t>near the margins of the Beetaloo GBA region</w:t>
      </w:r>
      <w:r w:rsidR="316F7D2C">
        <w:t xml:space="preserve"> </w:t>
      </w:r>
      <w:bookmarkEnd w:id="874"/>
      <w:r w:rsidR="316F7D2C" w:rsidRPr="006C2E5C">
        <w:t>(</w:t>
      </w:r>
      <w:r w:rsidR="006C2E5C" w:rsidRPr="006C2E5C">
        <w:t>s</w:t>
      </w:r>
      <w:r w:rsidR="3636D334" w:rsidRPr="006C2E5C">
        <w:t xml:space="preserve">ee </w:t>
      </w:r>
      <w:r w:rsidR="006C2E5C">
        <w:fldChar w:fldCharType="begin"/>
      </w:r>
      <w:r w:rsidR="006C2E5C">
        <w:instrText xml:space="preserve"> REF _Ref34248544 \h </w:instrText>
      </w:r>
      <w:r w:rsidR="006C2E5C">
        <w:fldChar w:fldCharType="separate"/>
      </w:r>
      <w:r w:rsidR="00B177F5">
        <w:t xml:space="preserve">Figure </w:t>
      </w:r>
      <w:r w:rsidR="00B177F5">
        <w:rPr>
          <w:noProof/>
        </w:rPr>
        <w:t>44</w:t>
      </w:r>
      <w:r w:rsidR="006C2E5C">
        <w:fldChar w:fldCharType="end"/>
      </w:r>
      <w:r w:rsidR="006C2E5C">
        <w:t xml:space="preserve">, </w:t>
      </w:r>
      <w:r w:rsidR="006C2E5C">
        <w:fldChar w:fldCharType="begin"/>
      </w:r>
      <w:r w:rsidR="006C2E5C">
        <w:instrText xml:space="preserve"> REF _Ref531595642 \h </w:instrText>
      </w:r>
      <w:r w:rsidR="006C2E5C">
        <w:fldChar w:fldCharType="separate"/>
      </w:r>
      <w:r w:rsidR="00B177F5" w:rsidRPr="00001C61">
        <w:t xml:space="preserve">Figure </w:t>
      </w:r>
      <w:r w:rsidR="00B177F5">
        <w:rPr>
          <w:noProof/>
        </w:rPr>
        <w:t>45</w:t>
      </w:r>
      <w:r w:rsidR="006C2E5C">
        <w:fldChar w:fldCharType="end"/>
      </w:r>
      <w:r w:rsidR="006C2E5C">
        <w:t xml:space="preserve"> and </w:t>
      </w:r>
      <w:r w:rsidR="006C2E5C">
        <w:fldChar w:fldCharType="begin"/>
      </w:r>
      <w:r w:rsidR="006C2E5C">
        <w:instrText xml:space="preserve"> REF _Ref531595653 \h </w:instrText>
      </w:r>
      <w:r w:rsidR="006C2E5C">
        <w:fldChar w:fldCharType="separate"/>
      </w:r>
      <w:r w:rsidR="00B177F5" w:rsidRPr="00001C61">
        <w:t xml:space="preserve">Figure </w:t>
      </w:r>
      <w:r w:rsidR="00B177F5">
        <w:rPr>
          <w:noProof/>
        </w:rPr>
        <w:t>46</w:t>
      </w:r>
      <w:r w:rsidR="006C2E5C">
        <w:fldChar w:fldCharType="end"/>
      </w:r>
      <w:r w:rsidR="006C2E5C">
        <w:t xml:space="preserve"> </w:t>
      </w:r>
      <w:r w:rsidR="3636D334" w:rsidRPr="006C2E5C">
        <w:t>for examples).</w:t>
      </w:r>
      <w:r w:rsidR="3636D334">
        <w:t xml:space="preserve"> </w:t>
      </w:r>
    </w:p>
    <w:p w14:paraId="30EA6DF3" w14:textId="2B25DA2B" w:rsidR="00B3204C" w:rsidRDefault="68E66425" w:rsidP="000423B0">
      <w:pPr>
        <w:pStyle w:val="BodyText"/>
      </w:pPr>
      <w:r>
        <w:t xml:space="preserve">As noted in </w:t>
      </w:r>
      <w:r>
        <w:fldChar w:fldCharType="begin"/>
      </w:r>
      <w:r>
        <w:instrText xml:space="preserve"> REF _Ref34248544 \h </w:instrText>
      </w:r>
      <w:r>
        <w:fldChar w:fldCharType="separate"/>
      </w:r>
      <w:r w:rsidR="00B177F5">
        <w:t xml:space="preserve">Figure </w:t>
      </w:r>
      <w:r w:rsidR="00B177F5">
        <w:rPr>
          <w:noProof/>
        </w:rPr>
        <w:t>44</w:t>
      </w:r>
      <w:r>
        <w:fldChar w:fldCharType="end"/>
      </w:r>
      <w:r>
        <w:t xml:space="preserve">, </w:t>
      </w:r>
      <w:r w:rsidR="00B93882">
        <w:t xml:space="preserve">the thickness of the Undifferentiated Neoproterozoic, a hydrostratigraphic unit positioned between the </w:t>
      </w:r>
      <w:r w:rsidR="009E621B">
        <w:t xml:space="preserve">shale gas bearing </w:t>
      </w:r>
      <w:r w:rsidR="00B93882">
        <w:t xml:space="preserve">Kyalla Formation and the aquitard Antrim Plateau Volcanics is significantly reduced (&lt;50 m) in the north-west corner of the </w:t>
      </w:r>
      <w:bookmarkStart w:id="875" w:name="_Hlk38360499"/>
      <w:r w:rsidR="009E621B">
        <w:t xml:space="preserve">western portion of the </w:t>
      </w:r>
      <w:bookmarkEnd w:id="875"/>
      <w:r w:rsidR="00B93882">
        <w:t xml:space="preserve">Beetaloo </w:t>
      </w:r>
      <w:r w:rsidR="009E621B">
        <w:t>Sub-basin</w:t>
      </w:r>
      <w:r w:rsidR="00B93882">
        <w:t>. In fact, the Kyalla Formation is possibly in direct contact with Antrim Plateau Volcanics near the zone represented in the cross-section, which may explain the occurrence of measurable methane (CH</w:t>
      </w:r>
      <w:r w:rsidR="00B93882" w:rsidRPr="00AC418C">
        <w:rPr>
          <w:rStyle w:val="Subscript"/>
        </w:rPr>
        <w:t>4</w:t>
      </w:r>
      <w:r w:rsidR="00B93882">
        <w:t>) in this highly fractured unit and in the CLA. It is important to note that no mapped faults appear to be in proximity to samples with CH</w:t>
      </w:r>
      <w:r w:rsidR="00B93882" w:rsidRPr="68E66425">
        <w:rPr>
          <w:rStyle w:val="Subscript"/>
        </w:rPr>
        <w:t>4</w:t>
      </w:r>
      <w:r w:rsidR="00B93882">
        <w:t xml:space="preserve"> concentration above 50 µg/L in the western part of the Beetaloo GBA region, which is consistent with the hypothesis that the dissolved gas in groundwater is the result of direct stratigraphic contact (gas play – aquitard/aquifer), enhanced by fractured zones in Antrim Plateau Volcanics and karstic conditions in the CLA.</w:t>
      </w:r>
    </w:p>
    <w:p w14:paraId="1599B203" w14:textId="15B3EFEF" w:rsidR="364CDB1F" w:rsidRDefault="364CDB1F" w:rsidP="002DF632">
      <w:pPr>
        <w:pStyle w:val="BodyText"/>
        <w:rPr>
          <w:rFonts w:cstheme="minorBidi"/>
          <w:lang w:val="en-US"/>
        </w:rPr>
      </w:pPr>
      <w:bookmarkStart w:id="876" w:name="_Hlk35595782"/>
      <w:r w:rsidRPr="002DF632">
        <w:rPr>
          <w:rFonts w:cstheme="minorBidi"/>
          <w:lang w:val="en-US"/>
        </w:rPr>
        <w:t>There is evidence of upward hydraulic gradients from the Roper Group towards overlying sequences</w:t>
      </w:r>
      <w:r w:rsidR="00F76E0D">
        <w:rPr>
          <w:rFonts w:cstheme="minorBidi"/>
          <w:lang w:val="en-US"/>
        </w:rPr>
        <w:t xml:space="preserve"> </w:t>
      </w:r>
      <w:r w:rsidR="00F76E0D">
        <w:rPr>
          <w:rFonts w:cstheme="minorBidi"/>
          <w:lang w:val="en-US"/>
        </w:rPr>
        <w:fldChar w:fldCharType="begin"/>
      </w:r>
      <w:r w:rsidR="00F76E0D">
        <w:rPr>
          <w:rFonts w:cstheme="minorBidi"/>
          <w:lang w:val="en-US"/>
        </w:rPr>
        <w:instrText xml:space="preserve"> ADDIN EN.CITE &lt;EndNote&gt;&lt;Cite&gt;&lt;Author&gt;Origin Energy&lt;/Author&gt;&lt;Year&gt;2019&lt;/Year&gt;&lt;RecNum&gt;1519&lt;/RecNum&gt;&lt;DisplayText&gt;(Origin Energy, 2019)&lt;/DisplayText&gt;&lt;record&gt;&lt;rec-number&gt;1519&lt;/rec-number&gt;&lt;foreign-keys&gt;&lt;key app="EN" db-id="wdf9tzzdhw2saee559kv0vezt0wfsta0zedv" timestamp="1587707256"&gt;1519&lt;/key&gt;&lt;/foreign-keys&gt;&lt;ref-type name="Dataset"&gt;59&lt;/ref-type&gt;&lt;contributors&gt;&lt;authors&gt;&lt;author&gt;Origin Energy,&lt;/author&gt;&lt;/authors&gt;&lt;secondary-authors&gt;&lt;author&gt;Geoscience Australia,&lt;/author&gt;&lt;/secondary-authors&gt;&lt;/contributors&gt;&lt;titles&gt;&lt;title&gt;Origin Data Package&lt;/title&gt;&lt;/titles&gt;&lt;keywords&gt;&lt;keyword&gt;WATER Quality, hydrogeology&lt;/keyword&gt;&lt;/keywords&gt;&lt;dates&gt;&lt;year&gt;2019&lt;/year&gt;&lt;/dates&gt;&lt;pub-location&gt;Canberra&lt;/pub-location&gt;&lt;label&gt;0BE0A3FE-7C2E-48EF-B890-F42C38EEF24F&lt;/label&gt;&lt;urls&gt;&lt;related-urls&gt;&lt;url&gt;https://www.originenergy.com.au/&lt;/url&gt;&lt;/related-urls&gt;&lt;/urls&gt;&lt;custom2&gt;unit of observation&lt;/custom2&gt;&lt;custom3&gt;tabular&lt;/custom3&gt;&lt;custom4&gt;dataset&lt;/custom4&gt;&lt;access-date&gt;24 April 2020&lt;/access-date&gt;&lt;/record&gt;&lt;/Cite&gt;&lt;/EndNote&gt;</w:instrText>
      </w:r>
      <w:r w:rsidR="00F76E0D">
        <w:rPr>
          <w:rFonts w:cstheme="minorBidi"/>
          <w:lang w:val="en-US"/>
        </w:rPr>
        <w:fldChar w:fldCharType="separate"/>
      </w:r>
      <w:r w:rsidR="00F76E0D">
        <w:rPr>
          <w:rFonts w:cstheme="minorBidi"/>
          <w:noProof/>
          <w:lang w:val="en-US"/>
        </w:rPr>
        <w:t>(Origin Energy, 2019)</w:t>
      </w:r>
      <w:r w:rsidR="00F76E0D">
        <w:rPr>
          <w:rFonts w:cstheme="minorBidi"/>
          <w:lang w:val="en-US"/>
        </w:rPr>
        <w:fldChar w:fldCharType="end"/>
      </w:r>
      <w:r w:rsidRPr="002DF632">
        <w:rPr>
          <w:rFonts w:cstheme="minorBidi"/>
          <w:lang w:val="en-US"/>
        </w:rPr>
        <w:t>. Actual vertical fluid movement can only occur where a conductive pathway exists.</w:t>
      </w:r>
      <w:bookmarkEnd w:id="876"/>
      <w:r w:rsidRPr="002DF632">
        <w:rPr>
          <w:rFonts w:cstheme="minorBidi"/>
          <w:lang w:val="en-US"/>
        </w:rPr>
        <w:t xml:space="preserve"> </w:t>
      </w:r>
      <w:r w:rsidR="00B93882" w:rsidRPr="07105C0A">
        <w:rPr>
          <w:rFonts w:cstheme="minorBidi"/>
          <w:lang w:val="en-US"/>
        </w:rPr>
        <w:t>Whether upward directed pressure gradients occur where aquitards are missing is not known. However, if they were this could allow for the movement of groundwater from deeper aquifers</w:t>
      </w:r>
      <w:r w:rsidR="00EF03E1">
        <w:rPr>
          <w:rFonts w:cstheme="minorBidi"/>
          <w:lang w:val="en-US"/>
        </w:rPr>
        <w:t>.</w:t>
      </w:r>
      <w:r w:rsidR="00B93882" w:rsidRPr="07105C0A">
        <w:rPr>
          <w:rFonts w:cstheme="minorBidi"/>
          <w:lang w:val="en-US"/>
        </w:rPr>
        <w:t xml:space="preserve"> This marks an additional conducive factor to fluid migration along zones where stratigraphic contacts exist. It should be noted that such connectivity can be further enhanced by the presence of geological structures, as described by connectivity pathway 2.</w:t>
      </w:r>
    </w:p>
    <w:p w14:paraId="5B701F20" w14:textId="46F9E3E0" w:rsidR="002DF632" w:rsidRDefault="002DF632" w:rsidP="002DF632">
      <w:pPr>
        <w:pStyle w:val="BodyText"/>
      </w:pPr>
    </w:p>
    <w:p w14:paraId="0434437B" w14:textId="57168CBC" w:rsidR="004A524D" w:rsidRDefault="00C30DF3" w:rsidP="000423B0">
      <w:pPr>
        <w:pStyle w:val="Figures"/>
        <w:rPr>
          <w:rFonts w:cstheme="minorBidi"/>
        </w:rPr>
      </w:pPr>
      <w:r>
        <w:rPr>
          <w:noProof/>
        </w:rPr>
        <w:drawing>
          <wp:inline distT="0" distB="0" distL="0" distR="0" wp14:anchorId="1721E5F6" wp14:editId="18E956B6">
            <wp:extent cx="6083802" cy="43891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S3_v2_draft1.png"/>
                    <pic:cNvPicPr/>
                  </pic:nvPicPr>
                  <pic:blipFill rotWithShape="1">
                    <a:blip r:embed="rId106" cstate="screen">
                      <a:extLst>
                        <a:ext uri="{28A0092B-C50C-407E-A947-70E740481C1C}">
                          <a14:useLocalDpi xmlns:a14="http://schemas.microsoft.com/office/drawing/2010/main" val="0"/>
                        </a:ext>
                      </a:extLst>
                    </a:blip>
                    <a:srcRect l="2873" r="21723" b="31639"/>
                    <a:stretch/>
                  </pic:blipFill>
                  <pic:spPr bwMode="auto">
                    <a:xfrm>
                      <a:off x="0" y="0"/>
                      <a:ext cx="6104517" cy="4404064"/>
                    </a:xfrm>
                    <a:prstGeom prst="rect">
                      <a:avLst/>
                    </a:prstGeom>
                    <a:ln>
                      <a:noFill/>
                    </a:ln>
                    <a:extLst>
                      <a:ext uri="{53640926-AAD7-44D8-BBD7-CCE9431645EC}">
                        <a14:shadowObscured xmlns:a14="http://schemas.microsoft.com/office/drawing/2010/main"/>
                      </a:ext>
                    </a:extLst>
                  </pic:spPr>
                </pic:pic>
              </a:graphicData>
            </a:graphic>
          </wp:inline>
        </w:drawing>
      </w:r>
    </w:p>
    <w:p w14:paraId="2D4B6DAC" w14:textId="25430804" w:rsidR="006E7C22" w:rsidRPr="00200642" w:rsidRDefault="68E66425" w:rsidP="00200642">
      <w:pPr>
        <w:pStyle w:val="Caption"/>
      </w:pPr>
      <w:bookmarkStart w:id="877" w:name="_Ref34248544"/>
      <w:bookmarkStart w:id="878" w:name="_Ref14771095"/>
      <w:bookmarkStart w:id="879" w:name="_Ref14852388"/>
      <w:bookmarkStart w:id="880" w:name="_Toc38990498"/>
      <w:r>
        <w:t xml:space="preserve">Figure </w:t>
      </w:r>
      <w:r w:rsidR="00F26F27">
        <w:fldChar w:fldCharType="begin"/>
      </w:r>
      <w:r w:rsidR="00F26F27">
        <w:instrText>SEQ Figure \* ARABIC</w:instrText>
      </w:r>
      <w:r w:rsidR="00F26F27">
        <w:fldChar w:fldCharType="separate"/>
      </w:r>
      <w:r w:rsidR="00B177F5">
        <w:rPr>
          <w:noProof/>
        </w:rPr>
        <w:t>44</w:t>
      </w:r>
      <w:r w:rsidR="00F26F27">
        <w:fldChar w:fldCharType="end"/>
      </w:r>
      <w:bookmarkEnd w:id="877"/>
      <w:r>
        <w:t xml:space="preserve"> Cross-section C-C’ with west–east orientation </w:t>
      </w:r>
      <w:r w:rsidR="008D7D6F">
        <w:t>through the</w:t>
      </w:r>
      <w:r>
        <w:t xml:space="preserve"> western Beetaloo GBA region and highlighting the potential for stratigraphic contact between possible gas play stressors and overlying aquifers and assets</w:t>
      </w:r>
      <w:bookmarkStart w:id="881" w:name="_Hlk14705664"/>
      <w:bookmarkEnd w:id="878"/>
      <w:bookmarkEnd w:id="879"/>
      <w:bookmarkEnd w:id="880"/>
    </w:p>
    <w:bookmarkEnd w:id="881"/>
    <w:p w14:paraId="31930410" w14:textId="78B2E56F" w:rsidR="004A524D" w:rsidRPr="003F3B98" w:rsidRDefault="749253F6" w:rsidP="00200642">
      <w:pPr>
        <w:pStyle w:val="SourceornoteforTableorFigure"/>
        <w:rPr>
          <w:highlight w:val="yellow"/>
        </w:rPr>
      </w:pPr>
      <w:r w:rsidRPr="749253F6">
        <w:t xml:space="preserve">The five potential hydrological connections are: 1. </w:t>
      </w:r>
      <w:r w:rsidR="00390580">
        <w:t>via d</w:t>
      </w:r>
      <w:r w:rsidRPr="749253F6">
        <w:t xml:space="preserve">irect stratigraphic contact; 2. </w:t>
      </w:r>
      <w:r w:rsidR="00390580">
        <w:t xml:space="preserve">via </w:t>
      </w:r>
      <w:r w:rsidRPr="749253F6">
        <w:t xml:space="preserve">faults; 3. </w:t>
      </w:r>
      <w:r w:rsidR="00390580">
        <w:t>t</w:t>
      </w:r>
      <w:r w:rsidRPr="749253F6">
        <w:t xml:space="preserve">hrough porous/karst aquifers; 4. </w:t>
      </w:r>
      <w:r w:rsidR="00390580">
        <w:t>t</w:t>
      </w:r>
      <w:r w:rsidRPr="749253F6">
        <w:t xml:space="preserve">hrough </w:t>
      </w:r>
      <w:r w:rsidR="00390580">
        <w:t>partial aquifers/</w:t>
      </w:r>
      <w:r w:rsidRPr="749253F6">
        <w:t>aquitards</w:t>
      </w:r>
      <w:r w:rsidR="00390580">
        <w:t xml:space="preserve"> reaching overlying aquifers</w:t>
      </w:r>
      <w:r w:rsidRPr="749253F6">
        <w:t xml:space="preserve">; 5. </w:t>
      </w:r>
      <w:r w:rsidR="00390580">
        <w:t>v</w:t>
      </w:r>
      <w:r w:rsidRPr="749253F6">
        <w:t xml:space="preserve">ia </w:t>
      </w:r>
      <w:r w:rsidR="00390580">
        <w:t>groundwater discharge from CLA aquifer to springs</w:t>
      </w:r>
      <w:r w:rsidRPr="749253F6">
        <w:t>.</w:t>
      </w:r>
      <w:r w:rsidR="00856EB2">
        <w:br/>
      </w:r>
      <w:r w:rsidRPr="749253F6">
        <w:t xml:space="preserve">NMT – Nathan/McArthur/Tawallah Groups; MLRG – Middle to Lower Roper Group; VF – Velkerri Formation (WM – Wyworrie Member, AM – Amungee Member; KM – Kalala Member); MS – Moroak Sandstone; KF – Kyalla Formation; JS – Jamison sandstone; HM – Hayfield mudstone; UKM – Upper Kyalla Member; UN – Undifferentiated Neoproterozoic (including Bukalara Sandstone); APV – Antrim Plateau Volcanics; GRF+ </w:t>
      </w:r>
      <w:r w:rsidR="00881408" w:rsidRPr="749253F6">
        <w:t>–</w:t>
      </w:r>
      <w:r w:rsidRPr="749253F6">
        <w:t xml:space="preserve"> Gum Ridge Formation and equivalents (lower CLA); ALF+ - Anthony Lagoon Formation and equivalents (upper CLA)</w:t>
      </w:r>
      <w:r w:rsidR="000905AE">
        <w:br/>
      </w:r>
      <w:r w:rsidRPr="749253F6">
        <w:t>Data:</w:t>
      </w:r>
      <w:r w:rsidR="008F1A33">
        <w:t xml:space="preserve"> </w:t>
      </w:r>
      <w:r w:rsidR="00856EB2">
        <w:t>f</w:t>
      </w:r>
      <w:r w:rsidR="000C31B4" w:rsidRPr="000C31B4">
        <w:t xml:space="preserve">aults sourced from </w:t>
      </w:r>
      <w:r w:rsidR="000C31B4" w:rsidRPr="000C31B4">
        <w:fldChar w:fldCharType="begin">
          <w:fldData xml:space="preserve">PEVuZE5vdGU+PENpdGUgQXV0aG9yWWVhcj0iMSI+PEF1dGhvcj5CZXR0czwvQXV0aG9yPjxZZWFy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</w:fldData>
        </w:fldChar>
      </w:r>
      <w:r w:rsidR="00F76E0D">
        <w:instrText xml:space="preserve"> ADDIN EN.CITE </w:instrText>
      </w:r>
      <w:r w:rsidR="00F76E0D">
        <w:fldChar w:fldCharType="begin">
          <w:fldData xml:space="preserve">PEVuZE5vdGU+PENpdGUgQXV0aG9yWWVhcj0iMSI+PEF1dGhvcj5CZXR0czwvQXV0aG9yPjxZZWFy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</w:fldData>
        </w:fldChar>
      </w:r>
      <w:r w:rsidR="00F76E0D">
        <w:instrText xml:space="preserve"> ADDIN EN.CITE.DATA </w:instrText>
      </w:r>
      <w:r w:rsidR="00F76E0D">
        <w:fldChar w:fldCharType="end"/>
      </w:r>
      <w:r w:rsidR="000C31B4" w:rsidRPr="000C31B4">
        <w:fldChar w:fldCharType="separate"/>
      </w:r>
      <w:r w:rsidR="00881408">
        <w:rPr>
          <w:noProof/>
        </w:rPr>
        <w:t>Betts et al. (2015)</w:t>
      </w:r>
      <w:r w:rsidR="000C31B4" w:rsidRPr="000C31B4">
        <w:fldChar w:fldCharType="end"/>
      </w:r>
      <w:r w:rsidR="000C31B4" w:rsidRPr="000C31B4">
        <w:t xml:space="preserve">, unconventional gas plays footprints from </w:t>
      </w:r>
      <w:r w:rsidR="000C31B4" w:rsidRPr="000C31B4">
        <w:fldChar w:fldCharType="begin"/>
      </w:r>
      <w:r w:rsidR="008F30E0">
        <w:instrText xml:space="preserve"> ADDIN EN.CITE &lt;EndNote&gt;&lt;Cite AuthorYear="1"&gt;&lt;Author&gt;Geological and Bioregional Assessment Program&lt;/Author&gt;&lt;Year&gt;2019&lt;/Year&gt;&lt;RecNum&gt;1284&lt;/RecNum&gt;&lt;DisplayText&gt;Geological and Bioregional Assessment Program (2019b)&lt;/DisplayText&gt;&lt;record&gt;&lt;rec-number&gt;1284&lt;/rec-number&gt;&lt;foreign-keys&gt;&lt;key app="EN" db-id="wdf9tzzdhw2saee559kv0vezt0wfsta0zedv" timestamp="1569795427"&gt;1284&lt;/key&gt;&lt;/foreign-keys&gt;&lt;ref-type name="Dataset"&gt;59&lt;/ref-type&gt;&lt;contributors&gt;&lt;authors&gt;&lt;author&gt;Geological and Bioregional Assessment Program,&lt;/author&gt;&lt;/authors&gt;&lt;secondary-authors&gt;&lt;author&gt;CSIRO,&lt;/author&gt;&lt;/secondary-authors&gt;&lt;/contributors&gt;&lt;titles&gt;&lt;title&gt;Unconventional gas plays footprint within the Beetaloo GBA region&lt;/title&gt;&lt;/titles&gt;&lt;keywords&gt;&lt;keyword&gt;GEOLOGY Mapping&lt;/keyword&gt;&lt;/keywords&gt;&lt;dates&gt;&lt;year&gt;2019&lt;/year&gt;&lt;/dates&gt;&lt;pub-location&gt;Canberra&lt;/pub-location&gt;&lt;label&gt;8AFD2AA4-8361-4D6D-B64B-125C58F14EC6&lt;/label&gt;&lt;urls&gt;&lt;related-urls&gt;&lt;url&gt;https://repo.bioregionalassessments.gov.au/metadata/8AFD2AA4-8361-4D6D-B64B-125C58F14EC6&lt;/url&gt;&lt;/related-urls&gt;&lt;/urls&gt;&lt;custom2&gt;unit of observation&lt;/custom2&gt;&lt;custom3&gt;spatial&lt;/custom3&gt;&lt;custom4&gt;dataset&lt;/custom4&gt;&lt;access-date&gt;27 September 2019&lt;/access-date&gt;&lt;/record&gt;&lt;/Cite&gt;&lt;/EndNote&gt;</w:instrText>
      </w:r>
      <w:r w:rsidR="000C31B4" w:rsidRPr="000C31B4">
        <w:fldChar w:fldCharType="separate"/>
      </w:r>
      <w:r w:rsidR="008F30E0">
        <w:rPr>
          <w:noProof/>
        </w:rPr>
        <w:t>Geological and Bioregional Assessment Program (2019b)</w:t>
      </w:r>
      <w:r w:rsidR="000C31B4" w:rsidRPr="000C31B4">
        <w:fldChar w:fldCharType="end"/>
      </w:r>
      <w:r w:rsidR="000C31B4" w:rsidRPr="000C31B4">
        <w:t xml:space="preserve">, springs from </w:t>
      </w:r>
      <w:r w:rsidR="000C31B4" w:rsidRPr="000C31B4">
        <w:fldChar w:fldCharType="begin"/>
      </w:r>
      <w:r w:rsidR="00F76E0D">
        <w:instrText xml:space="preserve"> ADDIN EN.CITE &lt;EndNote&gt;&lt;Cite AuthorYear="1"&gt;&lt;Author&gt;Department of Environment and Natural Resources (NT)&lt;/Author&gt;&lt;Year&gt;2013&lt;/Year&gt;&lt;RecNum&gt;830&lt;/RecNum&gt;&lt;DisplayText&gt;Department of Environment and Natural Resources (NT) (2013)&lt;/DisplayText&gt;&lt;record&gt;&lt;rec-number&gt;830&lt;/rec-number&gt;&lt;foreign-keys&gt;&lt;key app="EN" db-id="wdf9tzzdhw2saee559kv0vezt0wfsta0zedv" timestamp="1553215245"&gt;830&lt;/key&gt;&lt;/foreign-keys&gt;&lt;ref-type name="Dataset"&gt;59&lt;/ref-type&gt;&lt;contributors&gt;&lt;authors&gt;&lt;author&gt;Department of Environment and Natural Resources (NT),&lt;/author&gt;&lt;/authors&gt;&lt;secondary-authors&gt;&lt;author&gt;,&lt;/author&gt;&lt;/secondary-authors&gt;&lt;/contributors&gt;&lt;titles&gt;&lt;title&gt;Springs of the Northern Territory&lt;/title&gt;&lt;/titles&gt;&lt;keywords&gt;&lt;keyword&gt;WATER Hydrology Mapping, ECOLOGY biophysical, WATER Hydrology Mapping&lt;/keyword&gt;&lt;/keywords&gt;&lt;dates&gt;&lt;year&gt;2013&lt;/year&gt;&lt;/dates&gt;&lt;pub-location&gt;Canberra&lt;/pub-location&gt;&lt;label&gt;1D351848-02FB-4E90-9390-4E2F895B9F89&lt;/label&gt;&lt;urls&gt;&lt;related-urls&gt;&lt;url&gt;http://www.ntlis.nt.gov.au/metadata/export_data?type=html&amp;amp;metadata_id=E9D78F668FC02B33E040CD9B214403C3&lt;/url&gt;&lt;/related-urls&gt;&lt;/urls&gt;&lt;custom2&gt;unit of observation&lt;/custom2&gt;&lt;custom3&gt;spatial&lt;/custom3&gt;&lt;custom4&gt;dataset&lt;/custom4&gt;&lt;access-date&gt;20 March 2019&lt;/access-date&gt;&lt;/record&gt;&lt;/Cite&gt;&lt;/EndNote&gt;</w:instrText>
      </w:r>
      <w:r w:rsidR="000C31B4" w:rsidRPr="000C31B4">
        <w:fldChar w:fldCharType="separate"/>
      </w:r>
      <w:r w:rsidR="00881408">
        <w:rPr>
          <w:noProof/>
        </w:rPr>
        <w:t>Department of Environment and Natural Resources (NT) (2013)</w:t>
      </w:r>
      <w:r w:rsidR="000C31B4" w:rsidRPr="000C31B4">
        <w:fldChar w:fldCharType="end"/>
      </w:r>
      <w:r w:rsidR="000C31B4" w:rsidRPr="000C31B4">
        <w:t xml:space="preserve"> and geology</w:t>
      </w:r>
      <w:r w:rsidR="000C31B4">
        <w:t xml:space="preserve"> from </w:t>
      </w:r>
      <w:r w:rsidR="00740BB7">
        <w:fldChar w:fldCharType="begin"/>
      </w:r>
      <w:r w:rsidR="005D0C32">
        <w:instrText xml:space="preserve"> ADDIN EN.CITE &lt;EndNote&gt;&lt;Cite AuthorYear="1"&gt;&lt;Author&gt;Geological and Bioregional Assessment Program&lt;/Author&gt;&lt;Year&gt;2019&lt;/Year&gt;&lt;RecNum&gt;1205&lt;/RecNum&gt;&lt;DisplayText&gt;Geological and Bioregional Assessment Program (2019a)&lt;/DisplayText&gt;&lt;record&gt;&lt;rec-number&gt;1205&lt;/rec-number&gt;&lt;foreign-keys&gt;&lt;key app="EN" db-id="wdf9tzzdhw2saee559kv0vezt0wfsta0zedv" timestamp="1564717374"&gt;1205&lt;/key&gt;&lt;/foreign-keys&gt;&lt;ref-type name="Dataset"&gt;59&lt;/ref-type&gt;&lt;contributors&gt;&lt;authors&gt;&lt;author&gt;Geological and Bioregional Assessment Program,&lt;/author&gt;&lt;/authors&gt;&lt;secondary-authors&gt;&lt;author&gt;CSIRO,&lt;/author&gt;&lt;/secondary-authors&gt;&lt;/contributors&gt;&lt;titles&gt;&lt;title&gt;Impact Modes and Effects Analysis: Shale gas, tight gas and shale oil Beetaloo Sub-basin&lt;/title&gt;&lt;/titles&gt;&lt;keywords&gt;&lt;keyword&gt;IMPACT ANALYSIS&lt;/keyword&gt;&lt;/keywords&gt;&lt;dates&gt;&lt;year&gt;2019&lt;/year&gt;&lt;/dates&gt;&lt;pub-location&gt;Canberra&lt;/pub-location&gt;&lt;label&gt;B7C9EE99-5A13-4312-89DA-794C082F8345&lt;/label&gt;&lt;urls&gt;&lt;related-urls&gt;&lt;url&gt;https://repo.bioregionalassessments.gov.au/metadata/B7C9EE99-5A13-4312-89DA-794C082F8345&lt;/url&gt;&lt;/related-urls&gt;&lt;/urls&gt;&lt;custom2&gt;unit of observation&lt;/custom2&gt;&lt;custom3&gt;tabular&lt;/custom3&gt;&lt;custom4&gt;dataset&lt;/custom4&gt;&lt;access-date&gt;05 April 2019&lt;/access-date&gt;&lt;/record&gt;&lt;/Cite&gt;&lt;/EndNote&gt;</w:instrText>
      </w:r>
      <w:r w:rsidR="00740BB7">
        <w:fldChar w:fldCharType="separate"/>
      </w:r>
      <w:r w:rsidR="005D0C32">
        <w:rPr>
          <w:noProof/>
        </w:rPr>
        <w:t>Geological and Bioregional Assessment Program (2019a)</w:t>
      </w:r>
      <w:r w:rsidR="00740BB7">
        <w:fldChar w:fldCharType="end"/>
      </w:r>
      <w:r w:rsidR="000C31B4">
        <w:t xml:space="preserve"> and</w:t>
      </w:r>
      <w:r w:rsidR="00071AC8">
        <w:t xml:space="preserve"> </w:t>
      </w:r>
      <w:r w:rsidR="00071AC8">
        <w:fldChar w:fldCharType="begin"/>
      </w:r>
      <w:r w:rsidR="00867932">
        <w:instrText xml:space="preserve"> ADDIN EN.CITE &lt;EndNote&gt;&lt;Cite AuthorYear="1"&gt;&lt;Author&gt;Frogtech Geoscience&lt;/Author&gt;&lt;Year&gt;2018&lt;/Year&gt;&lt;RecNum&gt;653&lt;/RecNum&gt;&lt;DisplayText&gt;Frogtech Geoscience (2018a)&lt;/DisplayText&gt;&lt;record&gt;&lt;rec-number&gt;653&lt;/rec-number&gt;&lt;foreign-keys&gt;&lt;key app="EN" db-id="wdf9tzzdhw2saee559kv0vezt0wfsta0zedv" timestamp="1545264350"&gt;653&lt;/key&gt;&lt;/foreign-keys&gt;&lt;ref-type name="Dataset"&gt;59&lt;/ref-type&gt;&lt;contributors&gt;&lt;authors&gt;&lt;author&gt;Frogtech Geoscience,&lt;/author&gt;&lt;/authors&gt;&lt;tertiary-authors&gt;&lt;author&gt;Northern Territory Geological Survey&lt;/author&gt;&lt;/tertiary-authors&gt;&lt;subsidiary-authors&gt;&lt;author&gt;Department of Primary Industry and Resources&lt;/author&gt;&lt;/subsidiary-authors&gt;&lt;/contributors&gt;&lt;titles&gt;&lt;title&gt;SEEBASE study and GIS for Greater McArthur Basin. Northern Territory Geological Survey, Digital Information Package DIP 017 (ESRI file format, March 2018)&lt;/title&gt;&lt;/titles&gt;&lt;pages&gt;171&lt;/pages&gt;&lt;volume&gt;DIP 017&lt;/volume&gt;&lt;dates&gt;&lt;year&gt;2018&lt;/year&gt;&lt;/dates&gt;&lt;pub-location&gt;NT&lt;/pub-location&gt;&lt;publisher&gt;Northern Territory Geological Survey&lt;/publisher&gt;&lt;label&gt;563A5349-DC7F-42B8-B6CC-892B3B4C3C3F&lt;/label&gt;&lt;urls&gt;&lt;related-urls&gt;&lt;url&gt;https://geoscience.nt.gov.au/gemis/ntgsjspui/handle/1/87064&lt;/url&gt;&lt;/related-urls&gt;&lt;/urls&gt;&lt;access-date&gt;25 May 2018&lt;/access-date&gt;&lt;/record&gt;&lt;/Cite&gt;&lt;/EndNote&gt;</w:instrText>
      </w:r>
      <w:r w:rsidR="00071AC8">
        <w:fldChar w:fldCharType="separate"/>
      </w:r>
      <w:r w:rsidR="00867932">
        <w:rPr>
          <w:noProof/>
        </w:rPr>
        <w:t>Frogtech Geoscience (2018a)</w:t>
      </w:r>
      <w:r w:rsidR="00071AC8">
        <w:fldChar w:fldCharType="end"/>
      </w:r>
      <w:r w:rsidR="00502A14">
        <w:t>;</w:t>
      </w:r>
      <w:r w:rsidR="000C31B4">
        <w:t xml:space="preserve"> methane data from </w:t>
      </w:r>
      <w:r w:rsidR="006C2E5C">
        <w:fldChar w:fldCharType="begin"/>
      </w:r>
      <w:r w:rsidR="00F76E0D">
        <w:instrText xml:space="preserve"> ADDIN EN.CITE &lt;EndNote&gt;&lt;Cite AuthorYear="1"&gt;&lt;Author&gt;Wilkes&lt;/Author&gt;&lt;Year&gt;2019&lt;/Year&gt;&lt;RecNum&gt;1457&lt;/RecNum&gt;&lt;DisplayText&gt;Wilkes et al. (2019)&lt;/DisplayText&gt;&lt;record&gt;&lt;rec-number&gt;1457&lt;/rec-number&gt;&lt;foreign-keys&gt;&lt;key app="EN" db-id="wdf9tzzdhw2saee559kv0vezt0wfsta0zedv" timestamp="1584491637"&gt;1457&lt;/key&gt;&lt;/foreign-keys&gt;&lt;ref-type name="Report"&gt;27&lt;/ref-type&gt;&lt;contributors&gt;&lt;authors&gt;&lt;author&gt;Wilkes, P.&lt;/author&gt;&lt;author&gt;Rachakonda, P. K.&lt;/author&gt;&lt;author&gt;Larcher, A.&lt;/author&gt;&lt;author&gt;Woltering, M.&lt;/author&gt;&lt;/authors&gt;&lt;/contributors&gt;&lt;titles&gt;&lt;title&gt;Baseline assessment of groundwater characteristics in the Beetaloo Sub-basin, NT. Geochemistry Analysis report to the Gas Industry Social and Environmental Research Alliance (GISERA)&lt;/title&gt;&lt;/titles&gt;&lt;dates&gt;&lt;year&gt;2019&lt;/year&gt;&lt;/dates&gt;&lt;pub-location&gt;Canberra&lt;/pub-location&gt;&lt;publisher&gt;CSIRO&lt;/publisher&gt;&lt;urls&gt;&lt;related-urls&gt;&lt;url&gt;https://gisera.csiro.au/wp-content/uploads/2019/09/GISERA-W16-Task-4-Report_.pdf&lt;/url&gt;&lt;/related-urls&gt;&lt;/urls&gt;&lt;access-date&gt;20 November 2019&lt;/access-date&gt;&lt;/record&gt;&lt;/Cite&gt;&lt;/EndNote&gt;</w:instrText>
      </w:r>
      <w:r w:rsidR="006C2E5C">
        <w:fldChar w:fldCharType="separate"/>
      </w:r>
      <w:r w:rsidR="006C2E5C">
        <w:rPr>
          <w:noProof/>
        </w:rPr>
        <w:t>Wilkes et al. (2019)</w:t>
      </w:r>
      <w:r w:rsidR="006C2E5C">
        <w:fldChar w:fldCharType="end"/>
      </w:r>
      <w:r w:rsidR="00856EB2">
        <w:br/>
      </w:r>
      <w:r w:rsidRPr="749253F6">
        <w:t>Element: GBA-BEE-2-</w:t>
      </w:r>
      <w:r w:rsidR="00584C53">
        <w:t>421</w:t>
      </w:r>
    </w:p>
    <w:p w14:paraId="277AF26B" w14:textId="5A0057B4" w:rsidR="679F1202" w:rsidRDefault="004F2853" w:rsidP="002DF632">
      <w:pPr>
        <w:pStyle w:val="BodyText"/>
      </w:pPr>
      <w:r>
        <w:t>Detection of dissolved methane in aquifers can also be an indicator for the presence of seal (aquitard) bypass systems (further discussed in pathway</w:t>
      </w:r>
      <w:r w:rsidR="009B6D5A">
        <w:t>s</w:t>
      </w:r>
      <w:r>
        <w:t xml:space="preserve"> </w:t>
      </w:r>
      <w:r w:rsidR="009B6D5A">
        <w:t xml:space="preserve">2 and </w:t>
      </w:r>
      <w:r>
        <w:t>4), and it can be considered a precursor of other organic or even inorganic contaminants derived from coal or other hydrocarbon sources. However, it can also be due to biogenic processes in shallower formations, and integrated approaches that consider multiple tracers are required to determine the origin of the gas. The presence of dissolved methane in sedimentary basins is not unusual; for example, concentrations measured in the Eromanga Basin within the Cooper GBA region ranged from 150 to 216,500 µg/L</w:t>
      </w:r>
      <w:r w:rsidR="679F1202">
        <w:t xml:space="preserve"> </w:t>
      </w:r>
      <w:r w:rsidR="007F649C">
        <w:fldChar w:fldCharType="begin"/>
      </w:r>
      <w:r w:rsidR="00F76E0D">
        <w:instrText xml:space="preserve"> ADDIN EN.CITE &lt;EndNote&gt;&lt;Cite&gt;&lt;Author&gt;Holland&lt;/Author&gt;&lt;Year&gt;2020&lt;/Year&gt;&lt;RecNum&gt;706&lt;/RecNum&gt;&lt;DisplayText&gt;(Holland et al., 2020)&lt;/DisplayText&gt;&lt;record&gt;&lt;rec-number&gt;706&lt;/rec-number&gt;&lt;foreign-keys&gt;&lt;key app="EN" db-id="wdf9tzzdhw2saee559kv0vezt0wfsta0zedv" timestamp="1547430865"&gt;706&lt;/key&gt;&lt;/foreign-keys&gt;&lt;ref-type name="Report"&gt;27&lt;/ref-type&gt;&lt;contributors&gt;&lt;authors&gt;&lt;author&gt;Holland, K.L.,&lt;/author&gt;&lt;author&gt;Brandon, C.,&lt;/author&gt;&lt;author&gt;Crosbie, R.S.,&lt;/author&gt;&lt;author&gt;Davies, P.,&lt;/author&gt;&lt;author&gt;Evans, T.,&lt;/author&gt;&lt;author&gt;Golding, L.,&lt;/author&gt;&lt;author&gt;Gonzalez, D.,&lt;/author&gt;&lt;author&gt;Gunning, M.E.,&lt;/author&gt;&lt;author&gt;Hall, L.S.,&lt;/author&gt;&lt;author&gt;Henderson, B.,&lt;/author&gt;&lt;author&gt;Kasperczyk, D.,&lt;/author&gt;&lt;author&gt;Kear, J.,&lt;/author&gt;&lt;author&gt;Kirby, J.,&lt;/author&gt;&lt;author&gt;Lech, M.E.,&lt;/author&gt;&lt;author&gt;Macfarlane, C.,&lt;/author&gt;&lt;author&gt;Martinez, J.,&lt;/author&gt;&lt;author&gt;Marvanek, S.,&lt;/author&gt;&lt;author&gt;Merrin, L.E.,&lt;/author&gt;&lt;author&gt;O’Grady, A.,&lt;/author&gt;&lt;author&gt;Owens, R.,&lt;/author&gt;&lt;author&gt;Pavey, C.,&lt;/author&gt;&lt;author&gt;Post, D.,&lt;/author&gt;&lt;author&gt;Rachakonda, P.,&lt;/author&gt;&lt;author&gt;Raiber, M.,&lt;/author&gt;&lt;author&gt;Sander, R.,&lt;/author&gt;&lt;author&gt;Stewart, S.,&lt;/author&gt;&lt;author&gt;Sundaram, B.,&lt;/author&gt;&lt;author&gt;Tetreault-Campbell, S.,&lt;/author&gt;&lt;author&gt;Williams, M.,&lt;/author&gt;&lt;author&gt;Zhang, Y.,&lt;/author&gt;&lt;author&gt;Zheng, H.,&lt;/author&gt;&lt;/authors&gt;&lt;/contributors&gt;&lt;titles&gt;&lt;title&gt;Geological and environmental baseline assessment for the Cooper GBA region. Geological and Bioregional Assessment Program: Stage 2&lt;/title&gt;&lt;/titles&gt;&lt;dates&gt;&lt;year&gt;2020&lt;/year&gt;&lt;/dates&gt;&lt;pub-location&gt;Australia&lt;/pub-location&gt;&lt;publisher&gt;Department of the Environment and Energy, Bureau of Meteorology, CSIRO, Geoscience Australia&lt;/publisher&gt;&lt;urls&gt;&lt;/urls&gt;&lt;/record&gt;&lt;/Cite&gt;&lt;/EndNote&gt;</w:instrText>
      </w:r>
      <w:r w:rsidR="007F649C">
        <w:fldChar w:fldCharType="separate"/>
      </w:r>
      <w:r w:rsidR="007F649C">
        <w:rPr>
          <w:noProof/>
        </w:rPr>
        <w:t>(Holland et al., 2020)</w:t>
      </w:r>
      <w:r w:rsidR="007F649C">
        <w:fldChar w:fldCharType="end"/>
      </w:r>
      <w:r w:rsidR="679F1202">
        <w:t xml:space="preserve">, and concentrations of up to approximately 20,000 µg/L are common in productive aquifers of the Surat Basin </w:t>
      </w:r>
      <w:r w:rsidR="007F649C">
        <w:fldChar w:fldCharType="begin"/>
      </w:r>
      <w:r w:rsidR="00F76E0D">
        <w:instrText xml:space="preserve"> ADDIN EN.CITE &lt;EndNote&gt;&lt;Cite&gt;&lt;Author&gt;Mallants&lt;/Author&gt;&lt;Year&gt;2016&lt;/Year&gt;&lt;RecNum&gt;1001&lt;/RecNum&gt;&lt;DisplayText&gt;(Mallants et al., 2016)&lt;/DisplayText&gt;&lt;record&gt;&lt;rec-number&gt;1001&lt;/rec-number&gt;&lt;foreign-keys&gt;&lt;key app="EN" db-id="wdf9tzzdhw2saee559kv0vezt0wfsta0zedv" timestamp="1558666968"&gt;1001&lt;/key&gt;&lt;key app="ENWeb" db-id=""&gt;0&lt;/key&gt;&lt;/foreign-keys&gt;&lt;ref-type name="Report"&gt;27&lt;/ref-type&gt;&lt;contributors&gt;&lt;authors&gt;&lt;author&gt;Mallants, Dirk&lt;/author&gt;&lt;author&gt;Raiber, Matthias&lt;/author&gt;&lt;author&gt;Davies, Phil&lt;/author&gt;&lt;/authors&gt;&lt;tertiary-authors&gt;&lt;author&gt;Queensland Department of Natural Resources and Mines&lt;/author&gt;&lt;/tertiary-authors&gt;&lt;/contributors&gt;&lt;titles&gt;&lt;title&gt;Decision support system for investigating gas in water bores and links to coal seam gas development. Project report prepared by the Commonwealth Scientific and Industrial Research Organisation (CSIRO) for the Queensland Department of Natural Resources and Mines&lt;/title&gt;&lt;/titles&gt;&lt;pages&gt;102&lt;/pages&gt;&lt;dates&gt;&lt;year&gt;2016&lt;/year&gt;&lt;pub-dates&gt;&lt;date&gt;August 2016&lt;/date&gt;&lt;/pub-dates&gt;&lt;/dates&gt;&lt;urls&gt;&lt;/urls&gt;&lt;electronic-resource-num&gt;10.13140/RG.2.2.11038.74561&lt;/electronic-resource-num&gt;&lt;/record&gt;&lt;/Cite&gt;&lt;/EndNote&gt;</w:instrText>
      </w:r>
      <w:r w:rsidR="007F649C">
        <w:fldChar w:fldCharType="separate"/>
      </w:r>
      <w:r w:rsidR="007F649C">
        <w:rPr>
          <w:noProof/>
        </w:rPr>
        <w:t>(Mallants et al., 2016)</w:t>
      </w:r>
      <w:r w:rsidR="007F649C">
        <w:fldChar w:fldCharType="end"/>
      </w:r>
      <w:r w:rsidR="679F1202">
        <w:t xml:space="preserve">. </w:t>
      </w:r>
    </w:p>
    <w:p w14:paraId="5892218D" w14:textId="378E7DE5" w:rsidR="52F2BCC9" w:rsidRDefault="52F2BCC9" w:rsidP="002DF632">
      <w:pPr>
        <w:pStyle w:val="BodyText"/>
      </w:pPr>
      <w:r>
        <w:t>Measured concentrations of dissolved methane in the Beetaloo GBA region from groundwater in the CLA and Antrim Plateau Volcanics ranged from &lt;0.001 to 2210 µg/L</w:t>
      </w:r>
      <w:r w:rsidR="004F2853">
        <w:t xml:space="preserve"> </w:t>
      </w:r>
      <w:r w:rsidR="004F2853">
        <w:fldChar w:fldCharType="begin"/>
      </w:r>
      <w:r w:rsidR="00F76E0D">
        <w:instrText xml:space="preserve"> ADDIN EN.CITE &lt;EndNote&gt;&lt;Cite&gt;&lt;Author&gt;Wilkes&lt;/Author&gt;&lt;Year&gt;2019&lt;/Year&gt;&lt;RecNum&gt;1457&lt;/RecNum&gt;&lt;DisplayText&gt;(Wilkes et al., 2019)&lt;/DisplayText&gt;&lt;record&gt;&lt;rec-number&gt;1457&lt;/rec-number&gt;&lt;foreign-keys&gt;&lt;key app="EN" db-id="wdf9tzzdhw2saee559kv0vezt0wfsta0zedv" timestamp="1584491637"&gt;1457&lt;/key&gt;&lt;/foreign-keys&gt;&lt;ref-type name="Report"&gt;27&lt;/ref-type&gt;&lt;contributors&gt;&lt;authors&gt;&lt;author&gt;Wilkes, P.&lt;/author&gt;&lt;author&gt;Rachakonda, P. K.&lt;/author&gt;&lt;author&gt;Larcher, A.&lt;/author&gt;&lt;author&gt;Woltering, M.&lt;/author&gt;&lt;/authors&gt;&lt;/contributors&gt;&lt;titles&gt;&lt;title&gt;Baseline assessment of groundwater characteristics in the Beetaloo Sub-basin, NT. Geochemistry Analysis report to the Gas Industry Social and Environmental Research Alliance (GISERA)&lt;/title&gt;&lt;/titles&gt;&lt;dates&gt;&lt;year&gt;2019&lt;/year&gt;&lt;/dates&gt;&lt;pub-location&gt;Canberra&lt;/pub-location&gt;&lt;publisher&gt;CSIRO&lt;/publisher&gt;&lt;urls&gt;&lt;related-urls&gt;&lt;url&gt;https://gisera.csiro.au/wp-content/uploads/2019/09/GISERA-W16-Task-4-Report_.pdf&lt;/url&gt;&lt;/related-urls&gt;&lt;/urls&gt;&lt;access-date&gt;20 November 2019&lt;/access-date&gt;&lt;/record&gt;&lt;/Cite&gt;&lt;/EndNote&gt;</w:instrText>
      </w:r>
      <w:r w:rsidR="004F2853">
        <w:fldChar w:fldCharType="separate"/>
      </w:r>
      <w:r w:rsidR="004F2853">
        <w:rPr>
          <w:noProof/>
        </w:rPr>
        <w:t>(Wilkes et al., 2019)</w:t>
      </w:r>
      <w:r w:rsidR="004F2853">
        <w:fldChar w:fldCharType="end"/>
      </w:r>
      <w:r>
        <w:t xml:space="preserve">, which is low compared to other sedimentary basins. </w:t>
      </w:r>
      <w:r w:rsidR="004F2853">
        <w:t xml:space="preserve">This may suggest that the influence of vertical connectivity is relatively limited at these locations. </w:t>
      </w:r>
      <w:bookmarkStart w:id="882" w:name="_Hlk38360748"/>
      <w:r w:rsidR="004F2853">
        <w:t>However, more baseline data including concentrations of dissolved CH</w:t>
      </w:r>
      <w:r w:rsidR="004F2853" w:rsidRPr="002DF632">
        <w:rPr>
          <w:rStyle w:val="Subscript"/>
        </w:rPr>
        <w:t>4</w:t>
      </w:r>
      <w:r w:rsidR="004F2853">
        <w:t xml:space="preserve"> and isotopes of CH</w:t>
      </w:r>
      <w:r w:rsidR="004F2853" w:rsidRPr="002DF632">
        <w:rPr>
          <w:rStyle w:val="Subscript"/>
        </w:rPr>
        <w:t>4</w:t>
      </w:r>
      <w:r w:rsidR="004F2853">
        <w:t xml:space="preserve"> </w:t>
      </w:r>
      <w:r w:rsidR="00757233">
        <w:t>from different aquifers are required to understand the source of the CH</w:t>
      </w:r>
      <w:r w:rsidR="00757233" w:rsidRPr="002DF632">
        <w:rPr>
          <w:rStyle w:val="Subscript"/>
        </w:rPr>
        <w:t>4</w:t>
      </w:r>
      <w:r w:rsidR="00757233">
        <w:t xml:space="preserve"> and its implications for the degree of connectivity.</w:t>
      </w:r>
      <w:r w:rsidR="004F2853">
        <w:t>.</w:t>
      </w:r>
      <w:bookmarkEnd w:id="882"/>
    </w:p>
    <w:p w14:paraId="5850DE88" w14:textId="422A2060" w:rsidR="003F7219" w:rsidRDefault="68E66425" w:rsidP="000423B0">
      <w:pPr>
        <w:pStyle w:val="BodyText"/>
      </w:pPr>
      <w:r>
        <w:t xml:space="preserve">As noted in Section </w:t>
      </w:r>
      <w:r>
        <w:fldChar w:fldCharType="begin"/>
      </w:r>
      <w:r>
        <w:instrText xml:space="preserve"> REF _Ref5714612 \r \h  \* MERGEFORMAT </w:instrText>
      </w:r>
      <w:r>
        <w:fldChar w:fldCharType="separate"/>
      </w:r>
      <w:r w:rsidR="00B177F5">
        <w:t>3.2.2</w:t>
      </w:r>
      <w:r>
        <w:fldChar w:fldCharType="end"/>
      </w:r>
      <w:r>
        <w:t xml:space="preserve">, </w:t>
      </w:r>
      <w:bookmarkStart w:id="883" w:name="_Hlk38360895"/>
      <w:r w:rsidR="004F2853">
        <w:t xml:space="preserve">the Hayfield mudstone can form an effective aquitard because of its substantial thickness of fine-grained rocks, even though it has thin prospective reservoir sandstones towards its base. However, there are </w:t>
      </w:r>
      <w:r w:rsidR="00AB2CB5">
        <w:t xml:space="preserve">discrete </w:t>
      </w:r>
      <w:r w:rsidR="004F2853">
        <w:t xml:space="preserve">areas </w:t>
      </w:r>
      <w:r w:rsidR="00AB2CB5" w:rsidRPr="00AB2CB5">
        <w:t xml:space="preserve">near the margins of the Beetaloo GBA region </w:t>
      </w:r>
      <w:r w:rsidR="004F2853">
        <w:t>where the regional aquitards are absent (discussed in pathway 4). In these areas Neoproterozoic units may have direct stratigraphic contact with the base of the CLA.</w:t>
      </w:r>
      <w:r w:rsidR="1EA8452A">
        <w:t xml:space="preserve"> </w:t>
      </w:r>
      <w:bookmarkEnd w:id="883"/>
    </w:p>
    <w:p w14:paraId="08491025" w14:textId="125A56D1" w:rsidR="003F7219" w:rsidRPr="00FB59D2" w:rsidRDefault="003F7219" w:rsidP="00F13065">
      <w:pPr>
        <w:pStyle w:val="Heading4"/>
        <w:numPr>
          <w:ilvl w:val="0"/>
          <w:numId w:val="0"/>
        </w:numPr>
        <w:ind w:left="1134" w:hanging="1134"/>
      </w:pPr>
      <w:r w:rsidRPr="00FB59D2">
        <w:rPr>
          <w:rFonts w:hint="eastAsia"/>
        </w:rPr>
        <w:t>②</w:t>
      </w:r>
      <w:r w:rsidRPr="00FB59D2">
        <w:t xml:space="preserve"> Potential connection </w:t>
      </w:r>
      <w:r w:rsidR="009D0B34">
        <w:t>via</w:t>
      </w:r>
      <w:r w:rsidRPr="00FB59D2">
        <w:t xml:space="preserve"> faults </w:t>
      </w:r>
    </w:p>
    <w:p w14:paraId="07210B55" w14:textId="4BB008D2" w:rsidR="003F7219" w:rsidRDefault="004F2853" w:rsidP="000423B0">
      <w:pPr>
        <w:pStyle w:val="BodyText"/>
      </w:pPr>
      <w:r>
        <w:t xml:space="preserve">Fault zones can result in vertical hydraulic connections between different hydrostratigraphic layers, and/or where strata are compartmentalised horizontally. These conditions could potentially connect shale gas, tight gas and shale oil plays in the Velkerri Formation and Kyalla Formation with adjacent and overlying Proterozoic aquifers of </w:t>
      </w:r>
      <w:r w:rsidRPr="009502E6">
        <w:t>the Moroak Sandstone, Jamison sandstone</w:t>
      </w:r>
      <w:r>
        <w:t>, and the CLA, in the southeast of the eastern portion of the Beetaloo GBA region. Such structures may extend further up in the vertical stratigraphic profile, potentially reaching the Cretaceous Carpentaria Basin, Cenozoic and alluvial aquifers, or surficial assets such as perched watertables, GDEs and springs.</w:t>
      </w:r>
    </w:p>
    <w:p w14:paraId="17395DFF" w14:textId="32967AB1" w:rsidR="003F7219" w:rsidRDefault="52036272" w:rsidP="52036272">
      <w:pPr>
        <w:pStyle w:val="BodyText"/>
        <w:rPr>
          <w:rFonts w:cstheme="minorBidi"/>
        </w:rPr>
      </w:pPr>
      <w:r w:rsidRPr="52036272">
        <w:rPr>
          <w:rFonts w:cstheme="minorBidi"/>
        </w:rPr>
        <w:t>The tectonic and depositional history of the Beetaloo GBA region as described</w:t>
      </w:r>
      <w:r w:rsidR="00A3755E">
        <w:rPr>
          <w:rFonts w:cstheme="minorBidi"/>
        </w:rPr>
        <w:t xml:space="preserve"> by</w:t>
      </w:r>
      <w:r w:rsidRPr="52036272">
        <w:rPr>
          <w:rFonts w:cstheme="minorBidi"/>
        </w:rPr>
        <w:t xml:space="preserve"> </w:t>
      </w:r>
      <w:r w:rsidR="003F7219" w:rsidRPr="52036272">
        <w:rPr>
          <w:rFonts w:cstheme="minorBidi"/>
        </w:rPr>
        <w:fldChar w:fldCharType="begin"/>
      </w:r>
      <w:r w:rsidR="00F76E0D">
        <w:rPr>
          <w:rFonts w:cstheme="minorBidi"/>
        </w:rPr>
        <w:instrText xml:space="preserve"> ADDIN EN.CITE &lt;EndNote&gt;&lt;Cite AuthorYear="1"&gt;&lt;Author&gt;Orr&lt;/Author&gt;&lt;Year&gt;2020&lt;/Year&gt;&lt;RecNum&gt;797&lt;/RecNum&gt;&lt;DisplayText&gt;Orr et al. (2020)&lt;/DisplayText&gt;&lt;record&gt;&lt;rec-number&gt;797&lt;/rec-number&gt;&lt;foreign-keys&gt;&lt;key app="EN" db-id="wdf9tzzdhw2saee559kv0vezt0wfsta0zedv" timestamp="1552607511"&gt;797&lt;/key&gt;&lt;/foreign-keys&gt;&lt;ref-type name="Report"&gt;27&lt;/ref-type&gt;&lt;contributors&gt;&lt;authors&gt;&lt;author&gt;Orr, M.L.,&lt;/author&gt;&lt;author&gt;Bernardel, G.,&lt;/author&gt;&lt;author&gt;Owens, R.,&lt;/author&gt;&lt;author&gt;Hall,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3F7219" w:rsidRPr="52036272">
        <w:rPr>
          <w:rFonts w:cstheme="minorBidi"/>
        </w:rPr>
        <w:fldChar w:fldCharType="separate"/>
      </w:r>
      <w:r w:rsidRPr="52036272">
        <w:rPr>
          <w:rFonts w:cstheme="minorBidi"/>
          <w:noProof/>
        </w:rPr>
        <w:t>Orr et al. (2020)</w:t>
      </w:r>
      <w:r w:rsidR="003F7219" w:rsidRPr="52036272">
        <w:rPr>
          <w:rFonts w:cstheme="minorBidi"/>
        </w:rPr>
        <w:fldChar w:fldCharType="end"/>
      </w:r>
      <w:r w:rsidRPr="52036272">
        <w:rPr>
          <w:rFonts w:cstheme="minorBidi"/>
        </w:rPr>
        <w:t xml:space="preserve">, </w:t>
      </w:r>
      <w:r w:rsidR="004F2853" w:rsidRPr="52036272">
        <w:rPr>
          <w:rFonts w:cstheme="minorBidi"/>
          <w:noProof/>
        </w:rPr>
        <w:t xml:space="preserve">is complex and </w:t>
      </w:r>
      <w:r w:rsidR="00A3127F">
        <w:rPr>
          <w:rFonts w:cstheme="minorBidi"/>
          <w:noProof/>
        </w:rPr>
        <w:t>pro</w:t>
      </w:r>
      <w:r w:rsidR="004F2853" w:rsidRPr="52036272">
        <w:rPr>
          <w:rFonts w:cstheme="minorBidi"/>
          <w:noProof/>
        </w:rPr>
        <w:t>tracted and includes at</w:t>
      </w:r>
      <w:r w:rsidR="004F2853" w:rsidRPr="52036272">
        <w:rPr>
          <w:rFonts w:cstheme="minorBidi"/>
        </w:rPr>
        <w:t xml:space="preserve"> least three major tectonic events and four major depositional events from 1750 and 300 Ma, highlighting the structural complexity of this region. The Beetaloo Sub-basin is generally </w:t>
      </w:r>
      <w:r w:rsidR="004F2853" w:rsidRPr="00143444">
        <w:rPr>
          <w:rFonts w:cstheme="minorBidi"/>
        </w:rPr>
        <w:t>bounded by large fault zones, including the Mallapunyah Fault as well as faults associated with Daly Waters High</w:t>
      </w:r>
      <w:r w:rsidRPr="00143444">
        <w:rPr>
          <w:rFonts w:cstheme="minorBidi"/>
        </w:rPr>
        <w:t xml:space="preserve"> (</w:t>
      </w:r>
      <w:r w:rsidR="005A40D9" w:rsidRPr="00143444">
        <w:rPr>
          <w:rFonts w:cstheme="minorBidi"/>
        </w:rPr>
        <w:t xml:space="preserve">see </w:t>
      </w:r>
      <w:r w:rsidR="005A40D9" w:rsidRPr="00143444">
        <w:rPr>
          <w:rFonts w:cstheme="minorBidi"/>
        </w:rPr>
        <w:fldChar w:fldCharType="begin"/>
      </w:r>
      <w:r w:rsidR="005A40D9" w:rsidRPr="00143444">
        <w:rPr>
          <w:rFonts w:cstheme="minorBidi"/>
        </w:rPr>
        <w:instrText xml:space="preserve"> REF _Ref21090047 \h </w:instrText>
      </w:r>
      <w:r w:rsidR="00143444">
        <w:rPr>
          <w:rFonts w:cstheme="minorBidi"/>
        </w:rPr>
        <w:instrText xml:space="preserve"> \* MERGEFORMAT </w:instrText>
      </w:r>
      <w:r w:rsidR="005A40D9" w:rsidRPr="00143444">
        <w:rPr>
          <w:rFonts w:cstheme="minorBidi"/>
        </w:rPr>
      </w:r>
      <w:r w:rsidR="005A40D9" w:rsidRPr="00143444">
        <w:rPr>
          <w:rFonts w:cstheme="minorBidi"/>
        </w:rPr>
        <w:fldChar w:fldCharType="separate"/>
      </w:r>
      <w:r w:rsidR="00B177F5">
        <w:t xml:space="preserve">Figure </w:t>
      </w:r>
      <w:r w:rsidR="00B177F5">
        <w:rPr>
          <w:noProof/>
        </w:rPr>
        <w:t>5</w:t>
      </w:r>
      <w:r w:rsidR="005A40D9" w:rsidRPr="00143444">
        <w:rPr>
          <w:rFonts w:cstheme="minorBidi"/>
        </w:rPr>
        <w:fldChar w:fldCharType="end"/>
      </w:r>
      <w:r w:rsidRPr="00143444">
        <w:rPr>
          <w:rFonts w:cstheme="minorBidi"/>
        </w:rPr>
        <w:t>).</w:t>
      </w:r>
      <w:r w:rsidRPr="52036272">
        <w:rPr>
          <w:rFonts w:cstheme="minorBidi"/>
        </w:rPr>
        <w:t xml:space="preserve"> According to </w:t>
      </w:r>
      <w:r w:rsidR="003F7219" w:rsidRPr="52036272">
        <w:rPr>
          <w:rFonts w:cstheme="minorBidi"/>
        </w:rPr>
        <w:fldChar w:fldCharType="begin"/>
      </w:r>
      <w:r w:rsidR="00867932">
        <w:rPr>
          <w:rFonts w:cstheme="minorBidi"/>
        </w:rPr>
        <w:instrText xml:space="preserve"> ADDIN EN.CITE &lt;EndNote&gt;&lt;Cite AuthorYear="1"&gt;&lt;Author&gt;Frogtech Geoscience&lt;/Author&gt;&lt;Year&gt;2018&lt;/Year&gt;&lt;RecNum&gt;653&lt;/RecNum&gt;&lt;DisplayText&gt;Frogtech Geoscience (2018a)&lt;/DisplayText&gt;&lt;record&gt;&lt;rec-number&gt;653&lt;/rec-number&gt;&lt;foreign-keys&gt;&lt;key app="EN" db-id="wdf9tzzdhw2saee559kv0vezt0wfsta0zedv" timestamp="1545264350"&gt;653&lt;/key&gt;&lt;/foreign-keys&gt;&lt;ref-type name="Dataset"&gt;59&lt;/ref-type&gt;&lt;contributors&gt;&lt;authors&gt;&lt;author&gt;Frogtech Geoscience,&lt;/author&gt;&lt;/authors&gt;&lt;tertiary-authors&gt;&lt;author&gt;Northern Territory Geological Survey&lt;/author&gt;&lt;/tertiary-authors&gt;&lt;subsidiary-authors&gt;&lt;author&gt;Department of Primary Industry and Resources&lt;/author&gt;&lt;/subsidiary-authors&gt;&lt;/contributors&gt;&lt;titles&gt;&lt;title&gt;SEEBASE study and GIS for Greater McArthur Basin. Northern Territory Geological Survey, Digital Information Package DIP 017 (ESRI file format, March 2018)&lt;/title&gt;&lt;/titles&gt;&lt;pages&gt;171&lt;/pages&gt;&lt;volume&gt;DIP 017&lt;/volume&gt;&lt;dates&gt;&lt;year&gt;2018&lt;/year&gt;&lt;/dates&gt;&lt;pub-location&gt;NT&lt;/pub-location&gt;&lt;publisher&gt;Northern Territory Geological Survey&lt;/publisher&gt;&lt;label&gt;563A5349-DC7F-42B8-B6CC-892B3B4C3C3F&lt;/label&gt;&lt;urls&gt;&lt;related-urls&gt;&lt;url&gt;https://geoscience.nt.gov.au/gemis/ntgsjspui/handle/1/87064&lt;/url&gt;&lt;/related-urls&gt;&lt;/urls&gt;&lt;access-date&gt;25 May 2018&lt;/access-date&gt;&lt;/record&gt;&lt;/Cite&gt;&lt;/EndNote&gt;</w:instrText>
      </w:r>
      <w:r w:rsidR="003F7219" w:rsidRPr="52036272">
        <w:rPr>
          <w:rFonts w:cstheme="minorBidi"/>
        </w:rPr>
        <w:fldChar w:fldCharType="separate"/>
      </w:r>
      <w:r w:rsidR="00867932">
        <w:rPr>
          <w:rFonts w:cstheme="minorBidi"/>
          <w:noProof/>
        </w:rPr>
        <w:t>Frogtech Geoscience (2018a)</w:t>
      </w:r>
      <w:r w:rsidR="003F7219" w:rsidRPr="52036272">
        <w:rPr>
          <w:rFonts w:cstheme="minorBidi"/>
        </w:rPr>
        <w:fldChar w:fldCharType="end"/>
      </w:r>
      <w:r w:rsidRPr="52036272">
        <w:rPr>
          <w:rFonts w:cstheme="minorBidi"/>
        </w:rPr>
        <w:t xml:space="preserve">, </w:t>
      </w:r>
      <w:r w:rsidR="004F2853" w:rsidRPr="52036272">
        <w:rPr>
          <w:rFonts w:cstheme="minorBidi"/>
        </w:rPr>
        <w:t xml:space="preserve">the fault zones bounding the Beetaloo Sub-basin are prone to fault reactivation, </w:t>
      </w:r>
      <w:r w:rsidR="004F2853">
        <w:rPr>
          <w:rFonts w:cstheme="minorBidi"/>
        </w:rPr>
        <w:t>and</w:t>
      </w:r>
      <w:r w:rsidR="004F2853" w:rsidRPr="52036272">
        <w:rPr>
          <w:rFonts w:cstheme="minorBidi"/>
        </w:rPr>
        <w:t xml:space="preserve"> the Daly Waters High corresponds to an underlying zone of less competent basement.</w:t>
      </w:r>
      <w:r w:rsidRPr="52036272">
        <w:rPr>
          <w:rFonts w:cstheme="minorBidi"/>
        </w:rPr>
        <w:t xml:space="preserve"> </w:t>
      </w:r>
    </w:p>
    <w:p w14:paraId="57D9EBFF" w14:textId="14B19796" w:rsidR="003F7219" w:rsidRDefault="003F7219" w:rsidP="52036272">
      <w:pPr>
        <w:pStyle w:val="BodyText"/>
        <w:rPr>
          <w:rFonts w:cstheme="minorBidi"/>
        </w:rPr>
      </w:pPr>
      <w:r w:rsidRPr="52036272">
        <w:rPr>
          <w:rFonts w:cstheme="minorBidi"/>
        </w:rPr>
        <w:t xml:space="preserve">A combination of the Birdum Creek Fault </w:t>
      </w:r>
      <w:r w:rsidR="000E674A" w:rsidRPr="52036272">
        <w:rPr>
          <w:rFonts w:cstheme="minorBidi"/>
        </w:rPr>
        <w:t>(</w:t>
      </w:r>
      <w:r w:rsidR="000E674A" w:rsidRPr="52036272">
        <w:rPr>
          <w:rFonts w:cstheme="minorBidi"/>
        </w:rPr>
        <w:fldChar w:fldCharType="begin"/>
      </w:r>
      <w:r w:rsidR="000E674A" w:rsidRPr="52036272">
        <w:rPr>
          <w:rFonts w:cstheme="minorBidi"/>
        </w:rPr>
        <w:instrText xml:space="preserve"> REF _Ref5201649 \h </w:instrText>
      </w:r>
      <w:r w:rsidR="000423B0" w:rsidRPr="52036272">
        <w:rPr>
          <w:rFonts w:cstheme="minorBidi"/>
        </w:rPr>
        <w:instrText xml:space="preserve"> \* MERGEFORMAT </w:instrText>
      </w:r>
      <w:r w:rsidR="000E674A" w:rsidRPr="52036272">
        <w:rPr>
          <w:rFonts w:cstheme="minorBidi"/>
        </w:rPr>
      </w:r>
      <w:r w:rsidR="000E674A" w:rsidRPr="52036272">
        <w:rPr>
          <w:rFonts w:cstheme="minorBidi"/>
        </w:rPr>
        <w:fldChar w:fldCharType="separate"/>
      </w:r>
      <w:r w:rsidR="00B177F5">
        <w:t xml:space="preserve">Figure </w:t>
      </w:r>
      <w:r w:rsidR="00B177F5">
        <w:rPr>
          <w:noProof/>
        </w:rPr>
        <w:t>9</w:t>
      </w:r>
      <w:r w:rsidR="000E674A" w:rsidRPr="52036272">
        <w:rPr>
          <w:rFonts w:cstheme="minorBidi"/>
        </w:rPr>
        <w:fldChar w:fldCharType="end"/>
      </w:r>
      <w:r w:rsidRPr="52036272">
        <w:rPr>
          <w:rFonts w:cstheme="minorBidi"/>
        </w:rPr>
        <w:t xml:space="preserve">) and </w:t>
      </w:r>
      <w:r w:rsidR="00D4580D">
        <w:rPr>
          <w:rFonts w:cstheme="minorBidi"/>
        </w:rPr>
        <w:t>Daly Waters High</w:t>
      </w:r>
      <w:r w:rsidRPr="52036272">
        <w:rPr>
          <w:rFonts w:cstheme="minorBidi"/>
        </w:rPr>
        <w:t xml:space="preserve"> is expected to influence the connectivity and groundwater flow within the CLA and is responsible for a groundwater divide with a north-west trend in </w:t>
      </w:r>
      <w:r w:rsidRPr="00143444">
        <w:rPr>
          <w:rFonts w:cstheme="minorBidi"/>
        </w:rPr>
        <w:t xml:space="preserve">the CLA </w:t>
      </w:r>
      <w:r w:rsidR="005A40D9" w:rsidRPr="00143444">
        <w:rPr>
          <w:rFonts w:cstheme="minorBidi"/>
        </w:rPr>
        <w:t xml:space="preserve">(see Section </w:t>
      </w:r>
      <w:r w:rsidR="005A40D9" w:rsidRPr="00143444">
        <w:rPr>
          <w:rFonts w:cstheme="minorBidi"/>
        </w:rPr>
        <w:fldChar w:fldCharType="begin"/>
      </w:r>
      <w:r w:rsidR="005A40D9" w:rsidRPr="00143444">
        <w:rPr>
          <w:rFonts w:cstheme="minorBidi"/>
        </w:rPr>
        <w:instrText xml:space="preserve"> REF _Ref33451494 \r \h </w:instrText>
      </w:r>
      <w:r w:rsidR="00143444">
        <w:rPr>
          <w:rFonts w:cstheme="minorBidi"/>
        </w:rPr>
        <w:instrText xml:space="preserve"> \* MERGEFORMAT </w:instrText>
      </w:r>
      <w:r w:rsidR="005A40D9" w:rsidRPr="00143444">
        <w:rPr>
          <w:rFonts w:cstheme="minorBidi"/>
        </w:rPr>
      </w:r>
      <w:r w:rsidR="005A40D9" w:rsidRPr="00143444">
        <w:rPr>
          <w:rFonts w:cstheme="minorBidi"/>
        </w:rPr>
        <w:fldChar w:fldCharType="separate"/>
      </w:r>
      <w:r w:rsidR="00B177F5">
        <w:rPr>
          <w:rFonts w:cstheme="minorBidi"/>
        </w:rPr>
        <w:t>3.2</w:t>
      </w:r>
      <w:r w:rsidR="005A40D9" w:rsidRPr="00143444">
        <w:rPr>
          <w:rFonts w:cstheme="minorBidi"/>
        </w:rPr>
        <w:fldChar w:fldCharType="end"/>
      </w:r>
      <w:r w:rsidRPr="00143444">
        <w:rPr>
          <w:rFonts w:cstheme="minorBidi"/>
        </w:rPr>
        <w:t>).</w:t>
      </w:r>
    </w:p>
    <w:p w14:paraId="31D45CEF" w14:textId="124FFB5C" w:rsidR="00220954" w:rsidRDefault="004F2853" w:rsidP="00220954">
      <w:pPr>
        <w:pStyle w:val="BodyText"/>
      </w:pPr>
      <w:r>
        <w:t>No springs have been identified within the Beetaloo GBA region.</w:t>
      </w:r>
      <w:r w:rsidR="52036272">
        <w:t xml:space="preserve"> However, the Roper Group </w:t>
      </w:r>
      <w:r>
        <w:t>(which includes the prospective Velkerri and Kyalla Formations) is potentially a source aquifer for springs located just outside the Beetaloo GBA region</w:t>
      </w:r>
      <w:r w:rsidR="52036272">
        <w:t xml:space="preserve"> </w:t>
      </w:r>
      <w:r w:rsidR="00745794">
        <w:t>(</w:t>
      </w:r>
      <w:r w:rsidR="005A40D9">
        <w:rPr>
          <w:highlight w:val="yellow"/>
        </w:rPr>
        <w:fldChar w:fldCharType="begin"/>
      </w:r>
      <w:r w:rsidR="005A40D9">
        <w:rPr>
          <w:highlight w:val="yellow"/>
        </w:rPr>
        <w:instrText xml:space="preserve"> REF _Ref451855 \h </w:instrText>
      </w:r>
      <w:r w:rsidR="005A40D9">
        <w:rPr>
          <w:highlight w:val="yellow"/>
        </w:rPr>
      </w:r>
      <w:r w:rsidR="005A40D9">
        <w:rPr>
          <w:highlight w:val="yellow"/>
        </w:rPr>
        <w:fldChar w:fldCharType="separate"/>
      </w:r>
      <w:r w:rsidR="00B177F5">
        <w:t xml:space="preserve">Figure </w:t>
      </w:r>
      <w:r w:rsidR="00B177F5">
        <w:rPr>
          <w:noProof/>
        </w:rPr>
        <w:t>39</w:t>
      </w:r>
      <w:r w:rsidR="005A40D9">
        <w:rPr>
          <w:highlight w:val="yellow"/>
        </w:rPr>
        <w:fldChar w:fldCharType="end"/>
      </w:r>
      <w:r w:rsidR="52036272">
        <w:t>). Some of these springs are quite hot,</w:t>
      </w:r>
      <w:r w:rsidR="52036272" w:rsidRPr="52036272">
        <w:rPr>
          <w:rFonts w:cs="Calibri"/>
        </w:rPr>
        <w:t xml:space="preserve"> with temperatures up to 60 </w:t>
      </w:r>
      <w:r w:rsidR="00607318">
        <w:rPr>
          <w:rFonts w:cs="Calibri"/>
        </w:rPr>
        <w:t>°</w:t>
      </w:r>
      <w:r w:rsidR="52036272" w:rsidRPr="52036272">
        <w:rPr>
          <w:rFonts w:cs="Calibri"/>
        </w:rPr>
        <w:t xml:space="preserve">C. </w:t>
      </w:r>
      <w:r w:rsidR="52036272" w:rsidRPr="00BA4E46">
        <w:rPr>
          <w:rFonts w:cs="Calibri"/>
        </w:rPr>
        <w:t>As discussed in</w:t>
      </w:r>
      <w:r w:rsidR="00BA4E46" w:rsidRPr="00BA4E46">
        <w:t xml:space="preserve"> </w:t>
      </w:r>
      <w:r w:rsidR="00BA4E46" w:rsidRPr="4C4A07C3">
        <w:rPr>
          <w:rFonts w:cstheme="minorBidi"/>
        </w:rPr>
        <w:t xml:space="preserve">Section </w:t>
      </w:r>
      <w:r w:rsidR="00BA4E46" w:rsidRPr="4C4A07C3">
        <w:rPr>
          <w:rFonts w:cstheme="minorBidi"/>
        </w:rPr>
        <w:fldChar w:fldCharType="begin"/>
      </w:r>
      <w:r w:rsidR="00BA4E46" w:rsidRPr="4C4A07C3">
        <w:rPr>
          <w:rFonts w:cstheme="minorBidi"/>
        </w:rPr>
        <w:instrText xml:space="preserve"> REF _Ref5787288 \r \h  \* MERGEFORMAT </w:instrText>
      </w:r>
      <w:r w:rsidR="00BA4E46" w:rsidRPr="4C4A07C3">
        <w:rPr>
          <w:rFonts w:cstheme="minorBidi"/>
        </w:rPr>
      </w:r>
      <w:r w:rsidR="00BA4E46" w:rsidRPr="4C4A07C3">
        <w:rPr>
          <w:rFonts w:cstheme="minorBidi"/>
        </w:rPr>
        <w:fldChar w:fldCharType="separate"/>
      </w:r>
      <w:r w:rsidR="00B177F5">
        <w:rPr>
          <w:rFonts w:cstheme="minorBidi"/>
        </w:rPr>
        <w:t>3.4.3</w:t>
      </w:r>
      <w:r w:rsidR="00BA4E46" w:rsidRPr="4C4A07C3">
        <w:rPr>
          <w:rFonts w:cstheme="minorBidi"/>
        </w:rPr>
        <w:fldChar w:fldCharType="end"/>
      </w:r>
      <w:r w:rsidR="00BA4E46" w:rsidRPr="00BA4E46">
        <w:t xml:space="preserve">, </w:t>
      </w:r>
      <w:r w:rsidR="52036272" w:rsidRPr="00BA4E46">
        <w:rPr>
          <w:rFonts w:cs="Calibri"/>
        </w:rPr>
        <w:t>hot</w:t>
      </w:r>
      <w:r w:rsidR="52036272" w:rsidRPr="52036272">
        <w:rPr>
          <w:rFonts w:cs="Calibri"/>
        </w:rPr>
        <w:t xml:space="preserve"> groundwater discharge would require active circulation down to at least 650 m (</w:t>
      </w:r>
      <w:r w:rsidR="003D2D55">
        <w:rPr>
          <w:rFonts w:cs="Calibri"/>
        </w:rPr>
        <w:fldChar w:fldCharType="begin"/>
      </w:r>
      <w:r w:rsidR="003D2D55">
        <w:rPr>
          <w:rFonts w:cs="Calibri"/>
        </w:rPr>
        <w:instrText xml:space="preserve"> REF _Ref267660 \h </w:instrText>
      </w:r>
      <w:r w:rsidR="003D2D55">
        <w:rPr>
          <w:rFonts w:cs="Calibri"/>
        </w:rPr>
      </w:r>
      <w:r w:rsidR="003D2D55">
        <w:rPr>
          <w:rFonts w:cs="Calibri"/>
        </w:rPr>
        <w:fldChar w:fldCharType="separate"/>
      </w:r>
      <w:r w:rsidR="00B177F5">
        <w:t xml:space="preserve">Figure </w:t>
      </w:r>
      <w:r w:rsidR="00B177F5">
        <w:rPr>
          <w:noProof/>
        </w:rPr>
        <w:t>12</w:t>
      </w:r>
      <w:r w:rsidR="003D2D55">
        <w:rPr>
          <w:rFonts w:cs="Calibri"/>
        </w:rPr>
        <w:fldChar w:fldCharType="end"/>
      </w:r>
      <w:r w:rsidR="52036272" w:rsidRPr="52036272">
        <w:rPr>
          <w:rFonts w:cs="Calibri"/>
        </w:rPr>
        <w:t xml:space="preserve">) along conduits with relatively good permeability. </w:t>
      </w:r>
      <w:r w:rsidR="00220954" w:rsidRPr="00D97D44">
        <w:t xml:space="preserve">According to the NT Springs database </w:t>
      </w:r>
      <w:r w:rsidR="00220954">
        <w:fldChar w:fldCharType="begin"/>
      </w:r>
      <w:r w:rsidR="00F76E0D">
        <w:instrText xml:space="preserve"> ADDIN EN.CITE &lt;EndNote&gt;&lt;Cite&gt;&lt;Author&gt;Department of Environment and Natural Resources (NT)&lt;/Author&gt;&lt;Year&gt;2013&lt;/Year&gt;&lt;RecNum&gt;830&lt;/RecNum&gt;&lt;DisplayText&gt;(Department of Environment and Natural Resources (NT), 2013)&lt;/DisplayText&gt;&lt;record&gt;&lt;rec-number&gt;830&lt;/rec-number&gt;&lt;foreign-keys&gt;&lt;key app="EN" db-id="wdf9tzzdhw2saee559kv0vezt0wfsta0zedv" timestamp="1553215245"&gt;830&lt;/key&gt;&lt;/foreign-keys&gt;&lt;ref-type name="Dataset"&gt;59&lt;/ref-type&gt;&lt;contributors&gt;&lt;authors&gt;&lt;author&gt;Department of Environment and Natural Resources (NT),&lt;/author&gt;&lt;/authors&gt;&lt;secondary-authors&gt;&lt;author&gt;,&lt;/author&gt;&lt;/secondary-authors&gt;&lt;/contributors&gt;&lt;titles&gt;&lt;title&gt;Springs of the Northern Territory&lt;/title&gt;&lt;/titles&gt;&lt;keywords&gt;&lt;keyword&gt;WATER Hydrology Mapping, ECOLOGY biophysical, WATER Hydrology Mapping&lt;/keyword&gt;&lt;/keywords&gt;&lt;dates&gt;&lt;year&gt;2013&lt;/year&gt;&lt;/dates&gt;&lt;pub-location&gt;Canberra&lt;/pub-location&gt;&lt;label&gt;1D351848-02FB-4E90-9390-4E2F895B9F89&lt;/label&gt;&lt;urls&gt;&lt;related-urls&gt;&lt;url&gt;http://www.ntlis.nt.gov.au/metadata/export_data?type=html&amp;amp;metadata_id=E9D78F668FC02B33E040CD9B214403C3&lt;/url&gt;&lt;/related-urls&gt;&lt;/urls&gt;&lt;custom2&gt;unit of observation&lt;/custom2&gt;&lt;custom3&gt;spatial&lt;/custom3&gt;&lt;custom4&gt;dataset&lt;/custom4&gt;&lt;access-date&gt;20 March 2019&lt;/access-date&gt;&lt;/record&gt;&lt;/Cite&gt;&lt;/EndNote&gt;</w:instrText>
      </w:r>
      <w:r w:rsidR="00220954">
        <w:fldChar w:fldCharType="separate"/>
      </w:r>
      <w:r w:rsidR="00220954">
        <w:rPr>
          <w:noProof/>
        </w:rPr>
        <w:t>(Department of Environment and Natural Resources (NT), 2013)</w:t>
      </w:r>
      <w:r w:rsidR="00220954">
        <w:fldChar w:fldCharType="end"/>
      </w:r>
      <w:r w:rsidR="00220954" w:rsidRPr="00D97D44">
        <w:t xml:space="preserve">, </w:t>
      </w:r>
      <w:r w:rsidR="00220954">
        <w:t>the source aquifer</w:t>
      </w:r>
      <w:r w:rsidR="00220954" w:rsidRPr="0075492C">
        <w:t xml:space="preserve"> </w:t>
      </w:r>
      <w:r w:rsidR="00220954">
        <w:t xml:space="preserve">of </w:t>
      </w:r>
      <w:r w:rsidR="00220954" w:rsidRPr="00D97D44">
        <w:t xml:space="preserve">three springs within the Beetaloo GBA region </w:t>
      </w:r>
      <w:r w:rsidR="00220954">
        <w:t>is attributed to</w:t>
      </w:r>
      <w:r w:rsidR="00220954" w:rsidRPr="00D97D44">
        <w:t xml:space="preserve"> Paleoproterozoic units that are associated (closely overlying or underlying) </w:t>
      </w:r>
      <w:r w:rsidR="00220954">
        <w:t xml:space="preserve">with </w:t>
      </w:r>
      <w:r w:rsidR="00220954" w:rsidRPr="00D97D44">
        <w:t xml:space="preserve">the gas plays of </w:t>
      </w:r>
      <w:r w:rsidR="00220954">
        <w:t>Velkerri Formation</w:t>
      </w:r>
      <w:r w:rsidR="00220954" w:rsidRPr="00D97D44">
        <w:t>. Moroak Spring</w:t>
      </w:r>
      <w:r w:rsidR="00220954">
        <w:t>,</w:t>
      </w:r>
      <w:r w:rsidR="00220954" w:rsidRPr="00D97D44">
        <w:t xml:space="preserve"> located 76 km north</w:t>
      </w:r>
      <w:r w:rsidR="00220954">
        <w:t>-</w:t>
      </w:r>
      <w:r w:rsidR="00220954" w:rsidRPr="00D97D44">
        <w:t xml:space="preserve">east of </w:t>
      </w:r>
      <w:r w:rsidR="00220954">
        <w:t>the w</w:t>
      </w:r>
      <w:r w:rsidR="00220954" w:rsidRPr="00D97D44">
        <w:t>estern Beetaloo Sub-basin</w:t>
      </w:r>
      <w:r w:rsidR="00220954">
        <w:t>,</w:t>
      </w:r>
      <w:r w:rsidR="00220954" w:rsidRPr="00D97D44">
        <w:t xml:space="preserve"> is classified to source water from </w:t>
      </w:r>
      <w:r w:rsidR="00220954" w:rsidRPr="00231134">
        <w:t>Roper Group</w:t>
      </w:r>
      <w:r w:rsidR="00220954" w:rsidRPr="00D97D44">
        <w:t xml:space="preserve">, whereas two springs approximately 30 km east of the </w:t>
      </w:r>
      <w:r w:rsidR="00220954">
        <w:t>e</w:t>
      </w:r>
      <w:r w:rsidR="00220954" w:rsidRPr="00D97D44">
        <w:t>astern Beetaloo Sub-basin are identified to source water from</w:t>
      </w:r>
      <w:r w:rsidR="00220954">
        <w:t xml:space="preserve"> the</w:t>
      </w:r>
      <w:r w:rsidR="00220954" w:rsidRPr="00D97D44">
        <w:t xml:space="preserve"> Bessie Creek Formation and Hodgson Sandstone, both underlying the major gas plays of Velkerri Formation.</w:t>
      </w:r>
    </w:p>
    <w:p w14:paraId="071D7566" w14:textId="77777777" w:rsidR="008C4E1A" w:rsidRDefault="008C4E1A" w:rsidP="52036272">
      <w:pPr>
        <w:pStyle w:val="BodyText"/>
        <w:rPr>
          <w:rFonts w:cs="Calibri"/>
        </w:rPr>
      </w:pPr>
    </w:p>
    <w:p w14:paraId="620AA4E6" w14:textId="6B3F3ED0" w:rsidR="003F7219" w:rsidRDefault="52036272" w:rsidP="52036272">
      <w:pPr>
        <w:pStyle w:val="BodyText"/>
        <w:rPr>
          <w:rFonts w:cstheme="minorBidi"/>
        </w:rPr>
      </w:pPr>
      <w:r w:rsidRPr="52036272">
        <w:rPr>
          <w:rFonts w:cs="Calibri"/>
        </w:rPr>
        <w:t xml:space="preserve">Surface geology suggests there is likely to be a high degree of structural control on groundwater flow paths. As discussed in Section </w:t>
      </w:r>
      <w:r w:rsidR="00C72A3B">
        <w:rPr>
          <w:rFonts w:cs="Calibri"/>
        </w:rPr>
        <w:fldChar w:fldCharType="begin"/>
      </w:r>
      <w:r w:rsidR="00C72A3B">
        <w:rPr>
          <w:rFonts w:cs="Calibri"/>
        </w:rPr>
        <w:instrText xml:space="preserve"> REF _Ref279671 \r \h </w:instrText>
      </w:r>
      <w:r w:rsidR="00C72A3B">
        <w:rPr>
          <w:rFonts w:cs="Calibri"/>
        </w:rPr>
      </w:r>
      <w:r w:rsidR="00C72A3B">
        <w:rPr>
          <w:rFonts w:cs="Calibri"/>
        </w:rPr>
        <w:fldChar w:fldCharType="separate"/>
      </w:r>
      <w:r w:rsidR="00B177F5">
        <w:rPr>
          <w:rFonts w:cs="Calibri"/>
        </w:rPr>
        <w:t>3.2.1</w:t>
      </w:r>
      <w:r w:rsidR="00C72A3B">
        <w:rPr>
          <w:rFonts w:cs="Calibri"/>
        </w:rPr>
        <w:fldChar w:fldCharType="end"/>
      </w:r>
      <w:r w:rsidRPr="52036272">
        <w:rPr>
          <w:rFonts w:cs="Calibri"/>
        </w:rPr>
        <w:t xml:space="preserve">, </w:t>
      </w:r>
      <w:r w:rsidR="004F2853" w:rsidRPr="52036272">
        <w:rPr>
          <w:rFonts w:cs="Calibri"/>
        </w:rPr>
        <w:t xml:space="preserve">the degree of connectivity between areas of Roper Group outcrop and Roper Group at depth in the Beetaloo Sub-basin is speculative. More hydrochemistry data and environmental tracers would be required to determine flow paths and to pinpoint source aquifer(s) for springs in these areas and would assist in determining the degree of connectivity between Roper Group outcrop. </w:t>
      </w:r>
      <w:r w:rsidR="004F2853" w:rsidRPr="52036272">
        <w:rPr>
          <w:rFonts w:cstheme="minorBidi"/>
        </w:rPr>
        <w:t xml:space="preserve">It is noticeable in cross-section </w:t>
      </w:r>
      <w:r w:rsidR="4DB97362" w:rsidRPr="4C4A07C3">
        <w:rPr>
          <w:rFonts w:cstheme="minorBidi"/>
        </w:rPr>
        <w:t>B-B</w:t>
      </w:r>
      <w:r w:rsidR="004F2853" w:rsidRPr="4C4A07C3">
        <w:rPr>
          <w:rFonts w:cstheme="minorBidi"/>
        </w:rPr>
        <w:t>’</w:t>
      </w:r>
      <w:r w:rsidR="003F7219" w:rsidRPr="52036272">
        <w:rPr>
          <w:rFonts w:cstheme="minorBidi"/>
        </w:rPr>
        <w:t xml:space="preserve"> (</w:t>
      </w:r>
      <w:r w:rsidR="00392C88" w:rsidRPr="001276A0">
        <w:fldChar w:fldCharType="begin"/>
      </w:r>
      <w:r w:rsidR="00392C88" w:rsidRPr="002DF632">
        <w:rPr>
          <w:rFonts w:cstheme="minorBidi"/>
        </w:rPr>
        <w:instrText xml:space="preserve"> REF _Ref531595653 \h </w:instrText>
      </w:r>
      <w:r w:rsidR="00392C88" w:rsidRPr="001276A0">
        <w:instrText xml:space="preserve"> \* MERGEFORMAT </w:instrText>
      </w:r>
      <w:r w:rsidR="00392C88" w:rsidRPr="001276A0">
        <w:rPr>
          <w:rFonts w:cstheme="minorBidi"/>
        </w:rPr>
        <w:fldChar w:fldCharType="separate"/>
      </w:r>
      <w:r w:rsidR="00B177F5" w:rsidRPr="00001C61">
        <w:t xml:space="preserve">Figure </w:t>
      </w:r>
      <w:r w:rsidR="00B177F5">
        <w:rPr>
          <w:noProof/>
        </w:rPr>
        <w:t>46</w:t>
      </w:r>
      <w:r w:rsidR="00392C88" w:rsidRPr="001276A0">
        <w:fldChar w:fldCharType="end"/>
      </w:r>
      <w:r w:rsidR="003F7219" w:rsidRPr="52036272">
        <w:rPr>
          <w:rFonts w:cstheme="minorBidi"/>
        </w:rPr>
        <w:t xml:space="preserve">) that the </w:t>
      </w:r>
      <w:r w:rsidR="00992D7D" w:rsidRPr="52036272">
        <w:rPr>
          <w:rFonts w:cstheme="minorBidi"/>
        </w:rPr>
        <w:t>shallowness</w:t>
      </w:r>
      <w:r w:rsidR="003F7219" w:rsidRPr="52036272">
        <w:rPr>
          <w:rFonts w:cstheme="minorBidi"/>
        </w:rPr>
        <w:t xml:space="preserve"> of the gas play</w:t>
      </w:r>
      <w:r w:rsidR="00992D7D" w:rsidRPr="52036272">
        <w:rPr>
          <w:rFonts w:cstheme="minorBidi"/>
        </w:rPr>
        <w:t>s</w:t>
      </w:r>
      <w:r w:rsidR="003F7219" w:rsidRPr="52036272">
        <w:rPr>
          <w:rFonts w:cstheme="minorBidi"/>
        </w:rPr>
        <w:t xml:space="preserve"> in the east part of the </w:t>
      </w:r>
      <w:r w:rsidR="00992D7D" w:rsidRPr="52036272">
        <w:rPr>
          <w:rFonts w:cstheme="minorBidi"/>
        </w:rPr>
        <w:t>e</w:t>
      </w:r>
      <w:r w:rsidR="003F7219" w:rsidRPr="52036272">
        <w:rPr>
          <w:rFonts w:cstheme="minorBidi"/>
        </w:rPr>
        <w:t>astern Beetaloo Sub-basin coincides with a fault zone where a high frequency of mapped faults occurs. This indicates a higher likelihood for connectivity between these springs to the Paleoproterozoic geological units.</w:t>
      </w:r>
    </w:p>
    <w:p w14:paraId="08A350C7" w14:textId="35AFAAA8" w:rsidR="003F7219" w:rsidRPr="00700689" w:rsidRDefault="0A539EBA" w:rsidP="000423B0">
      <w:pPr>
        <w:pStyle w:val="BodyText"/>
      </w:pPr>
      <w:bookmarkStart w:id="884" w:name="_Hlk35355653"/>
      <w:r>
        <w:t>As an additional line of evidence, 23 groundwater samples with dissolved CH</w:t>
      </w:r>
      <w:r w:rsidRPr="0A539EBA">
        <w:rPr>
          <w:rStyle w:val="Subscript"/>
        </w:rPr>
        <w:t>4</w:t>
      </w:r>
      <w:r>
        <w:t xml:space="preserve"> measurements ranging from 0.2 to 56 µg/L were recorded in the eastern Beetaloo GBA region</w:t>
      </w:r>
      <w:r w:rsidR="004F2853">
        <w:t xml:space="preserve"> </w:t>
      </w:r>
      <w:r w:rsidR="004F2853">
        <w:fldChar w:fldCharType="begin"/>
      </w:r>
      <w:r w:rsidR="00F76E0D">
        <w:instrText xml:space="preserve"> ADDIN EN.CITE &lt;EndNote&gt;&lt;Cite&gt;&lt;Author&gt;Wilkes&lt;/Author&gt;&lt;Year&gt;2019&lt;/Year&gt;&lt;RecNum&gt;1457&lt;/RecNum&gt;&lt;DisplayText&gt;(Wilkes et al., 2019)&lt;/DisplayText&gt;&lt;record&gt;&lt;rec-number&gt;1457&lt;/rec-number&gt;&lt;foreign-keys&gt;&lt;key app="EN" db-id="wdf9tzzdhw2saee559kv0vezt0wfsta0zedv" timestamp="1584491637"&gt;1457&lt;/key&gt;&lt;/foreign-keys&gt;&lt;ref-type name="Report"&gt;27&lt;/ref-type&gt;&lt;contributors&gt;&lt;authors&gt;&lt;author&gt;Wilkes, P.&lt;/author&gt;&lt;author&gt;Rachakonda, P. K.&lt;/author&gt;&lt;author&gt;Larcher, A.&lt;/author&gt;&lt;author&gt;Woltering, M.&lt;/author&gt;&lt;/authors&gt;&lt;/contributors&gt;&lt;titles&gt;&lt;title&gt;Baseline assessment of groundwater characteristics in the Beetaloo Sub-basin, NT. Geochemistry Analysis report to the Gas Industry Social and Environmental Research Alliance (GISERA)&lt;/title&gt;&lt;/titles&gt;&lt;dates&gt;&lt;year&gt;2019&lt;/year&gt;&lt;/dates&gt;&lt;pub-location&gt;Canberra&lt;/pub-location&gt;&lt;publisher&gt;CSIRO&lt;/publisher&gt;&lt;urls&gt;&lt;related-urls&gt;&lt;url&gt;https://gisera.csiro.au/wp-content/uploads/2019/09/GISERA-W16-Task-4-Report_.pdf&lt;/url&gt;&lt;/related-urls&gt;&lt;/urls&gt;&lt;access-date&gt;20 November 2019&lt;/access-date&gt;&lt;/record&gt;&lt;/Cite&gt;&lt;/EndNote&gt;</w:instrText>
      </w:r>
      <w:r w:rsidR="004F2853">
        <w:fldChar w:fldCharType="separate"/>
      </w:r>
      <w:r w:rsidR="004F2853">
        <w:rPr>
          <w:noProof/>
        </w:rPr>
        <w:t>(Wilkes et al., 2019)</w:t>
      </w:r>
      <w:r w:rsidR="004F2853">
        <w:fldChar w:fldCharType="end"/>
      </w:r>
      <w:r>
        <w:t>.</w:t>
      </w:r>
      <w:bookmarkEnd w:id="884"/>
      <w:r>
        <w:t xml:space="preserve"> </w:t>
      </w:r>
      <w:r w:rsidR="004F2853">
        <w:t>One outlier sample, with 379.7 µg/L, was collected from the upper CLA (Anthony Lagoon Formation) in very close proximity to some faults in the western portion of the Beetaloo GBA region</w:t>
      </w:r>
      <w:r>
        <w:t xml:space="preserve"> (see </w:t>
      </w:r>
      <w:r w:rsidR="003F7219">
        <w:fldChar w:fldCharType="begin"/>
      </w:r>
      <w:r w:rsidR="003F7219">
        <w:instrText xml:space="preserve"> REF _Ref34027448 \h </w:instrText>
      </w:r>
      <w:r w:rsidR="003F7219">
        <w:fldChar w:fldCharType="separate"/>
      </w:r>
      <w:r w:rsidR="00B177F5">
        <w:t xml:space="preserve">Figure </w:t>
      </w:r>
      <w:r w:rsidR="00B177F5">
        <w:rPr>
          <w:rFonts w:asciiTheme="minorHAnsi" w:hAnsiTheme="minorHAnsi" w:cstheme="minorBidi"/>
          <w:noProof/>
        </w:rPr>
        <w:t>31</w:t>
      </w:r>
      <w:r w:rsidR="003F7219">
        <w:fldChar w:fldCharType="end"/>
      </w:r>
      <w:r>
        <w:t xml:space="preserve"> for location). </w:t>
      </w:r>
      <w:r w:rsidR="004F2853">
        <w:t xml:space="preserve">Whether this minor anomaly relates to migration of gases from depth or alternatively, was generated </w:t>
      </w:r>
      <w:r w:rsidR="001E62AB">
        <w:t xml:space="preserve">from organic matter </w:t>
      </w:r>
      <w:r w:rsidR="004F2853">
        <w:t>in the CLA is unknown. More baseline data are required to confirm the source of this methane as its occurrence can be due to a number of mechanisms.</w:t>
      </w:r>
    </w:p>
    <w:p w14:paraId="55401AFE" w14:textId="7D55654D" w:rsidR="003F7219" w:rsidRDefault="00544751" w:rsidP="00012647">
      <w:pPr>
        <w:pStyle w:val="BodyText"/>
        <w:rPr>
          <w:noProof/>
        </w:rPr>
      </w:pPr>
      <w:r>
        <w:t xml:space="preserve">Finally, eight water samples collected along a 300 km line extending from Mataranka, through Daly Waters and along the Carpentaria </w:t>
      </w:r>
      <w:r w:rsidR="001E62AB">
        <w:t xml:space="preserve">Highway </w:t>
      </w:r>
      <w:r w:rsidR="0A539EBA">
        <w:fldChar w:fldCharType="begin"/>
      </w:r>
      <w:r w:rsidR="00F76E0D">
        <w:instrText xml:space="preserve"> ADDIN EN.CITE &lt;EndNote&gt;&lt;Cite&gt;&lt;Author&gt;Suckow&lt;/Author&gt;&lt;Year&gt;2018&lt;/Year&gt;&lt;RecNum&gt;893&lt;/RecNum&gt;&lt;DisplayText&gt;(Suckow et al., 2018)&lt;/DisplayText&gt;&lt;record&gt;&lt;rec-number&gt;893&lt;/rec-number&gt;&lt;foreign-keys&gt;&lt;key app="EN" db-id="wdf9tzzdhw2saee559kv0vezt0wfsta0zedv" timestamp="1554077722"&gt;893&lt;/key&gt;&lt;/foreign-keys&gt;&lt;ref-type name="Report"&gt;27&lt;/ref-type&gt;&lt;contributors&gt;&lt;authors&gt;&lt;author&gt;Suckow, Axel&lt;/author&gt;&lt;author&gt;Deslandes, Alec&lt;/author&gt;&lt;author&gt;Gerber, Christoph&lt;/author&gt;&lt;author&gt;Lamontagne, Sebastien&lt;/author&gt;&lt;/authors&gt;&lt;/contributors&gt;&lt;titles&gt;&lt;title&gt;Environmental tracers in the Beetaloo Sub-basin&lt;/title&gt;&lt;/titles&gt;&lt;pages&gt;50&lt;/pages&gt;&lt;number&gt;EP186868&lt;/number&gt;&lt;dates&gt;&lt;year&gt;2018&lt;/year&gt;&lt;/dates&gt;&lt;pub-location&gt;Australia&lt;/pub-location&gt;&lt;publisher&gt;CSIRO Land and Water&lt;/publisher&gt;&lt;urls&gt;&lt;/urls&gt;&lt;/record&gt;&lt;/Cite&gt;&lt;/EndNote&gt;</w:instrText>
      </w:r>
      <w:r w:rsidR="0A539EBA">
        <w:fldChar w:fldCharType="separate"/>
      </w:r>
      <w:r w:rsidR="37D398EC" w:rsidRPr="37D398EC">
        <w:rPr>
          <w:noProof/>
        </w:rPr>
        <w:t>(Suckow et al., 2018)</w:t>
      </w:r>
      <w:r w:rsidR="0A539EBA">
        <w:fldChar w:fldCharType="end"/>
      </w:r>
      <w:r w:rsidR="00745794">
        <w:t>,</w:t>
      </w:r>
      <w:r w:rsidR="37D398EC">
        <w:t xml:space="preserve"> indicat</w:t>
      </w:r>
      <w:r w:rsidR="001E62AB">
        <w:t>e</w:t>
      </w:r>
      <w:r w:rsidR="37D398EC">
        <w:t xml:space="preserve"> that a component of ‘old’ water may </w:t>
      </w:r>
      <w:r w:rsidR="001E62AB">
        <w:t xml:space="preserve">be </w:t>
      </w:r>
      <w:r w:rsidR="37D398EC">
        <w:t xml:space="preserve">present </w:t>
      </w:r>
      <w:r w:rsidR="001E62AB">
        <w:t xml:space="preserve">in </w:t>
      </w:r>
      <w:r w:rsidR="37D398EC">
        <w:t>the chemical and isotopic composition (</w:t>
      </w:r>
      <w:r w:rsidR="37D398EC" w:rsidRPr="37D398EC">
        <w:rPr>
          <w:vertAlign w:val="superscript"/>
        </w:rPr>
        <w:t>14</w:t>
      </w:r>
      <w:r w:rsidR="37D398EC">
        <w:t xml:space="preserve">C, </w:t>
      </w:r>
      <w:r w:rsidR="37D398EC" w:rsidRPr="37D398EC">
        <w:rPr>
          <w:vertAlign w:val="superscript"/>
        </w:rPr>
        <w:t>13</w:t>
      </w:r>
      <w:r w:rsidR="37D398EC">
        <w:t xml:space="preserve">C, total dissolved inorganic carbon, Cl, Na, Mg and Ca) of CLA groundwaters. </w:t>
      </w:r>
      <w:r w:rsidR="0A539EBA">
        <w:fldChar w:fldCharType="begin"/>
      </w:r>
      <w:r w:rsidR="00F76E0D">
        <w:instrText xml:space="preserve"> ADDIN EN.CITE &lt;EndNote&gt;&lt;Cite AuthorYear="1"&gt;&lt;Author&gt;Suckow&lt;/Author&gt;&lt;Year&gt;2018&lt;/Year&gt;&lt;RecNum&gt;893&lt;/RecNum&gt;&lt;DisplayText&gt;Suckow et al. (2018)&lt;/DisplayText&gt;&lt;record&gt;&lt;rec-number&gt;893&lt;/rec-number&gt;&lt;foreign-keys&gt;&lt;key app="EN" db-id="wdf9tzzdhw2saee559kv0vezt0wfsta0zedv" timestamp="1554077722"&gt;893&lt;/key&gt;&lt;/foreign-keys&gt;&lt;ref-type name="Report"&gt;27&lt;/ref-type&gt;&lt;contributors&gt;&lt;authors&gt;&lt;author&gt;Suckow, Axel&lt;/author&gt;&lt;author&gt;Deslandes, Alec&lt;/author&gt;&lt;author&gt;Gerber, Christoph&lt;/author&gt;&lt;author&gt;Lamontagne, Sebastien&lt;/author&gt;&lt;/authors&gt;&lt;/contributors&gt;&lt;titles&gt;&lt;title&gt;Environmental tracers in the Beetaloo Sub-basin&lt;/title&gt;&lt;/titles&gt;&lt;pages&gt;50&lt;/pages&gt;&lt;number&gt;EP186868&lt;/number&gt;&lt;dates&gt;&lt;year&gt;2018&lt;/year&gt;&lt;/dates&gt;&lt;pub-location&gt;Australia&lt;/pub-location&gt;&lt;publisher&gt;CSIRO Land and Water&lt;/publisher&gt;&lt;urls&gt;&lt;/urls&gt;&lt;/record&gt;&lt;/Cite&gt;&lt;/EndNote&gt;</w:instrText>
      </w:r>
      <w:r w:rsidR="0A539EBA">
        <w:fldChar w:fldCharType="separate"/>
      </w:r>
      <w:r w:rsidR="37D398EC" w:rsidRPr="37D398EC">
        <w:rPr>
          <w:noProof/>
        </w:rPr>
        <w:t>Suckow et al. (2018)</w:t>
      </w:r>
      <w:r w:rsidR="0A539EBA">
        <w:fldChar w:fldCharType="end"/>
      </w:r>
      <w:r w:rsidR="37D398EC">
        <w:t xml:space="preserve"> </w:t>
      </w:r>
      <w:r>
        <w:t>estimated that the tritium results suggest that 75% of the samples demonstrate residence time higher than 60 years, which differs from SF</w:t>
      </w:r>
      <w:r w:rsidRPr="37D398EC">
        <w:rPr>
          <w:rStyle w:val="Subscript"/>
        </w:rPr>
        <w:t>6</w:t>
      </w:r>
      <w:r>
        <w:t xml:space="preserve"> and H1301 results. This is consistent with the hypothesis that a mixture of young and old waters may be the sources for these groundwaters. Such mixing may be indicative of the occurrence of this potential hydrological pathway.</w:t>
      </w:r>
    </w:p>
    <w:p w14:paraId="5D768397" w14:textId="449A11F2" w:rsidR="00012647" w:rsidRDefault="00392C88" w:rsidP="00012647">
      <w:pPr>
        <w:pStyle w:val="Figures"/>
      </w:pPr>
      <w:r>
        <w:rPr>
          <w:noProof/>
        </w:rPr>
        <w:drawing>
          <wp:inline distT="0" distB="0" distL="0" distR="0" wp14:anchorId="0AEACE24" wp14:editId="21EE0DF4">
            <wp:extent cx="6114415" cy="4333240"/>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cstate="screen">
                      <a:extLst>
                        <a:ext uri="{28A0092B-C50C-407E-A947-70E740481C1C}">
                          <a14:useLocalDpi xmlns:a14="http://schemas.microsoft.com/office/drawing/2010/main" val="0"/>
                        </a:ext>
                      </a:extLst>
                    </a:blip>
                    <a:srcRect/>
                    <a:stretch>
                      <a:fillRect/>
                    </a:stretch>
                  </pic:blipFill>
                  <pic:spPr bwMode="auto">
                    <a:xfrm>
                      <a:off x="0" y="0"/>
                      <a:ext cx="6114415" cy="4333240"/>
                    </a:xfrm>
                    <a:prstGeom prst="rect">
                      <a:avLst/>
                    </a:prstGeom>
                    <a:noFill/>
                    <a:ln>
                      <a:noFill/>
                    </a:ln>
                  </pic:spPr>
                </pic:pic>
              </a:graphicData>
            </a:graphic>
          </wp:inline>
        </w:drawing>
      </w:r>
    </w:p>
    <w:p w14:paraId="17585EBD" w14:textId="381F3990" w:rsidR="003F7219" w:rsidRPr="00001C61" w:rsidRDefault="003F7219" w:rsidP="00390580">
      <w:pPr>
        <w:pStyle w:val="Caption"/>
        <w:keepLines/>
      </w:pPr>
      <w:bookmarkStart w:id="885" w:name="_Ref531595642"/>
      <w:bookmarkStart w:id="886" w:name="_Toc531613426"/>
      <w:bookmarkStart w:id="887" w:name="_Toc531700585"/>
      <w:bookmarkStart w:id="888" w:name="_Toc531769178"/>
      <w:bookmarkStart w:id="889" w:name="_Toc531943386"/>
      <w:bookmarkStart w:id="890" w:name="_Toc531950390"/>
      <w:bookmarkStart w:id="891" w:name="_Toc531954541"/>
      <w:bookmarkStart w:id="892" w:name="_Toc531955300"/>
      <w:bookmarkStart w:id="893" w:name="_Toc531956033"/>
      <w:bookmarkStart w:id="894" w:name="_Toc531961720"/>
      <w:bookmarkStart w:id="895" w:name="_Toc531965197"/>
      <w:bookmarkStart w:id="896" w:name="_Toc532208339"/>
      <w:bookmarkStart w:id="897" w:name="_Toc532216077"/>
      <w:bookmarkStart w:id="898" w:name="_Toc532378450"/>
      <w:bookmarkStart w:id="899" w:name="_Toc532459892"/>
      <w:bookmarkStart w:id="900" w:name="_Toc532472374"/>
      <w:bookmarkStart w:id="901" w:name="_Toc532474402"/>
      <w:bookmarkStart w:id="902" w:name="_Toc532475186"/>
      <w:bookmarkStart w:id="903" w:name="_Toc532476730"/>
      <w:bookmarkStart w:id="904" w:name="_Toc532479565"/>
      <w:bookmarkStart w:id="905" w:name="_Toc532482595"/>
      <w:bookmarkStart w:id="906" w:name="_Toc532487140"/>
      <w:bookmarkStart w:id="907" w:name="_Toc532487279"/>
      <w:bookmarkStart w:id="908" w:name="_Toc532484538"/>
      <w:bookmarkStart w:id="909" w:name="_Toc532489183"/>
      <w:bookmarkStart w:id="910" w:name="_Toc532551910"/>
      <w:bookmarkStart w:id="911" w:name="_Toc532553293"/>
      <w:bookmarkStart w:id="912" w:name="_Toc532553480"/>
      <w:bookmarkStart w:id="913" w:name="_Toc532561427"/>
      <w:bookmarkStart w:id="914" w:name="_Toc532807060"/>
      <w:bookmarkStart w:id="915" w:name="_Toc532809781"/>
      <w:bookmarkStart w:id="916" w:name="_Toc532816432"/>
      <w:bookmarkStart w:id="917" w:name="_Toc532816585"/>
      <w:bookmarkStart w:id="918" w:name="_Toc532819880"/>
      <w:bookmarkStart w:id="919" w:name="_Toc532823370"/>
      <w:bookmarkStart w:id="920" w:name="_Toc1563503"/>
      <w:bookmarkStart w:id="921" w:name="_Toc2008067"/>
      <w:bookmarkStart w:id="922" w:name="_Toc6222332"/>
      <w:bookmarkStart w:id="923" w:name="_Toc7613429"/>
      <w:bookmarkStart w:id="924" w:name="_Toc7696741"/>
      <w:bookmarkStart w:id="925" w:name="_Toc7783859"/>
      <w:bookmarkStart w:id="926" w:name="_Toc7799275"/>
      <w:bookmarkStart w:id="927" w:name="_Toc7810363"/>
      <w:bookmarkStart w:id="928" w:name="_Toc38990499"/>
      <w:r w:rsidRPr="00001C61">
        <w:t xml:space="preserve">Figure </w:t>
      </w:r>
      <w:r>
        <w:fldChar w:fldCharType="begin"/>
      </w:r>
      <w:r>
        <w:instrText>SEQ Figure \* ARABIC</w:instrText>
      </w:r>
      <w:r>
        <w:fldChar w:fldCharType="separate"/>
      </w:r>
      <w:r w:rsidR="00B177F5">
        <w:rPr>
          <w:noProof/>
        </w:rPr>
        <w:t>45</w:t>
      </w:r>
      <w:r>
        <w:fldChar w:fldCharType="end"/>
      </w:r>
      <w:bookmarkEnd w:id="885"/>
      <w:r w:rsidRPr="00001C61">
        <w:t xml:space="preserve"> Cross-section A-A’ with north</w:t>
      </w:r>
      <w:r w:rsidR="00004B9C">
        <w:t>-</w:t>
      </w:r>
      <w:r w:rsidRPr="00001C61">
        <w:t>west –</w:t>
      </w:r>
      <w:r w:rsidRPr="00001C61" w:rsidDel="0005471D">
        <w:t xml:space="preserve"> </w:t>
      </w:r>
      <w:r w:rsidRPr="00001C61">
        <w:t>south</w:t>
      </w:r>
      <w:r w:rsidR="00004B9C">
        <w:t>-</w:t>
      </w:r>
      <w:r w:rsidRPr="00001C61">
        <w:t xml:space="preserve">east orientation through </w:t>
      </w:r>
      <w:r w:rsidR="00D4580D">
        <w:t>Beetaloo GBA region,</w:t>
      </w:r>
      <w:r w:rsidRPr="00001C61">
        <w:t xml:space="preserve"> </w:t>
      </w:r>
      <w:r w:rsidR="00306623">
        <w:t>intersecting major</w:t>
      </w:r>
      <w:r w:rsidRPr="00001C61">
        <w:t xml:space="preserve"> geological structures within the Beetaloo </w:t>
      </w:r>
      <w:r w:rsidR="00D4580D">
        <w:t>GBA region</w:t>
      </w:r>
      <w:r w:rsidRPr="00001C61">
        <w:t xml:space="preserve">, including </w:t>
      </w:r>
      <w:r w:rsidR="00D4580D">
        <w:t>Daly Waters High</w:t>
      </w:r>
      <w:r w:rsidRPr="00001C61">
        <w:t xml:space="preserve"> and five potential hydrological connections for water or gas migration</w:t>
      </w:r>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p>
    <w:p w14:paraId="3BF8D56A" w14:textId="0A9E3B80" w:rsidR="000423B0" w:rsidRPr="00200642" w:rsidRDefault="003F7219" w:rsidP="00390580">
      <w:pPr>
        <w:pStyle w:val="SourceornoteforTableorFigure"/>
        <w:keepNext/>
        <w:keepLines/>
      </w:pPr>
      <w:r w:rsidRPr="00200642">
        <w:t xml:space="preserve">The five potential hydrological connections are: </w:t>
      </w:r>
      <w:r w:rsidR="00390580" w:rsidRPr="749253F6">
        <w:t xml:space="preserve">1. </w:t>
      </w:r>
      <w:r w:rsidR="00390580">
        <w:t>via d</w:t>
      </w:r>
      <w:r w:rsidR="00390580" w:rsidRPr="749253F6">
        <w:t xml:space="preserve">irect stratigraphic contact; 2. </w:t>
      </w:r>
      <w:r w:rsidR="00390580">
        <w:t xml:space="preserve">via </w:t>
      </w:r>
      <w:r w:rsidR="00390580" w:rsidRPr="749253F6">
        <w:t xml:space="preserve">faults; 3. </w:t>
      </w:r>
      <w:r w:rsidR="00390580">
        <w:t>t</w:t>
      </w:r>
      <w:r w:rsidR="00390580" w:rsidRPr="749253F6">
        <w:t xml:space="preserve">hrough porous/karst aquifers; 4. </w:t>
      </w:r>
      <w:r w:rsidR="00390580">
        <w:t>t</w:t>
      </w:r>
      <w:r w:rsidR="00390580" w:rsidRPr="749253F6">
        <w:t xml:space="preserve">hrough </w:t>
      </w:r>
      <w:r w:rsidR="00390580">
        <w:t>partial aquifers/</w:t>
      </w:r>
      <w:r w:rsidR="00390580" w:rsidRPr="749253F6">
        <w:t>aquitards</w:t>
      </w:r>
      <w:r w:rsidR="00390580">
        <w:t xml:space="preserve"> reaching overlying aquifers</w:t>
      </w:r>
      <w:r w:rsidR="00390580" w:rsidRPr="749253F6">
        <w:t xml:space="preserve">; 5. </w:t>
      </w:r>
      <w:r w:rsidR="00390580">
        <w:t>v</w:t>
      </w:r>
      <w:r w:rsidR="00390580" w:rsidRPr="749253F6">
        <w:t xml:space="preserve">ia </w:t>
      </w:r>
      <w:r w:rsidR="00390580">
        <w:t>groundwater discharge from CLA aquifer to springs</w:t>
      </w:r>
      <w:r w:rsidRPr="00200642">
        <w:t>.</w:t>
      </w:r>
      <w:r w:rsidR="00C72A3B">
        <w:br/>
      </w:r>
      <w:r w:rsidRPr="00200642">
        <w:t>NMT – Nathan/McArthur/Tawallah Groups; MLRG – Middle to Lower Roper Group; VF – Velkerri Formation (WM – Wyworrie Member, AM – Amungee Member; KM – Kalala Member); MS – Moroak Sandstone; KF – Kyalla Formation; JS – Jamison</w:t>
      </w:r>
      <w:r w:rsidR="3C583D25" w:rsidRPr="00200642">
        <w:t xml:space="preserve"> sandstone</w:t>
      </w:r>
      <w:r w:rsidRPr="00200642">
        <w:t xml:space="preserve">; HM – Hayfield </w:t>
      </w:r>
      <w:r w:rsidR="00BB6D37" w:rsidRPr="00200642">
        <w:t>m</w:t>
      </w:r>
      <w:r w:rsidRPr="00200642">
        <w:t xml:space="preserve">udstone; UKM – Upper Kyalla Member; UN – Undifferentiated Neoproterozoic (including Bukalara Sandstone); APV – Antrim Plateau Volcanics; GRF+ - Gum Ridge Formation and equivalents (lower CLA); ALF+ - Anthony Lagoon Formation and equivalents (upper CLA). </w:t>
      </w:r>
      <w:r w:rsidR="002F71F0" w:rsidRPr="00200642">
        <w:br/>
        <w:t xml:space="preserve">Data: </w:t>
      </w:r>
      <w:r w:rsidR="00C72A3B">
        <w:t>f</w:t>
      </w:r>
      <w:r w:rsidR="00F43F50" w:rsidRPr="000C31B4">
        <w:t xml:space="preserve">aults sourced from </w:t>
      </w:r>
      <w:r w:rsidR="00F43F50" w:rsidRPr="000C31B4">
        <w:fldChar w:fldCharType="begin"/>
      </w:r>
      <w:r w:rsidR="00F76E0D">
        <w:instrText xml:space="preserve"> ADDIN EN.CITE &lt;EndNote&gt;&lt;Cite AuthorYear="1"&gt;&lt;Author&gt;Betts&lt;/Author&gt;&lt;Year&gt;2015&lt;/Year&gt;&lt;RecNum&gt;804&lt;/RecNum&gt;&lt;DisplayText&gt;Betts et al. (2015)&lt;/DisplayText&gt;&lt;record&gt;&lt;rec-number&gt;804&lt;/rec-number&gt;&lt;foreign-keys&gt;&lt;key app="EN" db-id="wdf9tzzdhw2saee559kv0vezt0wfsta0zedv" timestamp="1552630691"&gt;804&lt;/key&gt;&lt;/foreign-keys&gt;&lt;ref-type name="Report"&gt;27&lt;/ref-type&gt;&lt;contributors&gt;&lt;authors&gt;&lt;author&gt;Betts, P.&lt;/author&gt;&lt;author&gt;Armit, R.&lt;/author&gt;&lt;author&gt;Ailleres, L.&lt;/author&gt;&lt;/authors&gt;&lt;tertiary-authors&gt;&lt;author&gt;Northern Territory Geological Survey&lt;/author&gt;&lt;/tertiary-authors&gt;&lt;subsidiary-authors&gt;&lt;author&gt;Department of Mines and Energy&lt;/author&gt;&lt;/subsidiary-authors&gt;&lt;/contributors&gt;&lt;titles&gt;&lt;title&gt;Potential-field interpretation mapping of the greater McArthur Basin. PGN Geoscience Report 15/2014&lt;/title&gt;&lt;secondary-title&gt;&amp;apos;Geophysical and structural interpretation of the greater McArthur Basin&amp;apos;. Northern Territory Geological Survey, Digital Information Package DIP 015&lt;/secondary-title&gt;&lt;/titles&gt;&lt;pages&gt;70&lt;/pages&gt;&lt;dates&gt;&lt;year&gt;2015&lt;/year&gt;&lt;/dates&gt;&lt;pub-location&gt;Darwin&lt;/pub-location&gt;&lt;publisher&gt;Northern Territory Geological Survey&lt;/publisher&gt;&lt;urls&gt;&lt;related-urls&gt;&lt;url&gt;&lt;style face="underline" font="default" size="100%"&gt;https://geoscience.nt.gov.au/gemis/ntgsjspui/handle/1/81754&lt;/style&gt;&lt;/url&gt;&lt;/related-urls&gt;&lt;/urls&gt;&lt;access-date&gt;24 October 2019&lt;/access-date&gt;&lt;/record&gt;&lt;/Cite&gt;&lt;/EndNote&gt;</w:instrText>
      </w:r>
      <w:r w:rsidR="00F43F50" w:rsidRPr="000C31B4">
        <w:fldChar w:fldCharType="separate"/>
      </w:r>
      <w:r w:rsidR="00CA7C2C">
        <w:rPr>
          <w:noProof/>
        </w:rPr>
        <w:t>Betts et al. (2015)</w:t>
      </w:r>
      <w:r w:rsidR="00F43F50" w:rsidRPr="000C31B4">
        <w:fldChar w:fldCharType="end"/>
      </w:r>
      <w:r w:rsidR="00F43F50" w:rsidRPr="000C31B4">
        <w:t xml:space="preserve">, unconventional gas plays footprints from </w:t>
      </w:r>
      <w:r w:rsidR="00F43F50" w:rsidRPr="000C31B4">
        <w:fldChar w:fldCharType="begin"/>
      </w:r>
      <w:r w:rsidR="008F30E0">
        <w:instrText xml:space="preserve"> ADDIN EN.CITE &lt;EndNote&gt;&lt;Cite AuthorYear="1"&gt;&lt;Author&gt;Geological and Bioregional Assessment Program&lt;/Author&gt;&lt;Year&gt;2019&lt;/Year&gt;&lt;RecNum&gt;1284&lt;/RecNum&gt;&lt;DisplayText&gt;Geological and Bioregional Assessment Program (2019b)&lt;/DisplayText&gt;&lt;record&gt;&lt;rec-number&gt;1284&lt;/rec-number&gt;&lt;foreign-keys&gt;&lt;key app="EN" db-id="wdf9tzzdhw2saee559kv0vezt0wfsta0zedv" timestamp="1569795427"&gt;1284&lt;/key&gt;&lt;/foreign-keys&gt;&lt;ref-type name="Dataset"&gt;59&lt;/ref-type&gt;&lt;contributors&gt;&lt;authors&gt;&lt;author&gt;Geological and Bioregional Assessment Program,&lt;/author&gt;&lt;/authors&gt;&lt;secondary-authors&gt;&lt;author&gt;CSIRO,&lt;/author&gt;&lt;/secondary-authors&gt;&lt;/contributors&gt;&lt;titles&gt;&lt;title&gt;Unconventional gas plays footprint within the Beetaloo GBA region&lt;/title&gt;&lt;/titles&gt;&lt;keywords&gt;&lt;keyword&gt;GEOLOGY Mapping&lt;/keyword&gt;&lt;/keywords&gt;&lt;dates&gt;&lt;year&gt;2019&lt;/year&gt;&lt;/dates&gt;&lt;pub-location&gt;Canberra&lt;/pub-location&gt;&lt;label&gt;8AFD2AA4-8361-4D6D-B64B-125C58F14EC6&lt;/label&gt;&lt;urls&gt;&lt;related-urls&gt;&lt;url&gt;https://repo.bioregionalassessments.gov.au/metadata/8AFD2AA4-8361-4D6D-B64B-125C58F14EC6&lt;/url&gt;&lt;/related-urls&gt;&lt;/urls&gt;&lt;custom2&gt;unit of observation&lt;/custom2&gt;&lt;custom3&gt;spatial&lt;/custom3&gt;&lt;custom4&gt;dataset&lt;/custom4&gt;&lt;access-date&gt;27 September 2019&lt;/access-date&gt;&lt;/record&gt;&lt;/Cite&gt;&lt;/EndNote&gt;</w:instrText>
      </w:r>
      <w:r w:rsidR="00F43F50" w:rsidRPr="000C31B4">
        <w:fldChar w:fldCharType="separate"/>
      </w:r>
      <w:r w:rsidR="008F30E0">
        <w:rPr>
          <w:noProof/>
        </w:rPr>
        <w:t>Geological and Bioregional Assessment Program (2019b)</w:t>
      </w:r>
      <w:r w:rsidR="00F43F50" w:rsidRPr="000C31B4">
        <w:fldChar w:fldCharType="end"/>
      </w:r>
      <w:r w:rsidR="00F43F50" w:rsidRPr="000C31B4">
        <w:t xml:space="preserve">, springs from </w:t>
      </w:r>
      <w:r w:rsidR="00F43F50" w:rsidRPr="000C31B4">
        <w:fldChar w:fldCharType="begin"/>
      </w:r>
      <w:r w:rsidR="00F76E0D">
        <w:instrText xml:space="preserve"> ADDIN EN.CITE &lt;EndNote&gt;&lt;Cite AuthorYear="1"&gt;&lt;Author&gt;Department of Environment and Natural Resources (NT)&lt;/Author&gt;&lt;Year&gt;2013&lt;/Year&gt;&lt;RecNum&gt;830&lt;/RecNum&gt;&lt;DisplayText&gt;Department of Environment and Natural Resources (NT) (2013)&lt;/DisplayText&gt;&lt;record&gt;&lt;rec-number&gt;830&lt;/rec-number&gt;&lt;foreign-keys&gt;&lt;key app="EN" db-id="wdf9tzzdhw2saee559kv0vezt0wfsta0zedv" timestamp="1553215245"&gt;830&lt;/key&gt;&lt;/foreign-keys&gt;&lt;ref-type name="Dataset"&gt;59&lt;/ref-type&gt;&lt;contributors&gt;&lt;authors&gt;&lt;author&gt;Department of Environment and Natural Resources (NT),&lt;/author&gt;&lt;/authors&gt;&lt;secondary-authors&gt;&lt;author&gt;,&lt;/author&gt;&lt;/secondary-authors&gt;&lt;/contributors&gt;&lt;titles&gt;&lt;title&gt;Springs of the Northern Territory&lt;/title&gt;&lt;/titles&gt;&lt;keywords&gt;&lt;keyword&gt;WATER Hydrology Mapping, ECOLOGY biophysical, WATER Hydrology Mapping&lt;/keyword&gt;&lt;/keywords&gt;&lt;dates&gt;&lt;year&gt;2013&lt;/year&gt;&lt;/dates&gt;&lt;pub-location&gt;Canberra&lt;/pub-location&gt;&lt;label&gt;1D351848-02FB-4E90-9390-4E2F895B9F89&lt;/label&gt;&lt;urls&gt;&lt;related-urls&gt;&lt;url&gt;http://www.ntlis.nt.gov.au/metadata/export_data?type=html&amp;amp;metadata_id=E9D78F668FC02B33E040CD9B214403C3&lt;/url&gt;&lt;/related-urls&gt;&lt;/urls&gt;&lt;custom2&gt;unit of observation&lt;/custom2&gt;&lt;custom3&gt;spatial&lt;/custom3&gt;&lt;custom4&gt;dataset&lt;/custom4&gt;&lt;access-date&gt;20 March 2019&lt;/access-date&gt;&lt;/record&gt;&lt;/Cite&gt;&lt;/EndNote&gt;</w:instrText>
      </w:r>
      <w:r w:rsidR="00F43F50" w:rsidRPr="000C31B4">
        <w:fldChar w:fldCharType="separate"/>
      </w:r>
      <w:r w:rsidR="00E2715F">
        <w:rPr>
          <w:noProof/>
        </w:rPr>
        <w:t>Department of Environment and Natural Resources (NT) (2013)</w:t>
      </w:r>
      <w:r w:rsidR="00F43F50" w:rsidRPr="000C31B4">
        <w:fldChar w:fldCharType="end"/>
      </w:r>
      <w:r w:rsidR="00F43F50" w:rsidRPr="000C31B4">
        <w:t xml:space="preserve"> and geology</w:t>
      </w:r>
      <w:r w:rsidR="00F43F50">
        <w:t xml:space="preserve"> from </w:t>
      </w:r>
      <w:r w:rsidR="00F43F50">
        <w:fldChar w:fldCharType="begin"/>
      </w:r>
      <w:r w:rsidR="005D0C32">
        <w:instrText xml:space="preserve"> ADDIN EN.CITE &lt;EndNote&gt;&lt;Cite AuthorYear="1"&gt;&lt;Author&gt;Geological and Bioregional Assessment Program&lt;/Author&gt;&lt;Year&gt;2019&lt;/Year&gt;&lt;RecNum&gt;1205&lt;/RecNum&gt;&lt;DisplayText&gt;Geological and Bioregional Assessment Program (2019a)&lt;/DisplayText&gt;&lt;record&gt;&lt;rec-number&gt;1205&lt;/rec-number&gt;&lt;foreign-keys&gt;&lt;key app="EN" db-id="wdf9tzzdhw2saee559kv0vezt0wfsta0zedv" timestamp="1564717374"&gt;1205&lt;/key&gt;&lt;/foreign-keys&gt;&lt;ref-type name="Dataset"&gt;59&lt;/ref-type&gt;&lt;contributors&gt;&lt;authors&gt;&lt;author&gt;Geological and Bioregional Assessment Program,&lt;/author&gt;&lt;/authors&gt;&lt;secondary-authors&gt;&lt;author&gt;CSIRO,&lt;/author&gt;&lt;/secondary-authors&gt;&lt;/contributors&gt;&lt;titles&gt;&lt;title&gt;Impact Modes and Effects Analysis: Shale gas, tight gas and shale oil Beetaloo Sub-basin&lt;/title&gt;&lt;/titles&gt;&lt;keywords&gt;&lt;keyword&gt;IMPACT ANALYSIS&lt;/keyword&gt;&lt;/keywords&gt;&lt;dates&gt;&lt;year&gt;2019&lt;/year&gt;&lt;/dates&gt;&lt;pub-location&gt;Canberra&lt;/pub-location&gt;&lt;label&gt;B7C9EE99-5A13-4312-89DA-794C082F8345&lt;/label&gt;&lt;urls&gt;&lt;related-urls&gt;&lt;url&gt;https://repo.bioregionalassessments.gov.au/metadata/B7C9EE99-5A13-4312-89DA-794C082F8345&lt;/url&gt;&lt;/related-urls&gt;&lt;/urls&gt;&lt;custom2&gt;unit of observation&lt;/custom2&gt;&lt;custom3&gt;tabular&lt;/custom3&gt;&lt;custom4&gt;dataset&lt;/custom4&gt;&lt;access-date&gt;05 April 2019&lt;/access-date&gt;&lt;/record&gt;&lt;/Cite&gt;&lt;/EndNote&gt;</w:instrText>
      </w:r>
      <w:r w:rsidR="00F43F50">
        <w:fldChar w:fldCharType="separate"/>
      </w:r>
      <w:r w:rsidR="005D0C32">
        <w:rPr>
          <w:noProof/>
        </w:rPr>
        <w:t>Geological and Bioregional Assessment Program (2019a)</w:t>
      </w:r>
      <w:r w:rsidR="00F43F50">
        <w:fldChar w:fldCharType="end"/>
      </w:r>
      <w:r w:rsidR="00F43F50">
        <w:t xml:space="preserve"> and </w:t>
      </w:r>
      <w:r w:rsidR="00F43F50">
        <w:fldChar w:fldCharType="begin"/>
      </w:r>
      <w:r w:rsidR="00867932">
        <w:instrText xml:space="preserve"> ADDIN EN.CITE &lt;EndNote&gt;&lt;Cite AuthorYear="1"&gt;&lt;Author&gt;Frogtech Geoscience&lt;/Author&gt;&lt;Year&gt;2018&lt;/Year&gt;&lt;RecNum&gt;653&lt;/RecNum&gt;&lt;DisplayText&gt;Frogtech Geoscience (2018a)&lt;/DisplayText&gt;&lt;record&gt;&lt;rec-number&gt;653&lt;/rec-number&gt;&lt;foreign-keys&gt;&lt;key app="EN" db-id="wdf9tzzdhw2saee559kv0vezt0wfsta0zedv" timestamp="1545264350"&gt;653&lt;/key&gt;&lt;/foreign-keys&gt;&lt;ref-type name="Dataset"&gt;59&lt;/ref-type&gt;&lt;contributors&gt;&lt;authors&gt;&lt;author&gt;Frogtech Geoscience,&lt;/author&gt;&lt;/authors&gt;&lt;tertiary-authors&gt;&lt;author&gt;Northern Territory Geological Survey&lt;/author&gt;&lt;/tertiary-authors&gt;&lt;subsidiary-authors&gt;&lt;author&gt;Department of Primary Industry and Resources&lt;/author&gt;&lt;/subsidiary-authors&gt;&lt;/contributors&gt;&lt;titles&gt;&lt;title&gt;SEEBASE study and GIS for Greater McArthur Basin. Northern Territory Geological Survey, Digital Information Package DIP 017 (ESRI file format, March 2018)&lt;/title&gt;&lt;/titles&gt;&lt;pages&gt;171&lt;/pages&gt;&lt;volume&gt;DIP 017&lt;/volume&gt;&lt;dates&gt;&lt;year&gt;2018&lt;/year&gt;&lt;/dates&gt;&lt;pub-location&gt;NT&lt;/pub-location&gt;&lt;publisher&gt;Northern Territory Geological Survey&lt;/publisher&gt;&lt;label&gt;563A5349-DC7F-42B8-B6CC-892B3B4C3C3F&lt;/label&gt;&lt;urls&gt;&lt;related-urls&gt;&lt;url&gt;https://geoscience.nt.gov.au/gemis/ntgsjspui/handle/1/87064&lt;/url&gt;&lt;/related-urls&gt;&lt;/urls&gt;&lt;access-date&gt;25 May 2018&lt;/access-date&gt;&lt;/record&gt;&lt;/Cite&gt;&lt;/EndNote&gt;</w:instrText>
      </w:r>
      <w:r w:rsidR="00F43F50">
        <w:fldChar w:fldCharType="separate"/>
      </w:r>
      <w:r w:rsidR="00867932">
        <w:rPr>
          <w:noProof/>
        </w:rPr>
        <w:t>Frogtech Geoscience (2018a)</w:t>
      </w:r>
      <w:r w:rsidR="00F43F50">
        <w:fldChar w:fldCharType="end"/>
      </w:r>
      <w:r w:rsidR="00F43F50">
        <w:t xml:space="preserve">; methane data from </w:t>
      </w:r>
      <w:r w:rsidR="00544751">
        <w:fldChar w:fldCharType="begin"/>
      </w:r>
      <w:r w:rsidR="00F76E0D">
        <w:instrText xml:space="preserve"> ADDIN EN.CITE &lt;EndNote&gt;&lt;Cite AuthorYear="1"&gt;&lt;Author&gt;Wilkes&lt;/Author&gt;&lt;Year&gt;2019&lt;/Year&gt;&lt;RecNum&gt;1457&lt;/RecNum&gt;&lt;DisplayText&gt;Wilkes et al. (2019)&lt;/DisplayText&gt;&lt;record&gt;&lt;rec-number&gt;1457&lt;/rec-number&gt;&lt;foreign-keys&gt;&lt;key app="EN" db-id="wdf9tzzdhw2saee559kv0vezt0wfsta0zedv" timestamp="1584491637"&gt;1457&lt;/key&gt;&lt;/foreign-keys&gt;&lt;ref-type name="Report"&gt;27&lt;/ref-type&gt;&lt;contributors&gt;&lt;authors&gt;&lt;author&gt;Wilkes, P.&lt;/author&gt;&lt;author&gt;Rachakonda, P. K.&lt;/author&gt;&lt;author&gt;Larcher, A.&lt;/author&gt;&lt;author&gt;Woltering, M.&lt;/author&gt;&lt;/authors&gt;&lt;/contributors&gt;&lt;titles&gt;&lt;title&gt;Baseline assessment of groundwater characteristics in the Beetaloo Sub-basin, NT. Geochemistry Analysis report to the Gas Industry Social and Environmental Research Alliance (GISERA)&lt;/title&gt;&lt;/titles&gt;&lt;dates&gt;&lt;year&gt;2019&lt;/year&gt;&lt;/dates&gt;&lt;pub-location&gt;Canberra&lt;/pub-location&gt;&lt;publisher&gt;CSIRO&lt;/publisher&gt;&lt;urls&gt;&lt;related-urls&gt;&lt;url&gt;https://gisera.csiro.au/wp-content/uploads/2019/09/GISERA-W16-Task-4-Report_.pdf&lt;/url&gt;&lt;/related-urls&gt;&lt;/urls&gt;&lt;access-date&gt;20 November 2019&lt;/access-date&gt;&lt;/record&gt;&lt;/Cite&gt;&lt;/EndNote&gt;</w:instrText>
      </w:r>
      <w:r w:rsidR="00544751">
        <w:fldChar w:fldCharType="separate"/>
      </w:r>
      <w:r w:rsidR="00544751">
        <w:rPr>
          <w:noProof/>
        </w:rPr>
        <w:t>Wilkes et al. (2019)</w:t>
      </w:r>
      <w:r w:rsidR="00544751">
        <w:fldChar w:fldCharType="end"/>
      </w:r>
      <w:r w:rsidR="002F71F0" w:rsidRPr="00200642">
        <w:br/>
      </w:r>
      <w:r w:rsidRPr="00200642">
        <w:t>Element: GBA-BEE-2-</w:t>
      </w:r>
      <w:r w:rsidR="005C0140">
        <w:t>347</w:t>
      </w:r>
      <w:r w:rsidR="000423B0" w:rsidRPr="00200642">
        <w:br w:type="page"/>
      </w:r>
    </w:p>
    <w:p w14:paraId="4479C2D1" w14:textId="77777777" w:rsidR="003F7219" w:rsidRPr="00D97D44" w:rsidRDefault="003F7219" w:rsidP="000423B0">
      <w:pPr>
        <w:pStyle w:val="Figures"/>
        <w:rPr>
          <w:rFonts w:cstheme="minorBidi"/>
        </w:rPr>
      </w:pPr>
      <w:r>
        <w:rPr>
          <w:noProof/>
        </w:rPr>
        <w:drawing>
          <wp:inline distT="0" distB="0" distL="0" distR="0" wp14:anchorId="6FABC249" wp14:editId="73A21E5C">
            <wp:extent cx="6746400" cy="4572000"/>
            <wp:effectExtent l="0" t="0" r="0" b="0"/>
            <wp:docPr id="2006359425" name="Picture 2006359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S_1v2_draft1.png"/>
                    <pic:cNvPicPr/>
                  </pic:nvPicPr>
                  <pic:blipFill rotWithShape="1">
                    <a:blip r:embed="rId108" cstate="screen">
                      <a:extLst>
                        <a:ext uri="{28A0092B-C50C-407E-A947-70E740481C1C}">
                          <a14:useLocalDpi xmlns:a14="http://schemas.microsoft.com/office/drawing/2010/main" val="0"/>
                        </a:ext>
                      </a:extLst>
                    </a:blip>
                    <a:srcRect r="1595" b="30934"/>
                    <a:stretch/>
                  </pic:blipFill>
                  <pic:spPr bwMode="auto">
                    <a:xfrm>
                      <a:off x="0" y="0"/>
                      <a:ext cx="6746400" cy="4572000"/>
                    </a:xfrm>
                    <a:prstGeom prst="rect">
                      <a:avLst/>
                    </a:prstGeom>
                    <a:ln>
                      <a:noFill/>
                    </a:ln>
                    <a:extLst>
                      <a:ext uri="{53640926-AAD7-44D8-BBD7-CCE9431645EC}">
                        <a14:shadowObscured xmlns:a14="http://schemas.microsoft.com/office/drawing/2010/main"/>
                      </a:ext>
                    </a:extLst>
                  </pic:spPr>
                </pic:pic>
              </a:graphicData>
            </a:graphic>
          </wp:inline>
        </w:drawing>
      </w:r>
    </w:p>
    <w:p w14:paraId="0E33A744" w14:textId="711F3E12" w:rsidR="003F7219" w:rsidRPr="00001C61" w:rsidRDefault="003F7219" w:rsidP="00001C61">
      <w:pPr>
        <w:pStyle w:val="Caption"/>
      </w:pPr>
      <w:bookmarkStart w:id="929" w:name="_Ref531595653"/>
      <w:bookmarkStart w:id="930" w:name="_Toc531613427"/>
      <w:bookmarkStart w:id="931" w:name="_Toc531700586"/>
      <w:bookmarkStart w:id="932" w:name="_Toc531769179"/>
      <w:bookmarkStart w:id="933" w:name="_Toc531943387"/>
      <w:bookmarkStart w:id="934" w:name="_Toc531950391"/>
      <w:bookmarkStart w:id="935" w:name="_Toc531954542"/>
      <w:bookmarkStart w:id="936" w:name="_Toc531955301"/>
      <w:bookmarkStart w:id="937" w:name="_Toc531956034"/>
      <w:bookmarkStart w:id="938" w:name="_Toc531961721"/>
      <w:bookmarkStart w:id="939" w:name="_Toc531965198"/>
      <w:bookmarkStart w:id="940" w:name="_Toc532208340"/>
      <w:bookmarkStart w:id="941" w:name="_Toc532216078"/>
      <w:bookmarkStart w:id="942" w:name="_Toc532378451"/>
      <w:bookmarkStart w:id="943" w:name="_Toc532459893"/>
      <w:bookmarkStart w:id="944" w:name="_Toc532472375"/>
      <w:bookmarkStart w:id="945" w:name="_Toc532474403"/>
      <w:bookmarkStart w:id="946" w:name="_Toc532475187"/>
      <w:bookmarkStart w:id="947" w:name="_Toc532476731"/>
      <w:bookmarkStart w:id="948" w:name="_Toc532479566"/>
      <w:bookmarkStart w:id="949" w:name="_Toc532482596"/>
      <w:bookmarkStart w:id="950" w:name="_Toc532487141"/>
      <w:bookmarkStart w:id="951" w:name="_Toc532487280"/>
      <w:bookmarkStart w:id="952" w:name="_Toc532484539"/>
      <w:bookmarkStart w:id="953" w:name="_Toc532489184"/>
      <w:bookmarkStart w:id="954" w:name="_Toc532551911"/>
      <w:bookmarkStart w:id="955" w:name="_Toc532553294"/>
      <w:bookmarkStart w:id="956" w:name="_Toc532553481"/>
      <w:bookmarkStart w:id="957" w:name="_Toc532561428"/>
      <w:bookmarkStart w:id="958" w:name="_Toc532807061"/>
      <w:bookmarkStart w:id="959" w:name="_Toc532809782"/>
      <w:bookmarkStart w:id="960" w:name="_Toc532816433"/>
      <w:bookmarkStart w:id="961" w:name="_Toc532816586"/>
      <w:bookmarkStart w:id="962" w:name="_Toc532819881"/>
      <w:bookmarkStart w:id="963" w:name="_Toc532823371"/>
      <w:bookmarkStart w:id="964" w:name="_Toc1563504"/>
      <w:bookmarkStart w:id="965" w:name="_Toc2008068"/>
      <w:bookmarkStart w:id="966" w:name="_Toc6222333"/>
      <w:bookmarkStart w:id="967" w:name="_Toc7613430"/>
      <w:bookmarkStart w:id="968" w:name="_Toc7696742"/>
      <w:bookmarkStart w:id="969" w:name="_Toc7783860"/>
      <w:bookmarkStart w:id="970" w:name="_Toc7799276"/>
      <w:bookmarkStart w:id="971" w:name="_Toc7810364"/>
      <w:bookmarkStart w:id="972" w:name="_Toc38990500"/>
      <w:r w:rsidRPr="00001C61">
        <w:t xml:space="preserve">Figure </w:t>
      </w:r>
      <w:r>
        <w:fldChar w:fldCharType="begin"/>
      </w:r>
      <w:r>
        <w:instrText>SEQ Figure \* ARABIC</w:instrText>
      </w:r>
      <w:r>
        <w:fldChar w:fldCharType="separate"/>
      </w:r>
      <w:r w:rsidR="00B177F5">
        <w:rPr>
          <w:noProof/>
        </w:rPr>
        <w:t>46</w:t>
      </w:r>
      <w:r>
        <w:fldChar w:fldCharType="end"/>
      </w:r>
      <w:bookmarkEnd w:id="929"/>
      <w:r w:rsidRPr="00001C61">
        <w:t xml:space="preserve"> Cross-section B-B’, with west–east orientation, </w:t>
      </w:r>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r w:rsidR="00D4580D">
        <w:t>across the Beetaloo GBA region, showing</w:t>
      </w:r>
      <w:r w:rsidRPr="00001C61">
        <w:t xml:space="preserve"> five potential hydrological connections for water or gas migration</w:t>
      </w:r>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p>
    <w:p w14:paraId="6EA49F49" w14:textId="41FBB8FC" w:rsidR="003F7219" w:rsidRPr="00397577" w:rsidRDefault="52CE5417" w:rsidP="002F71F0">
      <w:pPr>
        <w:pStyle w:val="SourceornoteforTableorFigure"/>
      </w:pPr>
      <w:r>
        <w:t xml:space="preserve">The five potential hydrological connections are: </w:t>
      </w:r>
      <w:r w:rsidR="00004B9C" w:rsidRPr="749253F6">
        <w:t xml:space="preserve">1. </w:t>
      </w:r>
      <w:r w:rsidR="00004B9C">
        <w:t>via d</w:t>
      </w:r>
      <w:r w:rsidR="00004B9C" w:rsidRPr="749253F6">
        <w:t xml:space="preserve">irect stratigraphic contact; 2. </w:t>
      </w:r>
      <w:r w:rsidR="00004B9C">
        <w:t xml:space="preserve">via </w:t>
      </w:r>
      <w:r w:rsidR="00004B9C" w:rsidRPr="749253F6">
        <w:t xml:space="preserve">faults; 3. </w:t>
      </w:r>
      <w:r w:rsidR="00004B9C">
        <w:t>t</w:t>
      </w:r>
      <w:r w:rsidR="00004B9C" w:rsidRPr="749253F6">
        <w:t xml:space="preserve">hrough porous/karst aquifers; 4. </w:t>
      </w:r>
      <w:r w:rsidR="00004B9C">
        <w:t>t</w:t>
      </w:r>
      <w:r w:rsidR="00004B9C" w:rsidRPr="749253F6">
        <w:t xml:space="preserve">hrough </w:t>
      </w:r>
      <w:r w:rsidR="00004B9C">
        <w:t>partial aquifers/</w:t>
      </w:r>
      <w:r w:rsidR="00004B9C" w:rsidRPr="749253F6">
        <w:t>aquitards</w:t>
      </w:r>
      <w:r w:rsidR="00004B9C">
        <w:t xml:space="preserve"> reaching overlying aquifers</w:t>
      </w:r>
      <w:r w:rsidR="00004B9C" w:rsidRPr="749253F6">
        <w:t xml:space="preserve">; 5. </w:t>
      </w:r>
      <w:r w:rsidR="00004B9C">
        <w:t>v</w:t>
      </w:r>
      <w:r w:rsidR="00004B9C" w:rsidRPr="749253F6">
        <w:t xml:space="preserve">ia </w:t>
      </w:r>
      <w:r w:rsidR="00004B9C">
        <w:t>groundwater discharge from CLA aquifer to springs</w:t>
      </w:r>
      <w:r w:rsidR="00004B9C" w:rsidRPr="749253F6">
        <w:t>.</w:t>
      </w:r>
      <w:r w:rsidR="00C72A3B">
        <w:br/>
      </w:r>
      <w:r>
        <w:t>NMT – Nathan/McArthur/Tawallah Groups; MLRG – Middle to Lower Roper Group; VF – Velkerri Formation (WM – Wyworrie Member, AM – Amungee Member; KM – Kalala Member); MS – Moroak Sandstone; KF – Kyalla Formation; JS – Jamison sandstone; HM – Hayfield mudstone; UKM – Upper Kyalla Member; UN – Undifferentiated Neoproterozoic (including Bukalara Sandstone); APV – Antrim Plateau Volcanics; GRF+ - Gum Ridge Formation and equivalents (lower CLA); ALF+ - Anthony Lagoon Formation and equivalents (upper CLA) .</w:t>
      </w:r>
      <w:r w:rsidR="003F7219">
        <w:br/>
      </w:r>
      <w:r>
        <w:t xml:space="preserve">Data: </w:t>
      </w:r>
      <w:r w:rsidR="00C72A3B">
        <w:t>f</w:t>
      </w:r>
      <w:r w:rsidR="005C0140" w:rsidRPr="000C31B4">
        <w:t xml:space="preserve">aults sourced from </w:t>
      </w:r>
      <w:r w:rsidR="005C0140" w:rsidRPr="000C31B4">
        <w:fldChar w:fldCharType="begin"/>
      </w:r>
      <w:r w:rsidR="00F76E0D">
        <w:instrText xml:space="preserve"> ADDIN EN.CITE &lt;EndNote&gt;&lt;Cite AuthorYear="1"&gt;&lt;Author&gt;Betts&lt;/Author&gt;&lt;Year&gt;2015&lt;/Year&gt;&lt;RecNum&gt;804&lt;/RecNum&gt;&lt;DisplayText&gt;Betts et al. (2015)&lt;/DisplayText&gt;&lt;record&gt;&lt;rec-number&gt;804&lt;/rec-number&gt;&lt;foreign-keys&gt;&lt;key app="EN" db-id="wdf9tzzdhw2saee559kv0vezt0wfsta0zedv" timestamp="1552630691"&gt;804&lt;/key&gt;&lt;/foreign-keys&gt;&lt;ref-type name="Report"&gt;27&lt;/ref-type&gt;&lt;contributors&gt;&lt;authors&gt;&lt;author&gt;Betts, P.&lt;/author&gt;&lt;author&gt;Armit, R.&lt;/author&gt;&lt;author&gt;Ailleres, L.&lt;/author&gt;&lt;/authors&gt;&lt;tertiary-authors&gt;&lt;author&gt;Northern Territory Geological Survey&lt;/author&gt;&lt;/tertiary-authors&gt;&lt;subsidiary-authors&gt;&lt;author&gt;Department of Mines and Energy&lt;/author&gt;&lt;/subsidiary-authors&gt;&lt;/contributors&gt;&lt;titles&gt;&lt;title&gt;Potential-field interpretation mapping of the greater McArthur Basin. PGN Geoscience Report 15/2014&lt;/title&gt;&lt;secondary-title&gt;&amp;apos;Geophysical and structural interpretation of the greater McArthur Basin&amp;apos;. Northern Territory Geological Survey, Digital Information Package DIP 015&lt;/secondary-title&gt;&lt;/titles&gt;&lt;pages&gt;70&lt;/pages&gt;&lt;dates&gt;&lt;year&gt;2015&lt;/year&gt;&lt;/dates&gt;&lt;pub-location&gt;Darwin&lt;/pub-location&gt;&lt;publisher&gt;Northern Territory Geological Survey&lt;/publisher&gt;&lt;urls&gt;&lt;related-urls&gt;&lt;url&gt;&lt;style face="underline" font="default" size="100%"&gt;https://geoscience.nt.gov.au/gemis/ntgsjspui/handle/1/81754&lt;/style&gt;&lt;/url&gt;&lt;/related-urls&gt;&lt;/urls&gt;&lt;access-date&gt;24 October 2019&lt;/access-date&gt;&lt;/record&gt;&lt;/Cite&gt;&lt;/EndNote&gt;</w:instrText>
      </w:r>
      <w:r w:rsidR="005C0140" w:rsidRPr="000C31B4">
        <w:fldChar w:fldCharType="separate"/>
      </w:r>
      <w:r w:rsidR="008F1C46">
        <w:rPr>
          <w:noProof/>
        </w:rPr>
        <w:t>Betts et al. (2015)</w:t>
      </w:r>
      <w:r w:rsidR="005C0140" w:rsidRPr="000C31B4">
        <w:fldChar w:fldCharType="end"/>
      </w:r>
      <w:r w:rsidR="005C0140" w:rsidRPr="000C31B4">
        <w:t xml:space="preserve"> , unconventional gas plays footprints from </w:t>
      </w:r>
      <w:r w:rsidR="005C0140" w:rsidRPr="000C31B4">
        <w:fldChar w:fldCharType="begin"/>
      </w:r>
      <w:r w:rsidR="008F30E0">
        <w:instrText xml:space="preserve"> ADDIN EN.CITE &lt;EndNote&gt;&lt;Cite AuthorYear="1"&gt;&lt;Author&gt;Geological and Bioregional Assessment Program&lt;/Author&gt;&lt;Year&gt;2019&lt;/Year&gt;&lt;RecNum&gt;1284&lt;/RecNum&gt;&lt;DisplayText&gt;Geological and Bioregional Assessment Program (2019b)&lt;/DisplayText&gt;&lt;record&gt;&lt;rec-number&gt;1284&lt;/rec-number&gt;&lt;foreign-keys&gt;&lt;key app="EN" db-id="wdf9tzzdhw2saee559kv0vezt0wfsta0zedv" timestamp="1569795427"&gt;1284&lt;/key&gt;&lt;/foreign-keys&gt;&lt;ref-type name="Dataset"&gt;59&lt;/ref-type&gt;&lt;contributors&gt;&lt;authors&gt;&lt;author&gt;Geological and Bioregional Assessment Program,&lt;/author&gt;&lt;/authors&gt;&lt;secondary-authors&gt;&lt;author&gt;CSIRO,&lt;/author&gt;&lt;/secondary-authors&gt;&lt;/contributors&gt;&lt;titles&gt;&lt;title&gt;Unconventional gas plays footprint within the Beetaloo GBA region&lt;/title&gt;&lt;/titles&gt;&lt;keywords&gt;&lt;keyword&gt;GEOLOGY Mapping&lt;/keyword&gt;&lt;/keywords&gt;&lt;dates&gt;&lt;year&gt;2019&lt;/year&gt;&lt;/dates&gt;&lt;pub-location&gt;Canberra&lt;/pub-location&gt;&lt;label&gt;8AFD2AA4-8361-4D6D-B64B-125C58F14EC6&lt;/label&gt;&lt;urls&gt;&lt;related-urls&gt;&lt;url&gt;https://repo.bioregionalassessments.gov.au/metadata/8AFD2AA4-8361-4D6D-B64B-125C58F14EC6&lt;/url&gt;&lt;/related-urls&gt;&lt;/urls&gt;&lt;custom2&gt;unit of observation&lt;/custom2&gt;&lt;custom3&gt;spatial&lt;/custom3&gt;&lt;custom4&gt;dataset&lt;/custom4&gt;&lt;access-date&gt;27 September 2019&lt;/access-date&gt;&lt;/record&gt;&lt;/Cite&gt;&lt;/EndNote&gt;</w:instrText>
      </w:r>
      <w:r w:rsidR="005C0140" w:rsidRPr="000C31B4">
        <w:fldChar w:fldCharType="separate"/>
      </w:r>
      <w:r w:rsidR="008F30E0">
        <w:rPr>
          <w:noProof/>
        </w:rPr>
        <w:t>Geological and Bioregional Assessment Program (2019b)</w:t>
      </w:r>
      <w:r w:rsidR="005C0140" w:rsidRPr="000C31B4">
        <w:fldChar w:fldCharType="end"/>
      </w:r>
      <w:r w:rsidR="005C0140" w:rsidRPr="000C31B4">
        <w:t xml:space="preserve">, springs from </w:t>
      </w:r>
      <w:r w:rsidR="005C0140" w:rsidRPr="000C31B4">
        <w:fldChar w:fldCharType="begin"/>
      </w:r>
      <w:r w:rsidR="00F76E0D">
        <w:instrText xml:space="preserve"> ADDIN EN.CITE &lt;EndNote&gt;&lt;Cite AuthorYear="1"&gt;&lt;Author&gt;Department of Environment and Natural Resources (NT)&lt;/Author&gt;&lt;Year&gt;2013&lt;/Year&gt;&lt;RecNum&gt;830&lt;/RecNum&gt;&lt;DisplayText&gt;Department of Environment and Natural Resources (NT) (2013)&lt;/DisplayText&gt;&lt;record&gt;&lt;rec-number&gt;830&lt;/rec-number&gt;&lt;foreign-keys&gt;&lt;key app="EN" db-id="wdf9tzzdhw2saee559kv0vezt0wfsta0zedv" timestamp="1553215245"&gt;830&lt;/key&gt;&lt;/foreign-keys&gt;&lt;ref-type name="Dataset"&gt;59&lt;/ref-type&gt;&lt;contributors&gt;&lt;authors&gt;&lt;author&gt;Department of Environment and Natural Resources (NT),&lt;/author&gt;&lt;/authors&gt;&lt;secondary-authors&gt;&lt;author&gt;,&lt;/author&gt;&lt;/secondary-authors&gt;&lt;/contributors&gt;&lt;titles&gt;&lt;title&gt;Springs of the Northern Territory&lt;/title&gt;&lt;/titles&gt;&lt;keywords&gt;&lt;keyword&gt;WATER Hydrology Mapping, ECOLOGY biophysical, WATER Hydrology Mapping&lt;/keyword&gt;&lt;/keywords&gt;&lt;dates&gt;&lt;year&gt;2013&lt;/year&gt;&lt;/dates&gt;&lt;pub-location&gt;Canberra&lt;/pub-location&gt;&lt;label&gt;1D351848-02FB-4E90-9390-4E2F895B9F89&lt;/label&gt;&lt;urls&gt;&lt;related-urls&gt;&lt;url&gt;http://www.ntlis.nt.gov.au/metadata/export_data?type=html&amp;amp;metadata_id=E9D78F668FC02B33E040CD9B214403C3&lt;/url&gt;&lt;/related-urls&gt;&lt;/urls&gt;&lt;custom2&gt;unit of observation&lt;/custom2&gt;&lt;custom3&gt;spatial&lt;/custom3&gt;&lt;custom4&gt;dataset&lt;/custom4&gt;&lt;access-date&gt;20 March 2019&lt;/access-date&gt;&lt;/record&gt;&lt;/Cite&gt;&lt;/EndNote&gt;</w:instrText>
      </w:r>
      <w:r w:rsidR="005C0140" w:rsidRPr="000C31B4">
        <w:fldChar w:fldCharType="separate"/>
      </w:r>
      <w:r w:rsidR="009C53CD">
        <w:rPr>
          <w:noProof/>
        </w:rPr>
        <w:t>Department of Environment and Natural Resources (NT) (2013)</w:t>
      </w:r>
      <w:r w:rsidR="005C0140" w:rsidRPr="000C31B4">
        <w:fldChar w:fldCharType="end"/>
      </w:r>
      <w:r w:rsidR="005C0140" w:rsidRPr="000C31B4">
        <w:t xml:space="preserve"> and geology</w:t>
      </w:r>
      <w:r w:rsidR="005C0140">
        <w:t xml:space="preserve"> from </w:t>
      </w:r>
      <w:r w:rsidR="005C0140">
        <w:fldChar w:fldCharType="begin"/>
      </w:r>
      <w:r w:rsidR="005D0C32">
        <w:instrText xml:space="preserve"> ADDIN EN.CITE &lt;EndNote&gt;&lt;Cite AuthorYear="1"&gt;&lt;Author&gt;Geological and Bioregional Assessment Program&lt;/Author&gt;&lt;Year&gt;2019&lt;/Year&gt;&lt;RecNum&gt;1205&lt;/RecNum&gt;&lt;DisplayText&gt;Geological and Bioregional Assessment Program (2019a)&lt;/DisplayText&gt;&lt;record&gt;&lt;rec-number&gt;1205&lt;/rec-number&gt;&lt;foreign-keys&gt;&lt;key app="EN" db-id="wdf9tzzdhw2saee559kv0vezt0wfsta0zedv" timestamp="1564717374"&gt;1205&lt;/key&gt;&lt;/foreign-keys&gt;&lt;ref-type name="Dataset"&gt;59&lt;/ref-type&gt;&lt;contributors&gt;&lt;authors&gt;&lt;author&gt;Geological and Bioregional Assessment Program,&lt;/author&gt;&lt;/authors&gt;&lt;secondary-authors&gt;&lt;author&gt;CSIRO,&lt;/author&gt;&lt;/secondary-authors&gt;&lt;/contributors&gt;&lt;titles&gt;&lt;title&gt;Impact Modes and Effects Analysis: Shale gas, tight gas and shale oil Beetaloo Sub-basin&lt;/title&gt;&lt;/titles&gt;&lt;keywords&gt;&lt;keyword&gt;IMPACT ANALYSIS&lt;/keyword&gt;&lt;/keywords&gt;&lt;dates&gt;&lt;year&gt;2019&lt;/year&gt;&lt;/dates&gt;&lt;pub-location&gt;Canberra&lt;/pub-location&gt;&lt;label&gt;B7C9EE99-5A13-4312-89DA-794C082F8345&lt;/label&gt;&lt;urls&gt;&lt;related-urls&gt;&lt;url&gt;https://repo.bioregionalassessments.gov.au/metadata/B7C9EE99-5A13-4312-89DA-794C082F8345&lt;/url&gt;&lt;/related-urls&gt;&lt;/urls&gt;&lt;custom2&gt;unit of observation&lt;/custom2&gt;&lt;custom3&gt;tabular&lt;/custom3&gt;&lt;custom4&gt;dataset&lt;/custom4&gt;&lt;access-date&gt;05 April 2019&lt;/access-date&gt;&lt;/record&gt;&lt;/Cite&gt;&lt;/EndNote&gt;</w:instrText>
      </w:r>
      <w:r w:rsidR="005C0140">
        <w:fldChar w:fldCharType="separate"/>
      </w:r>
      <w:r w:rsidR="005D0C32">
        <w:rPr>
          <w:noProof/>
        </w:rPr>
        <w:t>Geological and Bioregional Assessment Program (2019a)</w:t>
      </w:r>
      <w:r w:rsidR="005C0140">
        <w:fldChar w:fldCharType="end"/>
      </w:r>
      <w:r w:rsidR="005C0140">
        <w:t xml:space="preserve"> and </w:t>
      </w:r>
      <w:r w:rsidR="005C0140">
        <w:fldChar w:fldCharType="begin"/>
      </w:r>
      <w:r w:rsidR="00867932">
        <w:instrText xml:space="preserve"> ADDIN EN.CITE &lt;EndNote&gt;&lt;Cite AuthorYear="1"&gt;&lt;Author&gt;Frogtech Geoscience&lt;/Author&gt;&lt;Year&gt;2018&lt;/Year&gt;&lt;RecNum&gt;653&lt;/RecNum&gt;&lt;DisplayText&gt;Frogtech Geoscience (2018a)&lt;/DisplayText&gt;&lt;record&gt;&lt;rec-number&gt;653&lt;/rec-number&gt;&lt;foreign-keys&gt;&lt;key app="EN" db-id="wdf9tzzdhw2saee559kv0vezt0wfsta0zedv" timestamp="1545264350"&gt;653&lt;/key&gt;&lt;/foreign-keys&gt;&lt;ref-type name="Dataset"&gt;59&lt;/ref-type&gt;&lt;contributors&gt;&lt;authors&gt;&lt;author&gt;Frogtech Geoscience,&lt;/author&gt;&lt;/authors&gt;&lt;tertiary-authors&gt;&lt;author&gt;Northern Territory Geological Survey&lt;/author&gt;&lt;/tertiary-authors&gt;&lt;subsidiary-authors&gt;&lt;author&gt;Department of Primary Industry and Resources&lt;/author&gt;&lt;/subsidiary-authors&gt;&lt;/contributors&gt;&lt;titles&gt;&lt;title&gt;SEEBASE study and GIS for Greater McArthur Basin. Northern Territory Geological Survey, Digital Information Package DIP 017 (ESRI file format, March 2018)&lt;/title&gt;&lt;/titles&gt;&lt;pages&gt;171&lt;/pages&gt;&lt;volume&gt;DIP 017&lt;/volume&gt;&lt;dates&gt;&lt;year&gt;2018&lt;/year&gt;&lt;/dates&gt;&lt;pub-location&gt;NT&lt;/pub-location&gt;&lt;publisher&gt;Northern Territory Geological Survey&lt;/publisher&gt;&lt;label&gt;563A5349-DC7F-42B8-B6CC-892B3B4C3C3F&lt;/label&gt;&lt;urls&gt;&lt;related-urls&gt;&lt;url&gt;https://geoscience.nt.gov.au/gemis/ntgsjspui/handle/1/87064&lt;/url&gt;&lt;/related-urls&gt;&lt;/urls&gt;&lt;access-date&gt;25 May 2018&lt;/access-date&gt;&lt;/record&gt;&lt;/Cite&gt;&lt;/EndNote&gt;</w:instrText>
      </w:r>
      <w:r w:rsidR="005C0140">
        <w:fldChar w:fldCharType="separate"/>
      </w:r>
      <w:r w:rsidR="00867932">
        <w:rPr>
          <w:noProof/>
        </w:rPr>
        <w:t>Frogtech Geoscience (2018a)</w:t>
      </w:r>
      <w:r w:rsidR="005C0140">
        <w:fldChar w:fldCharType="end"/>
      </w:r>
      <w:r w:rsidR="005C0140">
        <w:t xml:space="preserve">; methane data from </w:t>
      </w:r>
      <w:r w:rsidR="007F649C">
        <w:fldChar w:fldCharType="begin"/>
      </w:r>
      <w:r w:rsidR="00F76E0D">
        <w:instrText xml:space="preserve"> ADDIN EN.CITE &lt;EndNote&gt;&lt;Cite AuthorYear="1"&gt;&lt;Author&gt;Wilkes&lt;/Author&gt;&lt;Year&gt;2019&lt;/Year&gt;&lt;RecNum&gt;1457&lt;/RecNum&gt;&lt;DisplayText&gt;Wilkes et al. (2019)&lt;/DisplayText&gt;&lt;record&gt;&lt;rec-number&gt;1457&lt;/rec-number&gt;&lt;foreign-keys&gt;&lt;key app="EN" db-id="wdf9tzzdhw2saee559kv0vezt0wfsta0zedv" timestamp="1584491637"&gt;1457&lt;/key&gt;&lt;/foreign-keys&gt;&lt;ref-type name="Report"&gt;27&lt;/ref-type&gt;&lt;contributors&gt;&lt;authors&gt;&lt;author&gt;Wilkes, P.&lt;/author&gt;&lt;author&gt;Rachakonda, P. K.&lt;/author&gt;&lt;author&gt;Larcher, A.&lt;/author&gt;&lt;author&gt;Woltering, M.&lt;/author&gt;&lt;/authors&gt;&lt;/contributors&gt;&lt;titles&gt;&lt;title&gt;Baseline assessment of groundwater characteristics in the Beetaloo Sub-basin, NT. Geochemistry Analysis report to the Gas Industry Social and Environmental Research Alliance (GISERA)&lt;/title&gt;&lt;/titles&gt;&lt;dates&gt;&lt;year&gt;2019&lt;/year&gt;&lt;/dates&gt;&lt;pub-location&gt;Canberra&lt;/pub-location&gt;&lt;publisher&gt;CSIRO&lt;/publisher&gt;&lt;urls&gt;&lt;related-urls&gt;&lt;url&gt;https://gisera.csiro.au/wp-content/uploads/2019/09/GISERA-W16-Task-4-Report_.pdf&lt;/url&gt;&lt;/related-urls&gt;&lt;/urls&gt;&lt;access-date&gt;20 November 2019&lt;/access-date&gt;&lt;/record&gt;&lt;/Cite&gt;&lt;/EndNote&gt;</w:instrText>
      </w:r>
      <w:r w:rsidR="007F649C">
        <w:fldChar w:fldCharType="separate"/>
      </w:r>
      <w:r w:rsidR="007F649C">
        <w:rPr>
          <w:noProof/>
        </w:rPr>
        <w:t>Wilkes et al. (2019)</w:t>
      </w:r>
      <w:r w:rsidR="007F649C">
        <w:fldChar w:fldCharType="end"/>
      </w:r>
      <w:r w:rsidR="003F7219">
        <w:br/>
      </w:r>
      <w:r>
        <w:t>Element: GBA-BEE-2-</w:t>
      </w:r>
      <w:r w:rsidR="005C0140">
        <w:t>348</w:t>
      </w:r>
      <w:r>
        <w:t xml:space="preserve"> </w:t>
      </w:r>
    </w:p>
    <w:p w14:paraId="3C7FAD94" w14:textId="77777777" w:rsidR="003F7219" w:rsidRDefault="003F7219" w:rsidP="00610170">
      <w:pPr>
        <w:pStyle w:val="BodyText"/>
        <w:sectPr w:rsidR="003F7219" w:rsidSect="00586519">
          <w:headerReference w:type="even" r:id="rId109"/>
          <w:headerReference w:type="default" r:id="rId110"/>
          <w:headerReference w:type="first" r:id="rId111"/>
          <w:footerReference w:type="first" r:id="rId112"/>
          <w:pgSz w:w="11906" w:h="16838" w:code="9"/>
          <w:pgMar w:top="1247" w:right="1134" w:bottom="1134" w:left="1134" w:header="510" w:footer="624" w:gutter="0"/>
          <w:cols w:space="284"/>
          <w:docGrid w:linePitch="360"/>
        </w:sectPr>
      </w:pPr>
    </w:p>
    <w:p w14:paraId="0932DC90" w14:textId="23F04DD6" w:rsidR="003F7219" w:rsidRPr="00FB59D2" w:rsidRDefault="003F7219" w:rsidP="008719EB">
      <w:pPr>
        <w:pStyle w:val="Heading4"/>
        <w:numPr>
          <w:ilvl w:val="0"/>
          <w:numId w:val="0"/>
        </w:numPr>
        <w:ind w:left="1134" w:hanging="1134"/>
      </w:pPr>
      <w:r w:rsidRPr="00FB59D2">
        <w:rPr>
          <w:rFonts w:hint="eastAsia"/>
        </w:rPr>
        <w:t>③</w:t>
      </w:r>
      <w:r w:rsidRPr="00FB59D2">
        <w:t xml:space="preserve"> Potential connection through porous</w:t>
      </w:r>
      <w:r w:rsidR="009D0B34">
        <w:t>/karst</w:t>
      </w:r>
      <w:r w:rsidRPr="00FB59D2">
        <w:t xml:space="preserve"> aquifers</w:t>
      </w:r>
    </w:p>
    <w:p w14:paraId="33D0A15F" w14:textId="57CFA676" w:rsidR="005571A8" w:rsidRDefault="005571A8" w:rsidP="000423B0">
      <w:pPr>
        <w:pStyle w:val="BodyText"/>
      </w:pPr>
      <w:r>
        <w:t>Groundwater moving through an aquifer can be a connective pathway that may allow changes to water quality or groundwater pressure to propagate away from a source. The degree to which changes can occur is dependent on many factors including: configuration of the aquifer, its lithology, extent and degree of confinement, hydraulic properties (primarily hydraulic conductivity), hydraulic gradients, flow rates, chemistry and connectivity with other aquifers.</w:t>
      </w:r>
    </w:p>
    <w:p w14:paraId="754CCBC0" w14:textId="4CBE4600" w:rsidR="003F7219" w:rsidRDefault="005571A8" w:rsidP="000423B0">
      <w:pPr>
        <w:pStyle w:val="BodyText"/>
      </w:pPr>
      <w:r>
        <w:t>In the Beetaloo GBA region the Roper Group is deeply buried and is not used as a grou</w:t>
      </w:r>
      <w:r w:rsidR="00EF03E1">
        <w:t>n</w:t>
      </w:r>
      <w:r>
        <w:t>dwater supply. However, at depth groundwater and fluid/gas flow may occur, particularly in areas that are ‘on structure’</w:t>
      </w:r>
      <w:r w:rsidR="0A539EBA">
        <w:t xml:space="preserve">, as described in Section </w:t>
      </w:r>
      <w:r w:rsidR="009B0DCD">
        <w:fldChar w:fldCharType="begin"/>
      </w:r>
      <w:r w:rsidR="009B0DCD">
        <w:instrText xml:space="preserve"> REF _Ref279671 \r \h </w:instrText>
      </w:r>
      <w:r w:rsidR="009B0DCD">
        <w:fldChar w:fldCharType="separate"/>
      </w:r>
      <w:r w:rsidR="00B177F5">
        <w:t>3.2.1</w:t>
      </w:r>
      <w:r w:rsidR="009B0DCD">
        <w:fldChar w:fldCharType="end"/>
      </w:r>
      <w:r w:rsidR="009B0DCD">
        <w:t xml:space="preserve">. </w:t>
      </w:r>
      <w:bookmarkStart w:id="973" w:name="_Hlk35356008"/>
      <w:r>
        <w:t>Another factor influencing the lateral flow in the Roper Group is the level of induration caused by diagenetic processes and secondary porosity such as fracturing. Groundwater flow in this sequence is unlikely to be extensive</w:t>
      </w:r>
      <w:r w:rsidR="0A539EBA">
        <w:t xml:space="preserve"> (as discussed in Section </w:t>
      </w:r>
      <w:r w:rsidR="003F7219">
        <w:fldChar w:fldCharType="begin"/>
      </w:r>
      <w:r w:rsidR="003F7219">
        <w:instrText xml:space="preserve"> REF _Ref5713110 \r \h  \* MERGEFORMAT </w:instrText>
      </w:r>
      <w:r w:rsidR="003F7219">
        <w:fldChar w:fldCharType="separate"/>
      </w:r>
      <w:r w:rsidR="00B177F5">
        <w:t>3.3.1.2</w:t>
      </w:r>
      <w:r w:rsidR="003F7219">
        <w:fldChar w:fldCharType="end"/>
      </w:r>
      <w:r w:rsidR="0A539EBA">
        <w:t xml:space="preserve">), unless through other pathways </w:t>
      </w:r>
      <w:r w:rsidR="00F360BC">
        <w:t>(</w:t>
      </w:r>
      <w:r w:rsidR="00BF0016">
        <w:fldChar w:fldCharType="begin"/>
      </w:r>
      <w:r w:rsidR="00F76E0D">
        <w:instrText xml:space="preserve"> ADDIN EN.CITE &lt;EndNote&gt;&lt;Cite AuthorYear="1"&gt;&lt;Author&gt;Magoon&lt;/Author&gt;&lt;Year&gt;1994&lt;/Year&gt;&lt;RecNum&gt;3&lt;/RecNum&gt;&lt;DisplayText&gt;Magoon and Dow (1994)&lt;/DisplayText&gt;&lt;record&gt;&lt;rec-number&gt;3&lt;/rec-number&gt;&lt;foreign-keys&gt;&lt;key app="EN" db-id="wdf9tzzdhw2saee559kv0vezt0wfsta0zedv" timestamp="1540258452"&gt;3&lt;/key&gt;&lt;/foreign-keys&gt;&lt;ref-type name="Book Section"&gt;5&lt;/ref-type&gt;&lt;contributors&gt;&lt;authors&gt;&lt;author&gt;Magoon, LB&lt;/author&gt;&lt;author&gt;Dow, WG&lt;/author&gt;&lt;/authors&gt;&lt;secondary-authors&gt;&lt;author&gt;Magoon, LB&lt;/author&gt;&lt;author&gt;Dow, WG&lt;/author&gt;&lt;/secondary-authors&gt;&lt;/contributors&gt;&lt;titles&gt;&lt;title&gt;The petroleum system&lt;/title&gt;&lt;secondary-title&gt;The petroleum system - from source to trap. AAPG Memoir 60&lt;/secondary-title&gt;&lt;tertiary-title&gt;AAPG Memoir 60&lt;/tertiary-title&gt;&lt;/titles&gt;&lt;pages&gt;3-24&lt;/pages&gt;&lt;dates&gt;&lt;year&gt;1994&lt;/year&gt;&lt;/dates&gt;&lt;pub-location&gt;Boulder, Tulsa, OK, USA&lt;/pub-location&gt;&lt;publisher&gt;American Association of Petroleum Geologists&lt;/publisher&gt;&lt;urls&gt;&lt;/urls&gt;&lt;/record&gt;&lt;/Cite&gt;&lt;/EndNote&gt;</w:instrText>
      </w:r>
      <w:r w:rsidR="00BF0016">
        <w:fldChar w:fldCharType="separate"/>
      </w:r>
      <w:r w:rsidR="00DB22E9">
        <w:rPr>
          <w:noProof/>
        </w:rPr>
        <w:t>Magoon and Dow (1994)</w:t>
      </w:r>
      <w:r w:rsidR="00BF0016">
        <w:fldChar w:fldCharType="end"/>
      </w:r>
      <w:r w:rsidR="00F360BC">
        <w:t>, for instance)</w:t>
      </w:r>
      <w:r w:rsidR="0A539EBA">
        <w:t>.</w:t>
      </w:r>
      <w:bookmarkEnd w:id="973"/>
    </w:p>
    <w:p w14:paraId="05BFAABC" w14:textId="4E543B6E" w:rsidR="005571A8" w:rsidRDefault="005571A8" w:rsidP="000423B0">
      <w:pPr>
        <w:pStyle w:val="BodyText"/>
      </w:pPr>
      <w:r>
        <w:t xml:space="preserve">On the other hand, in the CLA, lateral connectivity and groundwater flow is inferred from hydraulic gradients derived from waterlevel data. As previously described in </w:t>
      </w:r>
      <w:r w:rsidRPr="005571A8">
        <w:t>Section</w:t>
      </w:r>
      <w:r w:rsidR="0002080E">
        <w:t xml:space="preserve"> </w:t>
      </w:r>
      <w:r w:rsidR="0002080E">
        <w:fldChar w:fldCharType="begin"/>
      </w:r>
      <w:r w:rsidR="0002080E">
        <w:instrText xml:space="preserve"> REF _Ref5787823 \r \h </w:instrText>
      </w:r>
      <w:r w:rsidR="0002080E">
        <w:fldChar w:fldCharType="separate"/>
      </w:r>
      <w:r w:rsidR="00B177F5">
        <w:t>3.3.3.2</w:t>
      </w:r>
      <w:r w:rsidR="0002080E">
        <w:fldChar w:fldCharType="end"/>
      </w:r>
      <w:r w:rsidRPr="005571A8">
        <w:t>, the porosity and permiability is primarily controlled by the formation of karst.</w:t>
      </w:r>
      <w:r>
        <w:t xml:space="preserve"> </w:t>
      </w:r>
      <w:r w:rsidR="0002080E">
        <w:t>F</w:t>
      </w:r>
      <w:r>
        <w:t>low rates through karstic porosity and permeability can be extremely variable, including flow rates over 1000 m/day in areas to the north of the Beetaloo GBA region.</w:t>
      </w:r>
    </w:p>
    <w:p w14:paraId="1E317C43" w14:textId="48241F37" w:rsidR="003F7219" w:rsidRPr="001276A0" w:rsidRDefault="000E743C" w:rsidP="000423B0">
      <w:pPr>
        <w:pStyle w:val="BodyText"/>
      </w:pPr>
      <w:r w:rsidRPr="000E743C">
        <w:t>T</w:t>
      </w:r>
      <w:r>
        <w:t>wo major groundwater flow systems can be identified within the Beetaloo GBA region in the CLA; one from the Georgina Basin into the Daly Basin and the other from the Wiso Basin into the Daly Basin. At a local scale, the presence of structures (pathway 2) and karst patterns may cause deviation in the general groundwater flow rate and direction.</w:t>
      </w:r>
      <w:r w:rsidR="003F7219">
        <w:t xml:space="preserve"> </w:t>
      </w:r>
      <w:r w:rsidR="00553130">
        <w:fldChar w:fldCharType="begin"/>
      </w:r>
      <w:r w:rsidR="00553130">
        <w:instrText xml:space="preserve"> REF _Ref4421356 \h </w:instrText>
      </w:r>
      <w:r w:rsidR="000423B0">
        <w:instrText xml:space="preserve"> \* MERGEFORMAT </w:instrText>
      </w:r>
      <w:r w:rsidR="00553130">
        <w:fldChar w:fldCharType="separate"/>
      </w:r>
      <w:r w:rsidR="00B177F5">
        <w:t xml:space="preserve">Figure </w:t>
      </w:r>
      <w:r w:rsidR="00B177F5">
        <w:rPr>
          <w:noProof/>
        </w:rPr>
        <w:t>15</w:t>
      </w:r>
      <w:r w:rsidR="00553130">
        <w:fldChar w:fldCharType="end"/>
      </w:r>
      <w:r w:rsidR="003F7219">
        <w:t xml:space="preserve"> and </w:t>
      </w:r>
      <w:r w:rsidR="00553130">
        <w:fldChar w:fldCharType="begin"/>
      </w:r>
      <w:r w:rsidR="00553130">
        <w:instrText xml:space="preserve"> REF _Ref1137606 \h </w:instrText>
      </w:r>
      <w:r w:rsidR="000423B0">
        <w:instrText xml:space="preserve"> \* MERGEFORMAT </w:instrText>
      </w:r>
      <w:r w:rsidR="00553130">
        <w:fldChar w:fldCharType="separate"/>
      </w:r>
      <w:r w:rsidR="00B177F5">
        <w:t xml:space="preserve">Figure </w:t>
      </w:r>
      <w:r w:rsidR="00B177F5">
        <w:rPr>
          <w:noProof/>
        </w:rPr>
        <w:t>16</w:t>
      </w:r>
      <w:r w:rsidR="00553130">
        <w:fldChar w:fldCharType="end"/>
      </w:r>
      <w:r w:rsidR="003F7219">
        <w:t xml:space="preserve"> illustrate the inferred groundwater flow direction </w:t>
      </w:r>
      <w:r w:rsidR="0043403C" w:rsidRPr="001276A0">
        <w:t>in</w:t>
      </w:r>
      <w:r w:rsidR="003F7219" w:rsidRPr="001276A0">
        <w:t xml:space="preserve"> the CLA and </w:t>
      </w:r>
      <w:r w:rsidR="0043403C" w:rsidRPr="001276A0">
        <w:t xml:space="preserve">the </w:t>
      </w:r>
      <w:r w:rsidR="003F7219" w:rsidRPr="001276A0">
        <w:t>groundwater divide formed by the influence of geological structures.</w:t>
      </w:r>
    </w:p>
    <w:p w14:paraId="29AD2ADB" w14:textId="37C97F8B" w:rsidR="006309FD" w:rsidRPr="00B82D7D" w:rsidRDefault="0A539EBA" w:rsidP="00004B9C">
      <w:pPr>
        <w:pStyle w:val="BodyText"/>
      </w:pPr>
      <w:bookmarkStart w:id="974" w:name="_Hlk35356075"/>
      <w:r w:rsidRPr="001276A0">
        <w:t xml:space="preserve">Groundwater movement is </w:t>
      </w:r>
      <w:r w:rsidR="000E743C">
        <w:t xml:space="preserve">also </w:t>
      </w:r>
      <w:r w:rsidRPr="001276A0">
        <w:t xml:space="preserve">expected to occur in the Kiana Group, </w:t>
      </w:r>
      <w:r w:rsidR="000E743C">
        <w:t xml:space="preserve">as </w:t>
      </w:r>
      <w:r w:rsidR="000E743C" w:rsidRPr="001276A0">
        <w:t>represented in the cross-sections (e.g.</w:t>
      </w:r>
      <w:r w:rsidR="000E743C">
        <w:t xml:space="preserve"> </w:t>
      </w:r>
      <w:r w:rsidR="000E743C">
        <w:fldChar w:fldCharType="begin"/>
      </w:r>
      <w:r w:rsidR="000E743C">
        <w:instrText xml:space="preserve"> REF _Ref531595642 \h </w:instrText>
      </w:r>
      <w:r w:rsidR="000E743C">
        <w:fldChar w:fldCharType="separate"/>
      </w:r>
      <w:r w:rsidR="00B177F5" w:rsidRPr="00001C61">
        <w:t xml:space="preserve">Figure </w:t>
      </w:r>
      <w:r w:rsidR="00B177F5">
        <w:rPr>
          <w:noProof/>
        </w:rPr>
        <w:t>45</w:t>
      </w:r>
      <w:r w:rsidR="000E743C">
        <w:fldChar w:fldCharType="end"/>
      </w:r>
      <w:bookmarkEnd w:id="974"/>
      <w:r w:rsidR="000E743C">
        <w:t>).</w:t>
      </w:r>
      <w:r w:rsidR="000E743C" w:rsidRPr="000E743C">
        <w:t xml:space="preserve"> </w:t>
      </w:r>
      <w:r w:rsidR="000E743C">
        <w:t xml:space="preserve">However, groundwater information from which to infer flow directions is very limited.  According to Section </w:t>
      </w:r>
      <w:r w:rsidR="000E743C">
        <w:fldChar w:fldCharType="begin"/>
      </w:r>
      <w:r w:rsidR="000E743C">
        <w:instrText xml:space="preserve"> REF _Ref14851352 \r \h  \* MERGEFORMAT </w:instrText>
      </w:r>
      <w:r w:rsidR="000E743C">
        <w:fldChar w:fldCharType="separate"/>
      </w:r>
      <w:r w:rsidR="00B177F5">
        <w:t>3.3.2.1</w:t>
      </w:r>
      <w:r w:rsidR="000E743C">
        <w:fldChar w:fldCharType="end"/>
      </w:r>
      <w:r w:rsidR="000E743C">
        <w:t>, limited information suggests that the Bukalara Sandstone can have good porosity with minimum cementation, which would potentially allow for horizontal or vertical flow.</w:t>
      </w:r>
    </w:p>
    <w:p w14:paraId="670B1577" w14:textId="180073C8" w:rsidR="003F7219" w:rsidRPr="00FB59D2" w:rsidRDefault="003F7219" w:rsidP="00D475B5">
      <w:pPr>
        <w:pStyle w:val="Heading4"/>
        <w:numPr>
          <w:ilvl w:val="0"/>
          <w:numId w:val="0"/>
        </w:numPr>
        <w:ind w:left="1134" w:hanging="1134"/>
      </w:pPr>
      <w:r w:rsidRPr="00FB59D2">
        <w:rPr>
          <w:rFonts w:hint="eastAsia"/>
        </w:rPr>
        <w:t>④</w:t>
      </w:r>
      <w:r w:rsidRPr="00FB59D2">
        <w:t xml:space="preserve"> Potential connection through </w:t>
      </w:r>
      <w:r w:rsidR="009D0B34">
        <w:t>partial aquifers/</w:t>
      </w:r>
      <w:r w:rsidRPr="00FB59D2">
        <w:t xml:space="preserve">aquitards </w:t>
      </w:r>
      <w:r w:rsidR="009D0B34">
        <w:t>reaching overlying aquifers</w:t>
      </w:r>
    </w:p>
    <w:p w14:paraId="49F55411" w14:textId="76B4E704" w:rsidR="003F7219" w:rsidRPr="00700689" w:rsidRDefault="000E743C" w:rsidP="002DF632">
      <w:pPr>
        <w:pStyle w:val="BodyText"/>
        <w:rPr>
          <w:rFonts w:cstheme="minorBidi"/>
        </w:rPr>
      </w:pPr>
      <w:r>
        <w:t>Leakage across aquitards can occur over time. As described for pathway 1, the Hayfield mudstone is deemed an effective aquitard because of its substantial thickness, reaching thicknesses of 449 m (Balmain-1 and Shenandoah-1 petroleum wells) and 569 m (Tanumbirini-1). Where</w:t>
      </w:r>
      <w:r w:rsidRPr="3066B7BC">
        <w:rPr>
          <w:rFonts w:cstheme="minorBidi"/>
        </w:rPr>
        <w:t xml:space="preserve"> </w:t>
      </w:r>
      <w:r w:rsidR="0002080E">
        <w:rPr>
          <w:rFonts w:cstheme="minorBidi"/>
        </w:rPr>
        <w:t xml:space="preserve">the </w:t>
      </w:r>
      <w:r w:rsidRPr="3066B7BC">
        <w:rPr>
          <w:rFonts w:cstheme="minorBidi"/>
        </w:rPr>
        <w:t>Hayfield mudstone thins or is compromised by faults</w:t>
      </w:r>
      <w:r w:rsidR="003F7219" w:rsidRPr="002DF632">
        <w:rPr>
          <w:rFonts w:cstheme="minorBidi"/>
        </w:rPr>
        <w:t xml:space="preserve"> (as discussed in </w:t>
      </w:r>
      <w:r w:rsidR="005064C6" w:rsidRPr="001276A0">
        <w:fldChar w:fldCharType="begin"/>
      </w:r>
      <w:r w:rsidR="00F76E0D">
        <w:instrText xml:space="preserve"> ADDIN EN.CITE &lt;EndNote&gt;&lt;Cite AuthorYear="1"&gt;&lt;Author&gt;Orr&lt;/Author&gt;&lt;Year&gt;2020&lt;/Year&gt;&lt;RecNum&gt;797&lt;/RecNum&gt;&lt;DisplayText&gt;Orr et al. (2020)&lt;/DisplayText&gt;&lt;record&gt;&lt;rec-number&gt;797&lt;/rec-number&gt;&lt;foreign-keys&gt;&lt;key app="EN" db-id="wdf9tzzdhw2saee559kv0vezt0wfsta0zedv" timestamp="1552607511"&gt;797&lt;/key&gt;&lt;/foreign-keys&gt;&lt;ref-type name="Report"&gt;27&lt;/ref-type&gt;&lt;contributors&gt;&lt;authors&gt;&lt;author&gt;Orr, M.L.,&lt;/author&gt;&lt;author&gt;Bernardel, G.,&lt;/author&gt;&lt;author&gt;Owens, R.,&lt;/author&gt;&lt;author&gt;Hall, L.S.,&lt;/author&gt;&lt;author&gt;Skeers, N.,&lt;/author&gt;&lt;author&gt;Reese, B.,&lt;/author&gt;&lt;author&gt;Woods, M.,&lt;/author&gt;&lt;/authors&gt;&lt;/contributors&gt;&lt;titles&gt;&lt;title&gt;Geology of the Beetaloo GBA region. Technical appendix for the Geological and Bioregional Assessment: Stage 2&lt;/title&gt;&lt;/titles&gt;&lt;dates&gt;&lt;year&gt;2020&lt;/year&gt;&lt;/dates&gt;&lt;pub-location&gt;Australia&lt;/pub-location&gt;&lt;publisher&gt;Department of the Environment and Energy, Bureau of Meteorology, CSIRO and Geoscience Australia&lt;/publisher&gt;&lt;urls&gt;&lt;/urls&gt;&lt;/record&gt;&lt;/Cite&gt;&lt;/EndNote&gt;</w:instrText>
      </w:r>
      <w:r w:rsidR="005064C6" w:rsidRPr="001276A0">
        <w:rPr>
          <w:rFonts w:cstheme="minorBidi"/>
        </w:rPr>
        <w:fldChar w:fldCharType="separate"/>
      </w:r>
      <w:r w:rsidR="00B36397" w:rsidRPr="00B36397">
        <w:rPr>
          <w:noProof/>
        </w:rPr>
        <w:t>Orr et al. (2020)</w:t>
      </w:r>
      <w:r w:rsidR="005064C6" w:rsidRPr="001276A0">
        <w:fldChar w:fldCharType="end"/>
      </w:r>
      <w:r w:rsidR="009B0DCD" w:rsidRPr="002DF632">
        <w:rPr>
          <w:rFonts w:cstheme="minorBidi"/>
        </w:rPr>
        <w:t>)</w:t>
      </w:r>
      <w:r w:rsidR="0002080E">
        <w:rPr>
          <w:rFonts w:cstheme="minorBidi"/>
        </w:rPr>
        <w:t xml:space="preserve">, </w:t>
      </w:r>
      <w:r w:rsidR="0002080E" w:rsidRPr="002DF632">
        <w:rPr>
          <w:rFonts w:cstheme="minorBidi"/>
        </w:rPr>
        <w:t xml:space="preserve">migration </w:t>
      </w:r>
      <w:r w:rsidR="0002080E">
        <w:rPr>
          <w:rFonts w:cstheme="minorBidi"/>
        </w:rPr>
        <w:t xml:space="preserve">of fluids </w:t>
      </w:r>
      <w:r w:rsidRPr="001276A0">
        <w:rPr>
          <w:rFonts w:cstheme="minorBidi"/>
        </w:rPr>
        <w:t xml:space="preserve">between </w:t>
      </w:r>
      <w:r w:rsidRPr="3066B7BC">
        <w:rPr>
          <w:rFonts w:cstheme="minorBidi"/>
        </w:rPr>
        <w:t xml:space="preserve">petroleum plays in the </w:t>
      </w:r>
      <w:r w:rsidRPr="001276A0">
        <w:rPr>
          <w:rFonts w:cstheme="minorBidi"/>
        </w:rPr>
        <w:t>Kyalla Formation</w:t>
      </w:r>
      <w:r w:rsidR="0002080E">
        <w:rPr>
          <w:rFonts w:cstheme="minorBidi"/>
        </w:rPr>
        <w:t xml:space="preserve"> through the Hayfield mudstone to</w:t>
      </w:r>
      <w:r w:rsidRPr="001276A0">
        <w:rPr>
          <w:rFonts w:cstheme="minorBidi"/>
        </w:rPr>
        <w:t xml:space="preserve"> overlying sequences</w:t>
      </w:r>
      <w:r w:rsidR="0002080E">
        <w:rPr>
          <w:rFonts w:cstheme="minorBidi"/>
        </w:rPr>
        <w:t xml:space="preserve"> is a possible pathway</w:t>
      </w:r>
      <w:r w:rsidRPr="3066B7BC">
        <w:rPr>
          <w:rFonts w:cstheme="minorBidi"/>
        </w:rPr>
        <w:t>. All</w:t>
      </w:r>
      <w:r w:rsidRPr="001276A0">
        <w:rPr>
          <w:rFonts w:cstheme="minorBidi"/>
        </w:rPr>
        <w:t xml:space="preserve"> </w:t>
      </w:r>
      <w:r w:rsidR="00AF2BAD">
        <w:rPr>
          <w:rFonts w:cstheme="minorBidi"/>
        </w:rPr>
        <w:t xml:space="preserve">the </w:t>
      </w:r>
      <w:r w:rsidRPr="001276A0">
        <w:rPr>
          <w:rFonts w:cstheme="minorBidi"/>
        </w:rPr>
        <w:t>cross-sections</w:t>
      </w:r>
      <w:r w:rsidRPr="002DF632">
        <w:rPr>
          <w:rFonts w:cstheme="minorBidi"/>
        </w:rPr>
        <w:t xml:space="preserve"> </w:t>
      </w:r>
      <w:r w:rsidR="003F7219" w:rsidRPr="002DF632">
        <w:rPr>
          <w:rFonts w:cstheme="minorBidi"/>
        </w:rPr>
        <w:t>(</w:t>
      </w:r>
      <w:r w:rsidR="001276A0" w:rsidRPr="002DF632">
        <w:rPr>
          <w:rFonts w:cstheme="minorBidi"/>
        </w:rPr>
        <w:fldChar w:fldCharType="begin"/>
      </w:r>
      <w:r w:rsidR="001276A0" w:rsidRPr="002DF632">
        <w:rPr>
          <w:rFonts w:cstheme="minorBidi"/>
        </w:rPr>
        <w:instrText xml:space="preserve"> REF _Ref34248544 \h  \* MERGEFORMAT </w:instrText>
      </w:r>
      <w:r w:rsidR="001276A0" w:rsidRPr="002DF632">
        <w:rPr>
          <w:rFonts w:cstheme="minorBidi"/>
        </w:rPr>
      </w:r>
      <w:r w:rsidR="001276A0" w:rsidRPr="002DF632">
        <w:rPr>
          <w:rFonts w:cstheme="minorBidi"/>
        </w:rPr>
        <w:fldChar w:fldCharType="separate"/>
      </w:r>
      <w:r w:rsidR="00B177F5">
        <w:t xml:space="preserve">Figure </w:t>
      </w:r>
      <w:r w:rsidR="00B177F5">
        <w:rPr>
          <w:noProof/>
        </w:rPr>
        <w:t>44</w:t>
      </w:r>
      <w:r w:rsidR="001276A0" w:rsidRPr="002DF632">
        <w:rPr>
          <w:rFonts w:cstheme="minorBidi"/>
        </w:rPr>
        <w:fldChar w:fldCharType="end"/>
      </w:r>
      <w:r w:rsidR="001276A0" w:rsidRPr="002DF632">
        <w:rPr>
          <w:rFonts w:cstheme="minorBidi"/>
        </w:rPr>
        <w:t xml:space="preserve">, </w:t>
      </w:r>
      <w:r w:rsidR="00DF019A" w:rsidRPr="001276A0">
        <w:fldChar w:fldCharType="begin"/>
      </w:r>
      <w:r w:rsidR="00DF019A" w:rsidRPr="002DF632">
        <w:rPr>
          <w:rFonts w:cstheme="minorBidi"/>
        </w:rPr>
        <w:instrText xml:space="preserve"> REF _Ref531595642 \h </w:instrText>
      </w:r>
      <w:r w:rsidR="000423B0" w:rsidRPr="001276A0">
        <w:instrText xml:space="preserve"> \* MERGEFORMAT </w:instrText>
      </w:r>
      <w:r w:rsidR="00DF019A" w:rsidRPr="001276A0">
        <w:fldChar w:fldCharType="separate"/>
      </w:r>
      <w:r w:rsidR="00B177F5" w:rsidRPr="00001C61">
        <w:t xml:space="preserve">Figure </w:t>
      </w:r>
      <w:r w:rsidR="00B177F5">
        <w:rPr>
          <w:noProof/>
        </w:rPr>
        <w:t>45</w:t>
      </w:r>
      <w:r w:rsidR="00DF019A" w:rsidRPr="001276A0">
        <w:fldChar w:fldCharType="end"/>
      </w:r>
      <w:r w:rsidR="001276A0" w:rsidRPr="002DF632">
        <w:rPr>
          <w:rFonts w:cstheme="minorBidi"/>
        </w:rPr>
        <w:t xml:space="preserve"> </w:t>
      </w:r>
      <w:r w:rsidR="003F7219" w:rsidRPr="002DF632">
        <w:rPr>
          <w:rFonts w:cstheme="minorBidi"/>
        </w:rPr>
        <w:t>and</w:t>
      </w:r>
      <w:r w:rsidR="00DF019A" w:rsidRPr="002DF632">
        <w:rPr>
          <w:rFonts w:cstheme="minorBidi"/>
        </w:rPr>
        <w:t xml:space="preserve"> </w:t>
      </w:r>
      <w:r w:rsidR="00DF019A" w:rsidRPr="001276A0">
        <w:fldChar w:fldCharType="begin"/>
      </w:r>
      <w:r w:rsidR="00DF019A" w:rsidRPr="002DF632">
        <w:rPr>
          <w:rFonts w:cstheme="minorBidi"/>
        </w:rPr>
        <w:instrText xml:space="preserve"> REF _Ref531595653 \h </w:instrText>
      </w:r>
      <w:r w:rsidR="000423B0" w:rsidRPr="001276A0">
        <w:instrText xml:space="preserve"> \* MERGEFORMAT </w:instrText>
      </w:r>
      <w:r w:rsidR="00DF019A" w:rsidRPr="001276A0">
        <w:rPr>
          <w:rFonts w:cstheme="minorBidi"/>
        </w:rPr>
        <w:fldChar w:fldCharType="separate"/>
      </w:r>
      <w:r w:rsidR="00B177F5" w:rsidRPr="00001C61">
        <w:t xml:space="preserve">Figure </w:t>
      </w:r>
      <w:r w:rsidR="00B177F5">
        <w:rPr>
          <w:noProof/>
        </w:rPr>
        <w:t>46</w:t>
      </w:r>
      <w:r w:rsidR="00DF019A" w:rsidRPr="001276A0">
        <w:fldChar w:fldCharType="end"/>
      </w:r>
      <w:r w:rsidR="0002080E">
        <w:t>)</w:t>
      </w:r>
      <w:r w:rsidR="003F7219" w:rsidRPr="002DF632">
        <w:rPr>
          <w:rFonts w:cstheme="minorBidi"/>
        </w:rPr>
        <w:t xml:space="preserve"> </w:t>
      </w:r>
      <w:r w:rsidRPr="3066B7BC">
        <w:rPr>
          <w:rFonts w:cstheme="minorBidi"/>
        </w:rPr>
        <w:t xml:space="preserve">show </w:t>
      </w:r>
      <w:r w:rsidR="00F60B0E">
        <w:rPr>
          <w:rFonts w:cstheme="minorBidi"/>
        </w:rPr>
        <w:t xml:space="preserve">some evidence of extension of </w:t>
      </w:r>
      <w:r w:rsidR="00F60B0E" w:rsidRPr="0A539EBA">
        <w:rPr>
          <w:rFonts w:cstheme="minorBidi"/>
        </w:rPr>
        <w:t>deep-seated</w:t>
      </w:r>
      <w:r w:rsidR="00F60B0E">
        <w:rPr>
          <w:rFonts w:cstheme="minorBidi"/>
        </w:rPr>
        <w:t xml:space="preserve"> faults to the surface with creeks coincident with </w:t>
      </w:r>
      <w:r w:rsidRPr="0A539EBA">
        <w:rPr>
          <w:rFonts w:cstheme="minorBidi"/>
        </w:rPr>
        <w:t xml:space="preserve">the </w:t>
      </w:r>
      <w:r w:rsidR="00F60B0E">
        <w:rPr>
          <w:rFonts w:cstheme="minorBidi"/>
        </w:rPr>
        <w:t xml:space="preserve">surface </w:t>
      </w:r>
      <w:r w:rsidRPr="0A539EBA">
        <w:rPr>
          <w:rFonts w:cstheme="minorBidi"/>
        </w:rPr>
        <w:t>project</w:t>
      </w:r>
      <w:r w:rsidR="0002080E">
        <w:rPr>
          <w:rFonts w:cstheme="minorBidi"/>
        </w:rPr>
        <w:t>ion</w:t>
      </w:r>
      <w:r w:rsidRPr="0A539EBA">
        <w:rPr>
          <w:rFonts w:cstheme="minorBidi"/>
        </w:rPr>
        <w:t xml:space="preserve"> </w:t>
      </w:r>
      <w:r w:rsidR="0002080E">
        <w:rPr>
          <w:rFonts w:cstheme="minorBidi"/>
        </w:rPr>
        <w:t>of</w:t>
      </w:r>
      <w:r w:rsidRPr="0A539EBA">
        <w:rPr>
          <w:rFonts w:cstheme="minorBidi"/>
        </w:rPr>
        <w:t xml:space="preserve"> </w:t>
      </w:r>
      <w:r w:rsidR="00F60B0E">
        <w:rPr>
          <w:rFonts w:cstheme="minorBidi"/>
        </w:rPr>
        <w:t xml:space="preserve">these </w:t>
      </w:r>
      <w:r w:rsidRPr="0A539EBA">
        <w:rPr>
          <w:rFonts w:cstheme="minorBidi"/>
        </w:rPr>
        <w:t>faults</w:t>
      </w:r>
      <w:r w:rsidR="00F60B0E">
        <w:rPr>
          <w:rFonts w:cstheme="minorBidi"/>
        </w:rPr>
        <w:t xml:space="preserve"> along with the occurrence of </w:t>
      </w:r>
      <w:r w:rsidR="00F60B0E" w:rsidRPr="001276A0">
        <w:rPr>
          <w:rFonts w:cstheme="minorBidi"/>
        </w:rPr>
        <w:t xml:space="preserve">dissolved gas </w:t>
      </w:r>
      <w:r w:rsidR="00F60B0E" w:rsidRPr="002DF632">
        <w:rPr>
          <w:rFonts w:cstheme="minorBidi"/>
        </w:rPr>
        <w:t>(</w:t>
      </w:r>
      <w:r w:rsidR="00F60B0E" w:rsidRPr="002DF632">
        <w:rPr>
          <w:rFonts w:cstheme="minorBidi"/>
        </w:rPr>
        <w:fldChar w:fldCharType="begin"/>
      </w:r>
      <w:r w:rsidR="00F60B0E" w:rsidRPr="002DF632">
        <w:rPr>
          <w:rFonts w:cstheme="minorBidi"/>
        </w:rPr>
        <w:instrText xml:space="preserve"> REF _Ref34027448 \h  \* MERGEFORMAT </w:instrText>
      </w:r>
      <w:r w:rsidR="00F60B0E" w:rsidRPr="002DF632">
        <w:rPr>
          <w:rFonts w:cstheme="minorBidi"/>
        </w:rPr>
      </w:r>
      <w:r w:rsidR="00F60B0E" w:rsidRPr="002DF632">
        <w:rPr>
          <w:rFonts w:cstheme="minorBidi"/>
        </w:rPr>
        <w:fldChar w:fldCharType="separate"/>
      </w:r>
      <w:r w:rsidR="00B177F5">
        <w:t xml:space="preserve">Figure </w:t>
      </w:r>
      <w:r w:rsidR="00B177F5">
        <w:rPr>
          <w:rFonts w:asciiTheme="minorHAnsi" w:hAnsiTheme="minorHAnsi" w:cstheme="minorBidi"/>
          <w:noProof/>
        </w:rPr>
        <w:t>31</w:t>
      </w:r>
      <w:r w:rsidR="00F60B0E" w:rsidRPr="002DF632">
        <w:rPr>
          <w:rFonts w:cstheme="minorBidi"/>
        </w:rPr>
        <w:fldChar w:fldCharType="end"/>
      </w:r>
      <w:r w:rsidR="00F60B0E" w:rsidRPr="002DF632">
        <w:rPr>
          <w:rFonts w:cstheme="minorBidi"/>
        </w:rPr>
        <w:t xml:space="preserve">) </w:t>
      </w:r>
      <w:r w:rsidR="00F60B0E" w:rsidRPr="001276A0">
        <w:rPr>
          <w:rFonts w:cstheme="minorBidi"/>
        </w:rPr>
        <w:t xml:space="preserve">in shallow groundwater </w:t>
      </w:r>
      <w:r w:rsidR="00F60B0E">
        <w:rPr>
          <w:rFonts w:cstheme="minorBidi"/>
        </w:rPr>
        <w:t>in their vicinity</w:t>
      </w:r>
      <w:r w:rsidR="0002080E">
        <w:rPr>
          <w:rFonts w:cstheme="minorBidi"/>
        </w:rPr>
        <w:t xml:space="preserve"> (see pathway 2 for further discussion of faults)</w:t>
      </w:r>
      <w:r w:rsidRPr="0A539EBA">
        <w:rPr>
          <w:rFonts w:cstheme="minorBidi"/>
        </w:rPr>
        <w:t>.</w:t>
      </w:r>
    </w:p>
    <w:p w14:paraId="147284C3" w14:textId="31A349F5" w:rsidR="003F7219" w:rsidRPr="00D97D44" w:rsidRDefault="0A539EBA" w:rsidP="0A539EBA">
      <w:pPr>
        <w:pStyle w:val="BodyText"/>
        <w:rPr>
          <w:highlight w:val="lightGray"/>
        </w:rPr>
      </w:pPr>
      <w:r>
        <w:t>The</w:t>
      </w:r>
      <w:r w:rsidR="00647A81">
        <w:t xml:space="preserve"> Antrim Plateau Volcanics </w:t>
      </w:r>
      <w:r>
        <w:t xml:space="preserve">is classified (Section </w:t>
      </w:r>
      <w:r>
        <w:fldChar w:fldCharType="begin"/>
      </w:r>
      <w:r>
        <w:instrText xml:space="preserve"> REF _Ref5783549 \r \h  \* MERGEFORMAT </w:instrText>
      </w:r>
      <w:r>
        <w:fldChar w:fldCharType="separate"/>
      </w:r>
      <w:r w:rsidR="00B177F5">
        <w:t>3.2.3.1</w:t>
      </w:r>
      <w:r>
        <w:fldChar w:fldCharType="end"/>
      </w:r>
      <w:r>
        <w:t xml:space="preserve">) </w:t>
      </w:r>
      <w:r w:rsidR="009B0DCD">
        <w:t xml:space="preserve">as a thick regional-scale </w:t>
      </w:r>
      <w:r>
        <w:t>aquitard. However, as shown in</w:t>
      </w:r>
      <w:r w:rsidR="00647A81">
        <w:t xml:space="preserve"> </w:t>
      </w:r>
      <w:r>
        <w:fldChar w:fldCharType="begin"/>
      </w:r>
      <w:r>
        <w:instrText xml:space="preserve"> REF _Ref795947 \h </w:instrText>
      </w:r>
      <w:r>
        <w:fldChar w:fldCharType="separate"/>
      </w:r>
      <w:r w:rsidR="00B177F5">
        <w:t xml:space="preserve">Figure </w:t>
      </w:r>
      <w:r w:rsidR="00B177F5">
        <w:rPr>
          <w:noProof/>
        </w:rPr>
        <w:t>6</w:t>
      </w:r>
      <w:r>
        <w:fldChar w:fldCharType="end"/>
      </w:r>
      <w:r>
        <w:t xml:space="preserve">, </w:t>
      </w:r>
      <w:r w:rsidR="000E743C">
        <w:t xml:space="preserve">the unit is absent </w:t>
      </w:r>
      <w:r w:rsidR="00AD1B04">
        <w:t xml:space="preserve">from </w:t>
      </w:r>
      <w:r w:rsidR="000E743C">
        <w:t xml:space="preserve">the southern </w:t>
      </w:r>
      <w:r w:rsidR="00AD1B04">
        <w:t>and eastern parts</w:t>
      </w:r>
      <w:r w:rsidR="000E743C">
        <w:t xml:space="preserve"> of the Beetaloo GBA region and </w:t>
      </w:r>
      <w:r w:rsidR="00AD1B04">
        <w:t xml:space="preserve">while the Hayfield mudstone is present </w:t>
      </w:r>
      <w:r w:rsidR="000954E1">
        <w:t xml:space="preserve">in these areas, it thins considerably towards </w:t>
      </w:r>
      <w:r w:rsidR="000E743C">
        <w:t>the</w:t>
      </w:r>
      <w:r w:rsidR="000954E1">
        <w:t xml:space="preserve"> southern and</w:t>
      </w:r>
      <w:r w:rsidR="000E743C">
        <w:t xml:space="preserve"> eastern tip</w:t>
      </w:r>
      <w:r w:rsidR="000954E1">
        <w:t>s</w:t>
      </w:r>
      <w:r w:rsidR="000E743C">
        <w:t xml:space="preserve"> of the eastern part of the sub-basin. Again, </w:t>
      </w:r>
      <w:r w:rsidR="000954E1">
        <w:t xml:space="preserve">in these locations, </w:t>
      </w:r>
      <w:r w:rsidR="000E743C">
        <w:t>leakage through an aquitard could be possible mechanism that allows vertical connectivity.</w:t>
      </w:r>
      <w:r>
        <w:t xml:space="preserve"> </w:t>
      </w:r>
    </w:p>
    <w:p w14:paraId="7BC57EEB" w14:textId="23F31375" w:rsidR="003F7219" w:rsidRDefault="000E743C" w:rsidP="000423B0">
      <w:pPr>
        <w:pStyle w:val="BodyText"/>
      </w:pPr>
      <w:r>
        <w:t>The Cox Formation, another leaky aquitard, should be considered a potential connectivity barrier where present. However, knowledge of this unit in the Beetaloo GBA region is sparse and it has not been differentiated in the three-dimensional geological model used for the development of conceptual models in this assessment.</w:t>
      </w:r>
    </w:p>
    <w:p w14:paraId="62A30058" w14:textId="67079398" w:rsidR="003F7219" w:rsidRPr="00FB59D2" w:rsidRDefault="003F7219" w:rsidP="00ED6A8F">
      <w:pPr>
        <w:pStyle w:val="Heading4"/>
        <w:numPr>
          <w:ilvl w:val="0"/>
          <w:numId w:val="0"/>
        </w:numPr>
        <w:ind w:left="1134" w:hanging="1134"/>
      </w:pPr>
      <w:r w:rsidRPr="00FB59D2">
        <w:rPr>
          <w:rFonts w:hint="eastAsia"/>
        </w:rPr>
        <w:t>⑤</w:t>
      </w:r>
      <w:r w:rsidR="00ED6A8F">
        <w:t xml:space="preserve"> </w:t>
      </w:r>
      <w:r w:rsidRPr="00FB59D2">
        <w:t xml:space="preserve">Potential connection </w:t>
      </w:r>
      <w:r w:rsidR="009D0B34">
        <w:t>via groundwater discharge from CLA aquifer to</w:t>
      </w:r>
      <w:r w:rsidRPr="00FB59D2">
        <w:t xml:space="preserve"> springs</w:t>
      </w:r>
    </w:p>
    <w:p w14:paraId="77A79EF8" w14:textId="064A695A" w:rsidR="003F7219" w:rsidRDefault="187A5B4A" w:rsidP="000423B0">
      <w:pPr>
        <w:pStyle w:val="BodyText"/>
      </w:pPr>
      <w:r>
        <w:t>As pr</w:t>
      </w:r>
      <w:r w:rsidR="00BD5570">
        <w:t xml:space="preserve">eviously described in Section </w:t>
      </w:r>
      <w:r>
        <w:fldChar w:fldCharType="begin"/>
      </w:r>
      <w:r>
        <w:instrText xml:space="preserve"> REF _Ref5787823 \r \h </w:instrText>
      </w:r>
      <w:r>
        <w:fldChar w:fldCharType="separate"/>
      </w:r>
      <w:r w:rsidR="00B177F5">
        <w:t>3.3.3.2</w:t>
      </w:r>
      <w:r>
        <w:fldChar w:fldCharType="end"/>
      </w:r>
      <w:r>
        <w:t>, groundwater flow divides segregate the CLA into at least two major groundwater flow systems (</w:t>
      </w:r>
      <w:r>
        <w:fldChar w:fldCharType="begin"/>
      </w:r>
      <w:r>
        <w:instrText xml:space="preserve"> REF _Ref1137606 \h  \* MERGEFORMAT </w:instrText>
      </w:r>
      <w:r>
        <w:fldChar w:fldCharType="separate"/>
      </w:r>
      <w:r w:rsidR="00B177F5">
        <w:t xml:space="preserve">Figure </w:t>
      </w:r>
      <w:r w:rsidR="00B177F5">
        <w:rPr>
          <w:noProof/>
        </w:rPr>
        <w:t>16</w:t>
      </w:r>
      <w:r>
        <w:fldChar w:fldCharType="end"/>
      </w:r>
      <w:r>
        <w:t xml:space="preserve">). </w:t>
      </w:r>
      <w:r w:rsidR="0002080E" w:rsidRPr="0002080E">
        <w:t>One of these systmes, the Georgina-Daly system has a northerly regional flow component out of the Beetaloo GBA region towards the Mataranka Thermal Pools and the Roper River.</w:t>
      </w:r>
      <w:r w:rsidR="000E743C">
        <w:t xml:space="preserve"> As suggested by</w:t>
      </w:r>
      <w:r>
        <w:t xml:space="preserve"> </w:t>
      </w:r>
      <w:r>
        <w:fldChar w:fldCharType="begin"/>
      </w:r>
      <w:r w:rsidR="00F76E0D">
        <w:instrText xml:space="preserve"> ADDIN EN.CITE &lt;EndNote&gt;&lt;Cite AuthorYear="1"&gt;&lt;Author&gt;Tickell&lt;/Author&gt;&lt;Year&gt;2017&lt;/Year&gt;&lt;RecNum&gt;695&lt;/RecNum&gt;&lt;DisplayText&gt;Tickell and Bruwer (2017)&lt;/DisplayText&gt;&lt;record&gt;&lt;rec-number&gt;695&lt;/rec-number&gt;&lt;foreign-keys&gt;&lt;key app="EN" db-id="wdf9tzzdhw2saee559kv0vezt0wfsta0zedv" timestamp="1545264525"&gt;695&lt;/key&gt;&lt;key app="ENWeb" db-id=""&gt;0&lt;/key&gt;&lt;/foreign-keys&gt;&lt;ref-type name="Report"&gt;27&lt;/ref-type&gt;&lt;contributors&gt;&lt;authors&gt;&lt;author&gt;Tickell, Stephen. J.&lt;/author&gt;&lt;author&gt;Bruwer, Quentin&lt;/author&gt;&lt;/authors&gt;&lt;tertiary-authors&gt;&lt;author&gt;Northern Territory Department of Environment and Natural Resources&lt;/author&gt;&lt;/tertiary-authors&gt;&lt;subsidiary-authors&gt;&lt;author&gt;Water Resources Division&lt;/author&gt;&lt;/subsidiary-authors&gt;&lt;/contributors&gt;&lt;titles&gt;&lt;title&gt;Georgina Basin Groundwater Assessment: Daly Waters to Tennant Creek&lt;/title&gt;&lt;/titles&gt;&lt;pages&gt;108&lt;/pages&gt;&lt;number&gt;Technical Report 17/2017&lt;/number&gt;&lt;dates&gt;&lt;year&gt;2017&lt;/year&gt;&lt;/dates&gt;&lt;publisher&gt;Northern Territory Department of Environment and Natural Resources&lt;/publisher&gt;&lt;isbn&gt;Technical Report 17/2017&lt;/isbn&gt;&lt;urls&gt;&lt;related-urls&gt;&lt;url&gt;&lt;style face="underline" font="default" size="100%"&gt;http://www.territorystories.nt.gov.au/jspui/handle/10070/304921&lt;/style&gt;&lt;/url&gt;&lt;/related-urls&gt;&lt;/urls&gt;&lt;access-date&gt;20 April 2020&lt;/access-date&gt;&lt;/record&gt;&lt;/Cite&gt;&lt;/EndNote&gt;</w:instrText>
      </w:r>
      <w:r>
        <w:fldChar w:fldCharType="separate"/>
      </w:r>
      <w:r w:rsidRPr="002DF632">
        <w:rPr>
          <w:noProof/>
        </w:rPr>
        <w:t>Tickell and Bruwer (2017)</w:t>
      </w:r>
      <w:r>
        <w:fldChar w:fldCharType="end"/>
      </w:r>
      <w:r>
        <w:t xml:space="preserve">, </w:t>
      </w:r>
      <w:r w:rsidR="0002080E" w:rsidRPr="0002080E">
        <w:t>more localised flowpaths in the Daly Basin are also expected to discharge to the Mataranka Thermal Pools on the Roper River</w:t>
      </w:r>
      <w:r w:rsidR="0002080E">
        <w:t>.</w:t>
      </w:r>
      <w:r w:rsidR="000E743C">
        <w:t xml:space="preserve"> </w:t>
      </w:r>
      <w:r w:rsidR="002A110E" w:rsidRPr="002A110E">
        <w:rPr>
          <w:rFonts w:cs="Calibri"/>
        </w:rPr>
        <w:t>A possible connectivity pathway is groundwater flow through the CLA and northwards out of the Beetaloo GBA region towards the springs. Whether impacts can actually propagate that far will be determined as part of Stage 3. The relative contributions from different flowpaths (local versus regional) to the springs is likely to lessen the degree of any potential impact.</w:t>
      </w:r>
    </w:p>
    <w:p w14:paraId="5C7D378F" w14:textId="64FD86D2" w:rsidR="36D3D47E" w:rsidRDefault="000E743C" w:rsidP="002DF632">
      <w:pPr>
        <w:pStyle w:val="BodyText"/>
      </w:pPr>
      <w:r>
        <w:t xml:space="preserve">The carbonate-dominant CLA has a diverse range </w:t>
      </w:r>
      <w:r w:rsidR="000954E1">
        <w:t xml:space="preserve">of </w:t>
      </w:r>
      <w:r>
        <w:t xml:space="preserve">permeability, which is difficult to characterise spatially. Some karst systems appear to be influenced by structure but remain localised and are not regionally interconnected (see Section </w:t>
      </w:r>
      <w:r>
        <w:fldChar w:fldCharType="begin"/>
      </w:r>
      <w:r>
        <w:instrText xml:space="preserve"> REF _Ref33450601 \r \h </w:instrText>
      </w:r>
      <w:r>
        <w:fldChar w:fldCharType="separate"/>
      </w:r>
      <w:r w:rsidR="00B177F5">
        <w:t>3.3.3.2.5</w:t>
      </w:r>
      <w:r>
        <w:fldChar w:fldCharType="end"/>
      </w:r>
      <w:r>
        <w:t xml:space="preserve">). Over parts of the Beetaloo GBA region, the Carpentaria Basin is significantly eroded and only the permeable sandstone of basal ‘Unit A’ lies at or near ground level enabling localised recharge into the underlying CLA through dolines (see Section </w:t>
      </w:r>
      <w:r>
        <w:fldChar w:fldCharType="begin"/>
      </w:r>
      <w:r>
        <w:instrText xml:space="preserve"> REF _Ref944981 \r \h </w:instrText>
      </w:r>
      <w:r>
        <w:fldChar w:fldCharType="separate"/>
      </w:r>
      <w:r w:rsidR="00B177F5">
        <w:t>3.3.4</w:t>
      </w:r>
      <w:r>
        <w:fldChar w:fldCharType="end"/>
      </w:r>
      <w:r>
        <w:t>). The degree of vertical karst connectivity as well as thickness of the overlying Carpentaria Basin, will influence degree of connectivity from surface to the CLA. This will influence the potnetial for near surface impacts (e.g. spills) to reach the CLA</w:t>
      </w:r>
      <w:r w:rsidR="00C978AA">
        <w:t>.</w:t>
      </w:r>
      <w:r w:rsidR="00F60B0E" w:rsidRPr="00F60B0E">
        <w:t xml:space="preserve"> </w:t>
      </w:r>
      <w:r w:rsidR="00F60B0E" w:rsidRPr="000954E1">
        <w:t>Where cover is</w:t>
      </w:r>
      <w:r w:rsidR="00F60B0E">
        <w:t xml:space="preserve"> </w:t>
      </w:r>
      <w:r w:rsidR="00F60B0E" w:rsidRPr="000954E1">
        <w:t>thin and compromised by sinkholes, there is</w:t>
      </w:r>
      <w:r w:rsidR="00F60B0E">
        <w:t xml:space="preserve"> greater</w:t>
      </w:r>
      <w:r w:rsidR="00F60B0E" w:rsidRPr="000954E1">
        <w:t xml:space="preserve"> potential for spills to reach an aquifer when compared to areas where the cover is thi</w:t>
      </w:r>
      <w:r w:rsidR="00F60B0E">
        <w:t>ck.</w:t>
      </w:r>
    </w:p>
    <w:p w14:paraId="5B40C958" w14:textId="6A304843" w:rsidR="000E743C" w:rsidRDefault="000E743C" w:rsidP="00C761B1">
      <w:pPr>
        <w:pStyle w:val="Heading3"/>
        <w:numPr>
          <w:ilvl w:val="1"/>
          <w:numId w:val="11"/>
        </w:numPr>
      </w:pPr>
      <w:bookmarkStart w:id="975" w:name="_Toc38990447"/>
      <w:bookmarkStart w:id="976" w:name="_Ref34912590"/>
      <w:bookmarkStart w:id="977" w:name="_Ref14772258"/>
      <w:bookmarkStart w:id="978" w:name="_Toc529877939"/>
      <w:bookmarkStart w:id="979" w:name="_Toc531700531"/>
      <w:bookmarkStart w:id="980" w:name="_Toc531769212"/>
      <w:bookmarkStart w:id="981" w:name="_Toc531943332"/>
      <w:bookmarkStart w:id="982" w:name="_Toc531950336"/>
      <w:bookmarkStart w:id="983" w:name="_Toc531954487"/>
      <w:bookmarkStart w:id="984" w:name="_Toc531955246"/>
      <w:bookmarkStart w:id="985" w:name="_Toc531955979"/>
      <w:bookmarkStart w:id="986" w:name="_Toc531961666"/>
      <w:bookmarkStart w:id="987" w:name="_Toc531965143"/>
      <w:bookmarkStart w:id="988" w:name="_Toc532208281"/>
      <w:bookmarkStart w:id="989" w:name="_Toc532216019"/>
      <w:bookmarkStart w:id="990" w:name="_Toc532378393"/>
      <w:bookmarkStart w:id="991" w:name="_Toc532459836"/>
      <w:bookmarkStart w:id="992" w:name="_Toc532472318"/>
      <w:bookmarkStart w:id="993" w:name="_Toc532474346"/>
      <w:bookmarkStart w:id="994" w:name="_Toc532475130"/>
      <w:bookmarkStart w:id="995" w:name="_Toc532476674"/>
      <w:bookmarkStart w:id="996" w:name="_Toc532479509"/>
      <w:bookmarkStart w:id="997" w:name="_Toc532482539"/>
      <w:bookmarkStart w:id="998" w:name="_Toc532487083"/>
      <w:bookmarkStart w:id="999" w:name="_Toc532487222"/>
      <w:bookmarkStart w:id="1000" w:name="_Toc532484482"/>
      <w:bookmarkStart w:id="1001" w:name="_Toc532489127"/>
      <w:bookmarkStart w:id="1002" w:name="_Toc532551941"/>
      <w:bookmarkStart w:id="1003" w:name="_Toc532553237"/>
      <w:bookmarkStart w:id="1004" w:name="_Toc532553424"/>
      <w:bookmarkStart w:id="1005" w:name="_Toc532561371"/>
      <w:bookmarkStart w:id="1006" w:name="_Toc532807004"/>
      <w:bookmarkStart w:id="1007" w:name="_Toc532809812"/>
      <w:bookmarkStart w:id="1008" w:name="_Toc532816376"/>
      <w:bookmarkStart w:id="1009" w:name="_Toc532816529"/>
      <w:bookmarkStart w:id="1010" w:name="_Toc1563447"/>
      <w:bookmarkStart w:id="1011" w:name="_Toc2008011"/>
      <w:bookmarkStart w:id="1012" w:name="_Toc6222357"/>
      <w:bookmarkStart w:id="1013" w:name="_Toc6497404"/>
      <w:bookmarkStart w:id="1014" w:name="_Toc7613370"/>
      <w:bookmarkStart w:id="1015" w:name="_Toc7696783"/>
      <w:bookmarkStart w:id="1016" w:name="_Toc7783904"/>
      <w:bookmarkStart w:id="1017" w:name="_Toc7799320"/>
      <w:bookmarkStart w:id="1018" w:name="_Toc7810408"/>
      <w:r>
        <w:t>Summary and future work</w:t>
      </w:r>
      <w:bookmarkEnd w:id="975"/>
    </w:p>
    <w:p w14:paraId="045B24DD" w14:textId="474BAF69" w:rsidR="000E743C" w:rsidRPr="00466FE4" w:rsidRDefault="000E743C" w:rsidP="000E743C">
      <w:pPr>
        <w:pStyle w:val="BodyText"/>
        <w:rPr>
          <w:rFonts w:cstheme="minorBidi"/>
          <w:lang w:val="en-US"/>
        </w:rPr>
      </w:pPr>
      <w:bookmarkStart w:id="1019" w:name="_Hlk37851320"/>
      <w:r w:rsidRPr="4A0FE93E">
        <w:rPr>
          <w:rFonts w:cstheme="minorBidi"/>
        </w:rPr>
        <w:t xml:space="preserve">The potential connectivity pathways described above are unlikely to occur simultaneously and are also unlikely to create conditions that link the stressors to environmental assets in a human timescale. </w:t>
      </w:r>
      <w:bookmarkEnd w:id="1019"/>
      <w:r w:rsidRPr="4A0FE93E">
        <w:rPr>
          <w:rFonts w:cstheme="minorBidi"/>
        </w:rPr>
        <w:t xml:space="preserve">Nevertheless, considering </w:t>
      </w:r>
      <w:r w:rsidR="00817FD1">
        <w:rPr>
          <w:rFonts w:cstheme="minorBidi"/>
        </w:rPr>
        <w:t xml:space="preserve">the </w:t>
      </w:r>
      <w:r w:rsidRPr="4A0FE93E">
        <w:rPr>
          <w:rFonts w:cstheme="minorBidi"/>
        </w:rPr>
        <w:t xml:space="preserve">existing knowledge gaps, it is important to take a precautionary approach when assessing such processes and consider the possibility that fluid migration from one compartment of the basin to another may occur at different timescales, eventually </w:t>
      </w:r>
      <w:r>
        <w:rPr>
          <w:rFonts w:cstheme="minorBidi"/>
        </w:rPr>
        <w:t>impacting</w:t>
      </w:r>
      <w:r w:rsidRPr="4A0FE93E">
        <w:rPr>
          <w:rFonts w:cstheme="minorBidi"/>
        </w:rPr>
        <w:t xml:space="preserve"> assets. This will be further assessed during Stage 3, </w:t>
      </w:r>
      <w:r>
        <w:rPr>
          <w:rFonts w:cstheme="minorBidi"/>
        </w:rPr>
        <w:t xml:space="preserve">in </w:t>
      </w:r>
      <w:r w:rsidRPr="4A0FE93E">
        <w:rPr>
          <w:rFonts w:cstheme="minorBidi"/>
        </w:rPr>
        <w:t>which potential impacts of this identified pathway</w:t>
      </w:r>
      <w:r>
        <w:rPr>
          <w:rFonts w:cstheme="minorBidi"/>
        </w:rPr>
        <w:t xml:space="preserve"> can be determined</w:t>
      </w:r>
      <w:r w:rsidRPr="4A0FE93E">
        <w:rPr>
          <w:rFonts w:cstheme="minorBidi"/>
        </w:rPr>
        <w:t>.</w:t>
      </w:r>
    </w:p>
    <w:p w14:paraId="37A1D654" w14:textId="64E0D488" w:rsidR="000E743C" w:rsidRPr="000423B0" w:rsidRDefault="000E743C" w:rsidP="000E743C">
      <w:pPr>
        <w:pStyle w:val="BodyText"/>
        <w:rPr>
          <w:lang w:val="en-US"/>
        </w:rPr>
      </w:pPr>
      <w:r w:rsidRPr="00466FE4">
        <w:t xml:space="preserve">From the analysis of existing datasets and an integrated assessment of the structural geology and hydrogeological characterisation of the </w:t>
      </w:r>
      <w:r>
        <w:t xml:space="preserve">extended </w:t>
      </w:r>
      <w:r w:rsidRPr="00466FE4">
        <w:t>Beetaloo GBA region, a set of knowledge and data gaps were identified. Further investigations required to test potential impact pathways from stressors to the assets</w:t>
      </w:r>
      <w:r>
        <w:t xml:space="preserve"> are</w:t>
      </w:r>
      <w:r w:rsidRPr="00466FE4">
        <w:t xml:space="preserve"> summarised in</w:t>
      </w:r>
      <w:r>
        <w:t xml:space="preserve"> </w:t>
      </w:r>
      <w:r>
        <w:fldChar w:fldCharType="begin"/>
      </w:r>
      <w:r>
        <w:instrText xml:space="preserve"> REF _Ref36039581 \h </w:instrText>
      </w:r>
      <w:r>
        <w:fldChar w:fldCharType="separate"/>
      </w:r>
      <w:r w:rsidR="00B177F5">
        <w:t xml:space="preserve">Table </w:t>
      </w:r>
      <w:r w:rsidR="00B177F5">
        <w:rPr>
          <w:noProof/>
        </w:rPr>
        <w:t>8</w:t>
      </w:r>
      <w:r>
        <w:fldChar w:fldCharType="end"/>
      </w:r>
      <w:r w:rsidRPr="00466FE4">
        <w:t>.</w:t>
      </w:r>
    </w:p>
    <w:p w14:paraId="5C240376" w14:textId="77777777" w:rsidR="000E743C" w:rsidRDefault="000E743C" w:rsidP="000E743C">
      <w:pPr>
        <w:pStyle w:val="BodyText"/>
        <w:sectPr w:rsidR="000E743C" w:rsidSect="000E743C">
          <w:headerReference w:type="default" r:id="rId113"/>
          <w:footerReference w:type="default" r:id="rId114"/>
          <w:pgSz w:w="11906" w:h="16838" w:code="9"/>
          <w:pgMar w:top="1247" w:right="1134" w:bottom="1134" w:left="1134" w:header="510" w:footer="624" w:gutter="0"/>
          <w:cols w:space="284"/>
          <w:docGrid w:linePitch="360"/>
        </w:sectPr>
      </w:pPr>
      <w:r w:rsidRPr="3066B7BC">
        <w:rPr>
          <w:rFonts w:cstheme="minorBidi"/>
        </w:rPr>
        <w:t>While a number of separate possible flow paths are described, combinations of these flow paths could result in a diffuse connectivity network across hydrogeological sequences. The potential for cumulative impact along multiple</w:t>
      </w:r>
      <w:r>
        <w:t xml:space="preserve"> flowpaths will be further assessed in Stage 3 of the Beetaloo GBA.</w:t>
      </w:r>
    </w:p>
    <w:p w14:paraId="1EE54B53" w14:textId="78400B5C" w:rsidR="003F7219" w:rsidRPr="00001C61" w:rsidRDefault="187A5B4A" w:rsidP="003F7219">
      <w:pPr>
        <w:pStyle w:val="Caption"/>
      </w:pPr>
      <w:bookmarkStart w:id="1020" w:name="_Ref36039581"/>
      <w:bookmarkStart w:id="1021" w:name="_Toc38990508"/>
      <w:r>
        <w:t xml:space="preserve">Table </w:t>
      </w:r>
      <w:r w:rsidR="44762869">
        <w:fldChar w:fldCharType="begin"/>
      </w:r>
      <w:r w:rsidR="44762869">
        <w:instrText>SEQ Table \* ARABIC</w:instrText>
      </w:r>
      <w:r w:rsidR="44762869">
        <w:fldChar w:fldCharType="separate"/>
      </w:r>
      <w:r w:rsidR="00B177F5">
        <w:rPr>
          <w:noProof/>
        </w:rPr>
        <w:t>8</w:t>
      </w:r>
      <w:r w:rsidR="44762869">
        <w:fldChar w:fldCharType="end"/>
      </w:r>
      <w:bookmarkEnd w:id="976"/>
      <w:bookmarkEnd w:id="1020"/>
      <w:r>
        <w:t xml:space="preserve"> Summary of potential hydrological connections, potential impacts on water and the environment, evidence base, questions and recommended investigations in the extended Beetaloo GBA region</w:t>
      </w:r>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21"/>
    </w:p>
    <w:tbl>
      <w:tblPr>
        <w:tblStyle w:val="TableBAHeaderRow"/>
        <w:tblW w:w="4978" w:type="pct"/>
        <w:tblInd w:w="0" w:type="dxa"/>
        <w:tblLook w:val="04A0" w:firstRow="1" w:lastRow="0" w:firstColumn="1" w:lastColumn="0" w:noHBand="0" w:noVBand="1"/>
      </w:tblPr>
      <w:tblGrid>
        <w:gridCol w:w="3631"/>
        <w:gridCol w:w="2377"/>
        <w:gridCol w:w="4604"/>
        <w:gridCol w:w="4805"/>
        <w:gridCol w:w="5919"/>
      </w:tblGrid>
      <w:tr w:rsidR="003F7219" w:rsidRPr="00B82D7D" w14:paraId="17B4CE5B" w14:textId="77777777" w:rsidTr="187A5B4A">
        <w:trPr>
          <w:cnfStyle w:val="100000000000" w:firstRow="1" w:lastRow="0" w:firstColumn="0" w:lastColumn="0" w:oddVBand="0" w:evenVBand="0" w:oddHBand="0" w:evenHBand="0" w:firstRowFirstColumn="0" w:firstRowLastColumn="0" w:lastRowFirstColumn="0" w:lastRowLastColumn="0"/>
          <w:trHeight w:val="600"/>
          <w:tblHeader/>
        </w:trPr>
        <w:tc>
          <w:tcPr>
            <w:tcW w:w="851" w:type="pct"/>
            <w:hideMark/>
          </w:tcPr>
          <w:p w14:paraId="5D876998" w14:textId="77777777" w:rsidR="003F7219" w:rsidRPr="00BC097C" w:rsidRDefault="003F7219" w:rsidP="00A823F8">
            <w:pPr>
              <w:pStyle w:val="TableText"/>
              <w:rPr>
                <w:rFonts w:cstheme="minorHAnsi"/>
              </w:rPr>
            </w:pPr>
            <w:r w:rsidRPr="00BC097C">
              <w:rPr>
                <w:rFonts w:cstheme="minorHAnsi"/>
              </w:rPr>
              <w:t>Potential hydrological connections</w:t>
            </w:r>
          </w:p>
        </w:tc>
        <w:tc>
          <w:tcPr>
            <w:tcW w:w="557" w:type="pct"/>
            <w:hideMark/>
          </w:tcPr>
          <w:p w14:paraId="2EEAE022" w14:textId="77777777" w:rsidR="003F7219" w:rsidRPr="00D97D44" w:rsidRDefault="003F7219" w:rsidP="00A823F8">
            <w:pPr>
              <w:pStyle w:val="TableText"/>
              <w:rPr>
                <w:rFonts w:cstheme="minorHAnsi"/>
              </w:rPr>
            </w:pPr>
            <w:r w:rsidRPr="00D97D44">
              <w:rPr>
                <w:rFonts w:cstheme="minorHAnsi"/>
              </w:rPr>
              <w:t>Potential impacts on water and the environment</w:t>
            </w:r>
          </w:p>
        </w:tc>
        <w:tc>
          <w:tcPr>
            <w:tcW w:w="1079" w:type="pct"/>
            <w:hideMark/>
          </w:tcPr>
          <w:p w14:paraId="03A5521F" w14:textId="77777777" w:rsidR="003F7219" w:rsidRPr="00D97D44" w:rsidRDefault="003F7219" w:rsidP="00A823F8">
            <w:pPr>
              <w:pStyle w:val="TableText"/>
              <w:rPr>
                <w:rFonts w:cstheme="minorHAnsi"/>
              </w:rPr>
            </w:pPr>
            <w:r w:rsidRPr="00D97D44">
              <w:rPr>
                <w:rFonts w:cstheme="minorHAnsi"/>
              </w:rPr>
              <w:t>Evidence base</w:t>
            </w:r>
          </w:p>
        </w:tc>
        <w:tc>
          <w:tcPr>
            <w:tcW w:w="1126" w:type="pct"/>
            <w:hideMark/>
          </w:tcPr>
          <w:p w14:paraId="784C1399" w14:textId="77777777" w:rsidR="003F7219" w:rsidRPr="00D97D44" w:rsidRDefault="003F7219" w:rsidP="00A823F8">
            <w:pPr>
              <w:pStyle w:val="TableText"/>
              <w:rPr>
                <w:rFonts w:cstheme="minorHAnsi"/>
              </w:rPr>
            </w:pPr>
            <w:r w:rsidRPr="00D97D44">
              <w:rPr>
                <w:rFonts w:cstheme="minorHAnsi"/>
              </w:rPr>
              <w:t>Questions</w:t>
            </w:r>
          </w:p>
        </w:tc>
        <w:tc>
          <w:tcPr>
            <w:tcW w:w="1387" w:type="pct"/>
            <w:hideMark/>
          </w:tcPr>
          <w:p w14:paraId="1998D875" w14:textId="77777777" w:rsidR="003F7219" w:rsidRPr="00D97D44" w:rsidRDefault="003F7219" w:rsidP="00A823F8">
            <w:pPr>
              <w:pStyle w:val="TableText"/>
              <w:rPr>
                <w:rFonts w:cstheme="minorHAnsi"/>
              </w:rPr>
            </w:pPr>
            <w:r w:rsidRPr="00D97D44">
              <w:rPr>
                <w:rFonts w:cstheme="minorHAnsi"/>
              </w:rPr>
              <w:t>Recommended investigations</w:t>
            </w:r>
          </w:p>
        </w:tc>
      </w:tr>
      <w:tr w:rsidR="003F7219" w:rsidRPr="00B82D7D" w14:paraId="231E685D" w14:textId="77777777" w:rsidTr="187A5B4A">
        <w:trPr>
          <w:cnfStyle w:val="000000100000" w:firstRow="0" w:lastRow="0" w:firstColumn="0" w:lastColumn="0" w:oddVBand="0" w:evenVBand="0" w:oddHBand="1" w:evenHBand="0" w:firstRowFirstColumn="0" w:firstRowLastColumn="0" w:lastRowFirstColumn="0" w:lastRowLastColumn="0"/>
          <w:trHeight w:val="1800"/>
        </w:trPr>
        <w:tc>
          <w:tcPr>
            <w:tcW w:w="851" w:type="pct"/>
            <w:hideMark/>
          </w:tcPr>
          <w:p w14:paraId="57A6DD31" w14:textId="77777777" w:rsidR="004A455A" w:rsidRDefault="004A455A" w:rsidP="004A455A">
            <w:pPr>
              <w:pStyle w:val="TableText"/>
              <w:rPr>
                <w:rFonts w:cstheme="minorBidi"/>
              </w:rPr>
            </w:pPr>
            <w:r w:rsidRPr="3C583D25">
              <w:rPr>
                <w:rFonts w:cstheme="minorBidi"/>
              </w:rPr>
              <w:t xml:space="preserve">① </w:t>
            </w:r>
            <w:r w:rsidRPr="0019524E">
              <w:rPr>
                <w:rFonts w:cstheme="minorBidi"/>
                <w:b/>
                <w:bCs/>
              </w:rPr>
              <w:t>Direct stratgraphic contact</w:t>
            </w:r>
          </w:p>
          <w:p w14:paraId="37808EB9" w14:textId="77777777" w:rsidR="004A455A" w:rsidRDefault="004A455A" w:rsidP="004A455A">
            <w:pPr>
              <w:pStyle w:val="TableText"/>
              <w:rPr>
                <w:rStyle w:val="normaltextrun1"/>
                <w:rFonts w:cstheme="minorBidi"/>
              </w:rPr>
            </w:pPr>
            <w:r w:rsidRPr="3C583D25">
              <w:rPr>
                <w:rStyle w:val="normaltextrun1"/>
                <w:rFonts w:cstheme="minorBidi"/>
              </w:rPr>
              <w:t xml:space="preserve">Potential connection via direct stratigraphic contact between </w:t>
            </w:r>
            <w:r>
              <w:rPr>
                <w:rStyle w:val="normaltextrun1"/>
                <w:rFonts w:cstheme="minorBidi"/>
              </w:rPr>
              <w:t>shale and tight gas</w:t>
            </w:r>
            <w:r w:rsidRPr="3C583D25">
              <w:rPr>
                <w:rStyle w:val="normaltextrun1"/>
                <w:rFonts w:cstheme="minorBidi"/>
              </w:rPr>
              <w:t xml:space="preserve"> </w:t>
            </w:r>
            <w:r>
              <w:rPr>
                <w:rStyle w:val="normaltextrun1"/>
                <w:rFonts w:cstheme="minorBidi"/>
              </w:rPr>
              <w:t xml:space="preserve">plays in the Roper Group and </w:t>
            </w:r>
            <w:r w:rsidRPr="3C583D25">
              <w:rPr>
                <w:rStyle w:val="normaltextrun1"/>
                <w:rFonts w:cstheme="minorBidi"/>
              </w:rPr>
              <w:t>adjacent aquifers Jamison sandstone (JS)</w:t>
            </w:r>
            <w:r>
              <w:rPr>
                <w:rStyle w:val="normaltextrun1"/>
                <w:rFonts w:cstheme="minorBidi"/>
              </w:rPr>
              <w:t xml:space="preserve">, Bukalara Sandstone, Antrim Plateau Volcanics or </w:t>
            </w:r>
            <w:r w:rsidRPr="3C583D25">
              <w:rPr>
                <w:rStyle w:val="normaltextrun1"/>
                <w:rFonts w:cstheme="minorBidi"/>
              </w:rPr>
              <w:t>the Cambrian Limestone Aquifer (CLA)</w:t>
            </w:r>
            <w:r>
              <w:rPr>
                <w:rStyle w:val="normaltextrun1"/>
                <w:rFonts w:cstheme="minorBidi"/>
              </w:rPr>
              <w:t>.</w:t>
            </w:r>
          </w:p>
          <w:p w14:paraId="2BACC577" w14:textId="01BCDA31" w:rsidR="003F7219" w:rsidRPr="00B82D7D" w:rsidRDefault="003F7219" w:rsidP="009E7078">
            <w:pPr>
              <w:pStyle w:val="TableText"/>
              <w:rPr>
                <w:rFonts w:cstheme="minorHAnsi"/>
              </w:rPr>
            </w:pPr>
          </w:p>
        </w:tc>
        <w:tc>
          <w:tcPr>
            <w:tcW w:w="557" w:type="pct"/>
            <w:hideMark/>
          </w:tcPr>
          <w:p w14:paraId="1E201EE1" w14:textId="14120565" w:rsidR="003F7219" w:rsidRPr="00B82D7D" w:rsidRDefault="004A455A" w:rsidP="000A7BE9">
            <w:pPr>
              <w:pStyle w:val="TableText"/>
              <w:rPr>
                <w:rFonts w:cstheme="minorHAnsi"/>
              </w:rPr>
            </w:pPr>
            <w:r w:rsidRPr="00B82D7D">
              <w:rPr>
                <w:rFonts w:cstheme="minorHAnsi"/>
              </w:rPr>
              <w:t xml:space="preserve">Water bores that access </w:t>
            </w:r>
            <w:r>
              <w:rPr>
                <w:rFonts w:cstheme="minorHAnsi"/>
              </w:rPr>
              <w:t xml:space="preserve">Antrim Plateau Volcanics, </w:t>
            </w:r>
            <w:r w:rsidRPr="00B82D7D">
              <w:rPr>
                <w:rFonts w:cstheme="minorHAnsi"/>
              </w:rPr>
              <w:t>the CLA and the shallower groundwater systems associated with Carpentaria Basin</w:t>
            </w:r>
            <w:r>
              <w:rPr>
                <w:rFonts w:cstheme="minorHAnsi"/>
              </w:rPr>
              <w:t xml:space="preserve"> (CB)</w:t>
            </w:r>
            <w:r w:rsidRPr="00B82D7D">
              <w:rPr>
                <w:rFonts w:cstheme="minorHAnsi"/>
              </w:rPr>
              <w:t xml:space="preserve"> and Cenozoic deposits, surface water bodies (including Lake Woods), waterholes (e.g. Grainger Hole, Mungabroom and Chowyung Waterholes), GDEs and springs</w:t>
            </w:r>
          </w:p>
        </w:tc>
        <w:tc>
          <w:tcPr>
            <w:tcW w:w="1079" w:type="pct"/>
            <w:hideMark/>
          </w:tcPr>
          <w:p w14:paraId="514D5D80" w14:textId="3FB78F54" w:rsidR="003F7219" w:rsidRPr="00BC097C" w:rsidRDefault="003F7219" w:rsidP="00A823F8">
            <w:pPr>
              <w:pStyle w:val="TableBullet"/>
              <w:numPr>
                <w:ilvl w:val="0"/>
                <w:numId w:val="0"/>
              </w:numPr>
              <w:ind w:left="21"/>
              <w:rPr>
                <w:rFonts w:cstheme="minorHAnsi"/>
              </w:rPr>
            </w:pPr>
            <w:r w:rsidRPr="00BC097C">
              <w:rPr>
                <w:rFonts w:cstheme="minorHAnsi"/>
              </w:rPr>
              <w:t xml:space="preserve">Extended zones of direct stratigraphic contact </w:t>
            </w:r>
            <w:r w:rsidRPr="00D97D44">
              <w:rPr>
                <w:rFonts w:cstheme="minorHAnsi"/>
              </w:rPr>
              <w:t>between stressors and the potential assets (aquifers) are identified in cross-sections through both sub-</w:t>
            </w:r>
            <w:r w:rsidRPr="009A50CD">
              <w:rPr>
                <w:rFonts w:cstheme="minorHAnsi"/>
              </w:rPr>
              <w:t>basins (</w:t>
            </w:r>
            <w:r w:rsidR="009D0B34">
              <w:rPr>
                <w:rFonts w:cstheme="minorHAnsi"/>
              </w:rPr>
              <w:fldChar w:fldCharType="begin"/>
            </w:r>
            <w:r w:rsidR="009D0B34">
              <w:rPr>
                <w:rFonts w:cstheme="minorHAnsi"/>
              </w:rPr>
              <w:instrText xml:space="preserve"> REF _Ref34248544 \h </w:instrText>
            </w:r>
            <w:r w:rsidR="009D0B34">
              <w:rPr>
                <w:rFonts w:cstheme="minorHAnsi"/>
              </w:rPr>
            </w:r>
            <w:r w:rsidR="009D0B34">
              <w:rPr>
                <w:rFonts w:cstheme="minorHAnsi"/>
              </w:rPr>
              <w:fldChar w:fldCharType="separate"/>
            </w:r>
            <w:r w:rsidR="00B177F5">
              <w:t xml:space="preserve">Figure </w:t>
            </w:r>
            <w:r w:rsidR="00B177F5">
              <w:rPr>
                <w:noProof/>
              </w:rPr>
              <w:t>44</w:t>
            </w:r>
            <w:r w:rsidR="009D0B34">
              <w:rPr>
                <w:rFonts w:cstheme="minorHAnsi"/>
              </w:rPr>
              <w:fldChar w:fldCharType="end"/>
            </w:r>
            <w:r w:rsidRPr="009A50CD">
              <w:rPr>
                <w:rFonts w:cstheme="minorHAnsi"/>
              </w:rPr>
              <w:t xml:space="preserve">, </w:t>
            </w:r>
            <w:r w:rsidR="00B725A0">
              <w:rPr>
                <w:rFonts w:cstheme="minorHAnsi"/>
              </w:rPr>
              <w:fldChar w:fldCharType="begin"/>
            </w:r>
            <w:r w:rsidR="00B725A0">
              <w:rPr>
                <w:rFonts w:cstheme="minorHAnsi"/>
              </w:rPr>
              <w:instrText xml:space="preserve"> REF _Ref531595642 \h </w:instrText>
            </w:r>
            <w:r w:rsidR="00B725A0">
              <w:rPr>
                <w:rFonts w:cstheme="minorHAnsi"/>
              </w:rPr>
            </w:r>
            <w:r w:rsidR="00B725A0">
              <w:rPr>
                <w:rFonts w:cstheme="minorHAnsi"/>
              </w:rPr>
              <w:fldChar w:fldCharType="separate"/>
            </w:r>
            <w:r w:rsidR="00B177F5" w:rsidRPr="00001C61">
              <w:t xml:space="preserve">Figure </w:t>
            </w:r>
            <w:r w:rsidR="00B177F5">
              <w:rPr>
                <w:noProof/>
              </w:rPr>
              <w:t>45</w:t>
            </w:r>
            <w:r w:rsidR="00B725A0">
              <w:rPr>
                <w:rFonts w:cstheme="minorHAnsi"/>
              </w:rPr>
              <w:fldChar w:fldCharType="end"/>
            </w:r>
            <w:r w:rsidRPr="009A50CD">
              <w:rPr>
                <w:rFonts w:cstheme="minorHAnsi"/>
              </w:rPr>
              <w:t xml:space="preserve"> and </w:t>
            </w:r>
            <w:r w:rsidR="00B725A0">
              <w:rPr>
                <w:rFonts w:cstheme="minorHAnsi"/>
              </w:rPr>
              <w:fldChar w:fldCharType="begin"/>
            </w:r>
            <w:r w:rsidR="00B725A0">
              <w:rPr>
                <w:rFonts w:cstheme="minorHAnsi"/>
              </w:rPr>
              <w:instrText xml:space="preserve"> REF _Ref531595653 \h </w:instrText>
            </w:r>
            <w:r w:rsidR="00B725A0">
              <w:rPr>
                <w:rFonts w:cstheme="minorHAnsi"/>
              </w:rPr>
            </w:r>
            <w:r w:rsidR="00B725A0">
              <w:rPr>
                <w:rFonts w:cstheme="minorHAnsi"/>
              </w:rPr>
              <w:fldChar w:fldCharType="separate"/>
            </w:r>
            <w:r w:rsidR="00B177F5" w:rsidRPr="00001C61">
              <w:t xml:space="preserve">Figure </w:t>
            </w:r>
            <w:r w:rsidR="00B177F5">
              <w:rPr>
                <w:noProof/>
              </w:rPr>
              <w:t>46</w:t>
            </w:r>
            <w:r w:rsidR="00B725A0">
              <w:rPr>
                <w:rFonts w:cstheme="minorHAnsi"/>
              </w:rPr>
              <w:fldChar w:fldCharType="end"/>
            </w:r>
            <w:r w:rsidRPr="009A50CD">
              <w:rPr>
                <w:rFonts w:cstheme="minorHAnsi"/>
              </w:rPr>
              <w:t>)</w:t>
            </w:r>
          </w:p>
          <w:p w14:paraId="2008E772" w14:textId="77777777" w:rsidR="003F7219" w:rsidRPr="00BC097C" w:rsidRDefault="003F7219" w:rsidP="000A7BE9">
            <w:pPr>
              <w:pStyle w:val="TableBullet"/>
              <w:numPr>
                <w:ilvl w:val="0"/>
                <w:numId w:val="0"/>
              </w:numPr>
              <w:ind w:left="170" w:hanging="170"/>
              <w:rPr>
                <w:rFonts w:cstheme="minorHAnsi"/>
              </w:rPr>
            </w:pPr>
          </w:p>
          <w:p w14:paraId="458AB61E" w14:textId="14340E7D" w:rsidR="003F7219" w:rsidRPr="00BC097C" w:rsidRDefault="004A455A" w:rsidP="00A823F8">
            <w:pPr>
              <w:pStyle w:val="TableBullet"/>
              <w:numPr>
                <w:ilvl w:val="0"/>
                <w:numId w:val="0"/>
              </w:numPr>
              <w:rPr>
                <w:rFonts w:cstheme="minorHAnsi"/>
              </w:rPr>
            </w:pPr>
            <w:r w:rsidRPr="00D62946">
              <w:rPr>
                <w:rFonts w:cstheme="minorHAnsi"/>
              </w:rPr>
              <w:t xml:space="preserve">Dissolved methane in groundwater samples from the </w:t>
            </w:r>
            <w:r>
              <w:rPr>
                <w:rFonts w:cstheme="minorHAnsi"/>
              </w:rPr>
              <w:t xml:space="preserve">Antrim Plateau Volcanics </w:t>
            </w:r>
            <w:r w:rsidRPr="00D62946">
              <w:rPr>
                <w:rFonts w:cstheme="minorHAnsi"/>
              </w:rPr>
              <w:t xml:space="preserve">and CLA in areas of possible direct contact with underlying </w:t>
            </w:r>
            <w:r w:rsidRPr="00D97D44">
              <w:rPr>
                <w:rFonts w:cstheme="minorHAnsi"/>
                <w:color w:val="000000"/>
              </w:rPr>
              <w:t>Kyalla Formation</w:t>
            </w:r>
            <w:r>
              <w:rPr>
                <w:rFonts w:cstheme="minorHAnsi"/>
                <w:color w:val="000000"/>
              </w:rPr>
              <w:t xml:space="preserve"> </w:t>
            </w:r>
            <w:r w:rsidRPr="00D62946">
              <w:rPr>
                <w:rFonts w:cstheme="minorHAnsi"/>
              </w:rPr>
              <w:t xml:space="preserve">may confirm the possible connectivity </w:t>
            </w:r>
            <w:r>
              <w:rPr>
                <w:rFonts w:cstheme="minorHAnsi"/>
              </w:rPr>
              <w:t xml:space="preserve">between the hydrocarbon bearing gas play unit and overlying aquifer </w:t>
            </w:r>
            <w:r w:rsidRPr="00D62946">
              <w:rPr>
                <w:rFonts w:cstheme="minorHAnsi"/>
              </w:rPr>
              <w:t>assets</w:t>
            </w:r>
          </w:p>
        </w:tc>
        <w:tc>
          <w:tcPr>
            <w:tcW w:w="1126" w:type="pct"/>
            <w:hideMark/>
          </w:tcPr>
          <w:p w14:paraId="57D2237D" w14:textId="77777777" w:rsidR="00B71FEA" w:rsidRPr="00D97D44" w:rsidRDefault="00B71FEA" w:rsidP="00B71FEA">
            <w:pPr>
              <w:pStyle w:val="TableBullet"/>
              <w:numPr>
                <w:ilvl w:val="0"/>
                <w:numId w:val="0"/>
              </w:numPr>
              <w:rPr>
                <w:rStyle w:val="eop"/>
                <w:rFonts w:cstheme="minorBidi"/>
              </w:rPr>
            </w:pPr>
            <w:r w:rsidRPr="409708BF">
              <w:rPr>
                <w:rStyle w:val="normaltextrun1"/>
                <w:rFonts w:cstheme="minorBidi"/>
              </w:rPr>
              <w:t xml:space="preserve">What is the travel distance and travel time for water and/or gas </w:t>
            </w:r>
            <w:r>
              <w:rPr>
                <w:rStyle w:val="normaltextrun1"/>
                <w:rFonts w:cstheme="minorBidi"/>
              </w:rPr>
              <w:t>to</w:t>
            </w:r>
            <w:r w:rsidRPr="409708BF">
              <w:rPr>
                <w:rStyle w:val="normaltextrun1"/>
                <w:rFonts w:cstheme="minorBidi"/>
              </w:rPr>
              <w:t xml:space="preserve"> migrate from the shale</w:t>
            </w:r>
            <w:r>
              <w:rPr>
                <w:rStyle w:val="normaltextrun1"/>
                <w:rFonts w:cstheme="minorBidi"/>
              </w:rPr>
              <w:t xml:space="preserve"> and tight</w:t>
            </w:r>
            <w:r w:rsidRPr="409708BF">
              <w:rPr>
                <w:rStyle w:val="normaltextrun1"/>
                <w:rFonts w:cstheme="minorBidi"/>
              </w:rPr>
              <w:t xml:space="preserve"> gas reservoirs </w:t>
            </w:r>
            <w:r>
              <w:rPr>
                <w:rStyle w:val="normaltextrun1"/>
                <w:rFonts w:cstheme="minorBidi"/>
              </w:rPr>
              <w:t xml:space="preserve">in the Roper Group </w:t>
            </w:r>
            <w:r w:rsidRPr="409708BF">
              <w:rPr>
                <w:rStyle w:val="normaltextrun1"/>
                <w:rFonts w:cstheme="minorBidi"/>
              </w:rPr>
              <w:t>into the adjacent/overlying aquifers?</w:t>
            </w:r>
          </w:p>
          <w:p w14:paraId="33A85790" w14:textId="77777777" w:rsidR="00B71FEA" w:rsidRPr="00BC097C" w:rsidRDefault="00B71FEA" w:rsidP="00B71FEA">
            <w:pPr>
              <w:pStyle w:val="TableBullet"/>
              <w:numPr>
                <w:ilvl w:val="0"/>
                <w:numId w:val="0"/>
              </w:numPr>
              <w:rPr>
                <w:rFonts w:cstheme="minorHAnsi"/>
              </w:rPr>
            </w:pPr>
          </w:p>
          <w:p w14:paraId="5C341164" w14:textId="77777777" w:rsidR="00B71FEA" w:rsidRPr="00D97D44" w:rsidRDefault="00B71FEA" w:rsidP="00B71FEA">
            <w:pPr>
              <w:pStyle w:val="TableBullet"/>
              <w:numPr>
                <w:ilvl w:val="0"/>
                <w:numId w:val="0"/>
              </w:numPr>
              <w:rPr>
                <w:rFonts w:cstheme="minorHAnsi"/>
              </w:rPr>
            </w:pPr>
            <w:r w:rsidRPr="00D97D44">
              <w:rPr>
                <w:rFonts w:cstheme="minorHAnsi"/>
              </w:rPr>
              <w:t>Is there evidence of upward hydraulic gradients that would facilit</w:t>
            </w:r>
            <w:r>
              <w:rPr>
                <w:rFonts w:cstheme="minorHAnsi"/>
              </w:rPr>
              <w:t>ate</w:t>
            </w:r>
            <w:r w:rsidRPr="00D97D44">
              <w:rPr>
                <w:rFonts w:cstheme="minorHAnsi"/>
              </w:rPr>
              <w:t>/drive such processes?</w:t>
            </w:r>
          </w:p>
          <w:p w14:paraId="548C209D" w14:textId="77777777" w:rsidR="00B71FEA" w:rsidRPr="00D97D44" w:rsidRDefault="00B71FEA" w:rsidP="00B71FEA">
            <w:pPr>
              <w:pStyle w:val="TableBullet"/>
              <w:numPr>
                <w:ilvl w:val="0"/>
                <w:numId w:val="0"/>
              </w:numPr>
              <w:rPr>
                <w:rFonts w:cstheme="minorHAnsi"/>
              </w:rPr>
            </w:pPr>
          </w:p>
          <w:p w14:paraId="1020BC3A" w14:textId="1ECC0778" w:rsidR="003F7219" w:rsidRPr="00D97D44" w:rsidRDefault="00B71FEA" w:rsidP="00B71FEA">
            <w:pPr>
              <w:pStyle w:val="TableBullet"/>
              <w:numPr>
                <w:ilvl w:val="0"/>
                <w:numId w:val="0"/>
              </w:numPr>
              <w:rPr>
                <w:rFonts w:cstheme="minorBidi"/>
              </w:rPr>
            </w:pPr>
            <w:r w:rsidRPr="409708BF">
              <w:rPr>
                <w:rStyle w:val="normaltextrun1"/>
                <w:rFonts w:cstheme="minorBidi"/>
              </w:rPr>
              <w:t>Do faults intersecting gas plays in the Roper Group, influence connectivity with adjacent or overlying aquifers that are in direct contact with the reservoir formations?</w:t>
            </w:r>
          </w:p>
        </w:tc>
        <w:tc>
          <w:tcPr>
            <w:tcW w:w="1387" w:type="pct"/>
            <w:hideMark/>
          </w:tcPr>
          <w:p w14:paraId="02D9FBA6" w14:textId="77777777" w:rsidR="00B71FEA" w:rsidRDefault="00B71FEA" w:rsidP="00B71FEA">
            <w:pPr>
              <w:pStyle w:val="TableBullet"/>
              <w:numPr>
                <w:ilvl w:val="0"/>
                <w:numId w:val="0"/>
              </w:numPr>
              <w:spacing w:line="0" w:lineRule="atLeast"/>
              <w:ind w:left="170" w:hanging="170"/>
              <w:rPr>
                <w:rFonts w:cstheme="minorHAnsi"/>
                <w:b/>
              </w:rPr>
            </w:pPr>
            <w:r>
              <w:rPr>
                <w:rFonts w:cstheme="minorHAnsi"/>
                <w:b/>
              </w:rPr>
              <w:t>Stage 3</w:t>
            </w:r>
          </w:p>
          <w:p w14:paraId="7F97B06B" w14:textId="77777777" w:rsidR="00B71FEA" w:rsidRDefault="00B71FEA" w:rsidP="00B71FEA">
            <w:pPr>
              <w:pStyle w:val="TableBullet"/>
              <w:spacing w:line="0" w:lineRule="atLeast"/>
              <w:rPr>
                <w:rFonts w:cstheme="minorBidi"/>
              </w:rPr>
            </w:pPr>
            <w:r w:rsidRPr="409708BF">
              <w:rPr>
                <w:rFonts w:cstheme="minorBidi"/>
              </w:rPr>
              <w:t xml:space="preserve">Simple groundwater models to estimate travel times for scenario from the Roper Group through to overlying aquifers. </w:t>
            </w:r>
          </w:p>
          <w:p w14:paraId="79580403" w14:textId="77777777" w:rsidR="00B71FEA" w:rsidRDefault="00B71FEA" w:rsidP="00B71FEA">
            <w:pPr>
              <w:pStyle w:val="TableBullet"/>
              <w:spacing w:line="0" w:lineRule="atLeast"/>
            </w:pPr>
            <w:r w:rsidRPr="409708BF">
              <w:rPr>
                <w:rFonts w:cstheme="minorBidi"/>
              </w:rPr>
              <w:t>Collect hydraulic data from both unconventional gas plays and overlying aquifers along the zone of greater connectivity potential (aquitard windows and thinner intervals) to rule out the hypothesis of upward hydraulic gradient</w:t>
            </w:r>
          </w:p>
          <w:p w14:paraId="18815ECF" w14:textId="77777777" w:rsidR="00806AEC" w:rsidRDefault="00806AEC" w:rsidP="00806AEC">
            <w:pPr>
              <w:pStyle w:val="TableBullet"/>
              <w:spacing w:line="0" w:lineRule="atLeast"/>
            </w:pPr>
            <w:r w:rsidRPr="409708BF">
              <w:rPr>
                <w:rFonts w:cstheme="minorBidi"/>
              </w:rPr>
              <w:t>Update regional structural and stratigraphic framework, through additional seismic interpretation</w:t>
            </w:r>
          </w:p>
          <w:p w14:paraId="2A920034" w14:textId="77777777" w:rsidR="00B71FEA" w:rsidRDefault="00B71FEA" w:rsidP="00B71FEA">
            <w:pPr>
              <w:pStyle w:val="TableBullet"/>
              <w:spacing w:line="0" w:lineRule="atLeast"/>
            </w:pPr>
            <w:r w:rsidRPr="0C49B279">
              <w:rPr>
                <w:rFonts w:cstheme="minorBidi"/>
              </w:rPr>
              <w:t xml:space="preserve">Hydrochemical and isotopic fingerprinting of groundwater and dissolved gases at representative bores in different hydrostratigraphic units (subject to bore availability) for inter-aquifer/ reservoir-aquifer connectivity assessment, including helium, methane, and tracers such as </w:t>
            </w:r>
            <w:r w:rsidRPr="0C49B279">
              <w:rPr>
                <w:rFonts w:cstheme="minorBidi"/>
                <w:vertAlign w:val="superscript"/>
              </w:rPr>
              <w:t>87</w:t>
            </w:r>
            <w:r w:rsidRPr="0C49B279">
              <w:rPr>
                <w:rFonts w:cstheme="minorBidi"/>
              </w:rPr>
              <w:t>Sr/</w:t>
            </w:r>
            <w:r w:rsidRPr="0C49B279">
              <w:rPr>
                <w:rFonts w:cstheme="minorBidi"/>
                <w:vertAlign w:val="superscript"/>
              </w:rPr>
              <w:t>86</w:t>
            </w:r>
            <w:r w:rsidRPr="0C49B279">
              <w:rPr>
                <w:rFonts w:cstheme="minorBidi"/>
              </w:rPr>
              <w:t>Sr</w:t>
            </w:r>
          </w:p>
          <w:p w14:paraId="3E1E8AE1" w14:textId="77777777" w:rsidR="00B71FEA" w:rsidRDefault="00B71FEA" w:rsidP="00B71FEA">
            <w:pPr>
              <w:pStyle w:val="TableBullet"/>
              <w:numPr>
                <w:ilvl w:val="0"/>
                <w:numId w:val="0"/>
              </w:numPr>
              <w:spacing w:line="0" w:lineRule="atLeast"/>
              <w:rPr>
                <w:rFonts w:cstheme="minorHAnsi"/>
                <w:b/>
              </w:rPr>
            </w:pPr>
            <w:r>
              <w:rPr>
                <w:rFonts w:cstheme="minorHAnsi"/>
                <w:b/>
              </w:rPr>
              <w:t>Future</w:t>
            </w:r>
          </w:p>
          <w:p w14:paraId="34C2B839" w14:textId="77777777" w:rsidR="00B71FEA" w:rsidRDefault="00B71FEA" w:rsidP="00B71FEA">
            <w:pPr>
              <w:pStyle w:val="TableBullet"/>
              <w:spacing w:line="0" w:lineRule="atLeast"/>
              <w:rPr>
                <w:rFonts w:cstheme="minorHAnsi"/>
              </w:rPr>
            </w:pPr>
            <w:r>
              <w:rPr>
                <w:rFonts w:cstheme="minorHAnsi"/>
              </w:rPr>
              <w:t>Collate and assess borehole image logs from exploration wells to analyse in-situ stress orientations</w:t>
            </w:r>
          </w:p>
          <w:p w14:paraId="2D223E6C" w14:textId="77777777" w:rsidR="00B71FEA" w:rsidRDefault="00B71FEA" w:rsidP="00B71FEA">
            <w:pPr>
              <w:pStyle w:val="TableBullet"/>
              <w:spacing w:line="0" w:lineRule="atLeast"/>
            </w:pPr>
            <w:r w:rsidRPr="0C49B279">
              <w:rPr>
                <w:rFonts w:cstheme="minorBidi"/>
              </w:rPr>
              <w:t>An assessment using existing water bores located near to each other that target different formation</w:t>
            </w:r>
            <w:r>
              <w:rPr>
                <w:rFonts w:cstheme="minorBidi"/>
              </w:rPr>
              <w:t>s</w:t>
            </w:r>
            <w:r w:rsidRPr="0C49B279">
              <w:rPr>
                <w:rFonts w:cstheme="minorBidi"/>
              </w:rPr>
              <w:t xml:space="preserve"> of interest (a proxy for nested wells) could be a first attempt for this hydrochemical and isotopic characterisation</w:t>
            </w:r>
          </w:p>
          <w:p w14:paraId="15C1754D" w14:textId="423244B6" w:rsidR="00B71FEA" w:rsidRDefault="3FFFEA71" w:rsidP="00B71FEA">
            <w:pPr>
              <w:pStyle w:val="TableBullet"/>
              <w:spacing w:line="0" w:lineRule="atLeast"/>
              <w:rPr>
                <w:rFonts w:cstheme="minorBidi"/>
              </w:rPr>
            </w:pPr>
            <w:r w:rsidRPr="4C4A07C3">
              <w:rPr>
                <w:rFonts w:cstheme="minorBidi"/>
              </w:rPr>
              <w:t>Update</w:t>
            </w:r>
            <w:r w:rsidR="334368F1" w:rsidRPr="4C4A07C3">
              <w:rPr>
                <w:rFonts w:cstheme="minorBidi"/>
              </w:rPr>
              <w:t xml:space="preserve"> the </w:t>
            </w:r>
            <w:r w:rsidR="3FC86515" w:rsidRPr="4C4A07C3">
              <w:rPr>
                <w:rFonts w:cstheme="minorBidi"/>
              </w:rPr>
              <w:t xml:space="preserve">Beetaloo GBA </w:t>
            </w:r>
            <w:r w:rsidR="334368F1" w:rsidRPr="4C4A07C3">
              <w:rPr>
                <w:rFonts w:cstheme="minorBidi"/>
              </w:rPr>
              <w:t>geological model to incorporate faults</w:t>
            </w:r>
            <w:r w:rsidR="6BAEEDC6" w:rsidRPr="4C4A07C3">
              <w:rPr>
                <w:rFonts w:cstheme="minorBidi"/>
              </w:rPr>
              <w:t xml:space="preserve">, </w:t>
            </w:r>
            <w:r w:rsidR="00B71FEA" w:rsidRPr="4C4A07C3">
              <w:rPr>
                <w:rFonts w:cstheme="minorBidi"/>
              </w:rPr>
              <w:t>to determine areas where aquifers are displaced against aquitards</w:t>
            </w:r>
            <w:r w:rsidR="7FDAF2B4" w:rsidRPr="4C4A07C3">
              <w:rPr>
                <w:rFonts w:cstheme="minorBidi"/>
              </w:rPr>
              <w:t xml:space="preserve"> </w:t>
            </w:r>
          </w:p>
          <w:p w14:paraId="4814B70D" w14:textId="77777777" w:rsidR="00F7169D" w:rsidRDefault="00F7169D" w:rsidP="00F7169D">
            <w:pPr>
              <w:pStyle w:val="TableBullet"/>
              <w:numPr>
                <w:ilvl w:val="0"/>
                <w:numId w:val="0"/>
              </w:numPr>
              <w:spacing w:line="0" w:lineRule="atLeast"/>
              <w:ind w:left="170" w:hanging="170"/>
              <w:rPr>
                <w:rFonts w:cstheme="minorHAnsi"/>
              </w:rPr>
            </w:pPr>
          </w:p>
          <w:p w14:paraId="5631C5FD" w14:textId="77777777" w:rsidR="00F7169D" w:rsidRDefault="00F7169D" w:rsidP="00F7169D">
            <w:pPr>
              <w:pStyle w:val="TableBullet"/>
              <w:numPr>
                <w:ilvl w:val="0"/>
                <w:numId w:val="0"/>
              </w:numPr>
              <w:spacing w:line="0" w:lineRule="atLeast"/>
              <w:ind w:left="170" w:hanging="170"/>
              <w:rPr>
                <w:rFonts w:cstheme="minorHAnsi"/>
              </w:rPr>
            </w:pPr>
          </w:p>
          <w:p w14:paraId="66970F87" w14:textId="77777777" w:rsidR="00F7169D" w:rsidRDefault="00F7169D" w:rsidP="00F7169D">
            <w:pPr>
              <w:pStyle w:val="TableBullet"/>
              <w:numPr>
                <w:ilvl w:val="0"/>
                <w:numId w:val="0"/>
              </w:numPr>
              <w:spacing w:line="0" w:lineRule="atLeast"/>
              <w:ind w:left="170" w:hanging="170"/>
              <w:rPr>
                <w:rFonts w:cstheme="minorHAnsi"/>
              </w:rPr>
            </w:pPr>
          </w:p>
          <w:p w14:paraId="4438590B" w14:textId="77777777" w:rsidR="00F7169D" w:rsidRDefault="00F7169D" w:rsidP="00F7169D">
            <w:pPr>
              <w:pStyle w:val="TableBullet"/>
              <w:numPr>
                <w:ilvl w:val="0"/>
                <w:numId w:val="0"/>
              </w:numPr>
              <w:spacing w:line="0" w:lineRule="atLeast"/>
              <w:ind w:left="170" w:hanging="170"/>
              <w:rPr>
                <w:rFonts w:cstheme="minorHAnsi"/>
              </w:rPr>
            </w:pPr>
          </w:p>
          <w:p w14:paraId="0742E0BF" w14:textId="77777777" w:rsidR="00F7169D" w:rsidRDefault="00F7169D" w:rsidP="00F7169D">
            <w:pPr>
              <w:pStyle w:val="TableBullet"/>
              <w:numPr>
                <w:ilvl w:val="0"/>
                <w:numId w:val="0"/>
              </w:numPr>
              <w:spacing w:line="0" w:lineRule="atLeast"/>
              <w:ind w:left="170" w:hanging="170"/>
              <w:rPr>
                <w:rFonts w:cstheme="minorHAnsi"/>
              </w:rPr>
            </w:pPr>
          </w:p>
          <w:p w14:paraId="6A80BE14" w14:textId="77777777" w:rsidR="00F7169D" w:rsidRDefault="00F7169D" w:rsidP="00F7169D">
            <w:pPr>
              <w:pStyle w:val="TableBullet"/>
              <w:numPr>
                <w:ilvl w:val="0"/>
                <w:numId w:val="0"/>
              </w:numPr>
              <w:spacing w:line="0" w:lineRule="atLeast"/>
              <w:ind w:left="170" w:hanging="170"/>
              <w:rPr>
                <w:rFonts w:cstheme="minorHAnsi"/>
              </w:rPr>
            </w:pPr>
          </w:p>
          <w:p w14:paraId="26975BE7" w14:textId="77777777" w:rsidR="00F7169D" w:rsidRDefault="00F7169D" w:rsidP="00F7169D">
            <w:pPr>
              <w:pStyle w:val="TableBullet"/>
              <w:numPr>
                <w:ilvl w:val="0"/>
                <w:numId w:val="0"/>
              </w:numPr>
              <w:spacing w:line="0" w:lineRule="atLeast"/>
              <w:ind w:left="170" w:hanging="170"/>
              <w:rPr>
                <w:rFonts w:cstheme="minorHAnsi"/>
              </w:rPr>
            </w:pPr>
          </w:p>
          <w:p w14:paraId="7FD92969" w14:textId="77777777" w:rsidR="00F7169D" w:rsidRDefault="00F7169D" w:rsidP="00F7169D">
            <w:pPr>
              <w:pStyle w:val="TableBullet"/>
              <w:numPr>
                <w:ilvl w:val="0"/>
                <w:numId w:val="0"/>
              </w:numPr>
              <w:spacing w:line="0" w:lineRule="atLeast"/>
              <w:ind w:left="170" w:hanging="170"/>
              <w:rPr>
                <w:rFonts w:cstheme="minorHAnsi"/>
              </w:rPr>
            </w:pPr>
          </w:p>
          <w:p w14:paraId="10E01864" w14:textId="77777777" w:rsidR="00F7169D" w:rsidRDefault="00F7169D" w:rsidP="00F7169D">
            <w:pPr>
              <w:pStyle w:val="TableBullet"/>
              <w:numPr>
                <w:ilvl w:val="0"/>
                <w:numId w:val="0"/>
              </w:numPr>
              <w:spacing w:line="0" w:lineRule="atLeast"/>
              <w:ind w:left="170" w:hanging="170"/>
              <w:rPr>
                <w:rFonts w:cstheme="minorHAnsi"/>
              </w:rPr>
            </w:pPr>
          </w:p>
          <w:p w14:paraId="5D447E7D" w14:textId="77777777" w:rsidR="00F7169D" w:rsidRDefault="00F7169D" w:rsidP="00F7169D">
            <w:pPr>
              <w:pStyle w:val="TableBullet"/>
              <w:numPr>
                <w:ilvl w:val="0"/>
                <w:numId w:val="0"/>
              </w:numPr>
              <w:spacing w:line="0" w:lineRule="atLeast"/>
              <w:ind w:left="170" w:hanging="170"/>
              <w:rPr>
                <w:rFonts w:cstheme="minorHAnsi"/>
              </w:rPr>
            </w:pPr>
          </w:p>
          <w:p w14:paraId="6321D518" w14:textId="77777777" w:rsidR="00F7169D" w:rsidRDefault="00F7169D" w:rsidP="00F7169D">
            <w:pPr>
              <w:pStyle w:val="TableBullet"/>
              <w:numPr>
                <w:ilvl w:val="0"/>
                <w:numId w:val="0"/>
              </w:numPr>
              <w:spacing w:line="0" w:lineRule="atLeast"/>
              <w:ind w:left="170" w:hanging="170"/>
              <w:rPr>
                <w:rFonts w:cstheme="minorHAnsi"/>
              </w:rPr>
            </w:pPr>
          </w:p>
          <w:p w14:paraId="04B23D51" w14:textId="77777777" w:rsidR="00F7169D" w:rsidRDefault="00F7169D" w:rsidP="00F7169D">
            <w:pPr>
              <w:pStyle w:val="TableBullet"/>
              <w:numPr>
                <w:ilvl w:val="0"/>
                <w:numId w:val="0"/>
              </w:numPr>
              <w:spacing w:line="0" w:lineRule="atLeast"/>
              <w:ind w:left="170" w:hanging="170"/>
              <w:rPr>
                <w:rFonts w:cstheme="minorHAnsi"/>
              </w:rPr>
            </w:pPr>
          </w:p>
          <w:p w14:paraId="722F7EBF" w14:textId="58F68752" w:rsidR="00F7169D" w:rsidRPr="00605893" w:rsidRDefault="00F7169D" w:rsidP="00F7169D">
            <w:pPr>
              <w:pStyle w:val="TableBullet"/>
              <w:numPr>
                <w:ilvl w:val="0"/>
                <w:numId w:val="0"/>
              </w:numPr>
              <w:spacing w:line="0" w:lineRule="atLeast"/>
              <w:ind w:left="170" w:hanging="170"/>
              <w:rPr>
                <w:rFonts w:cstheme="minorHAnsi"/>
              </w:rPr>
            </w:pPr>
          </w:p>
        </w:tc>
      </w:tr>
      <w:tr w:rsidR="003F7219" w:rsidRPr="00B82D7D" w14:paraId="4913B6A4" w14:textId="77777777" w:rsidTr="00F7169D">
        <w:trPr>
          <w:cnfStyle w:val="000000010000" w:firstRow="0" w:lastRow="0" w:firstColumn="0" w:lastColumn="0" w:oddVBand="0" w:evenVBand="0" w:oddHBand="0" w:evenHBand="1" w:firstRowFirstColumn="0" w:firstRowLastColumn="0" w:lastRowFirstColumn="0" w:lastRowLastColumn="0"/>
          <w:trHeight w:val="900"/>
        </w:trPr>
        <w:tc>
          <w:tcPr>
            <w:tcW w:w="851" w:type="pct"/>
          </w:tcPr>
          <w:p w14:paraId="77B6A3CC" w14:textId="77777777" w:rsidR="008F0C1E" w:rsidRDefault="008F0C1E" w:rsidP="008F0C1E">
            <w:pPr>
              <w:pStyle w:val="TableText"/>
              <w:rPr>
                <w:rFonts w:cstheme="minorHAnsi"/>
              </w:rPr>
            </w:pPr>
            <w:r w:rsidRPr="00B82D7D">
              <w:rPr>
                <w:rFonts w:cstheme="minorHAnsi" w:hint="eastAsia"/>
              </w:rPr>
              <w:t>②</w:t>
            </w:r>
            <w:r w:rsidRPr="00B82D7D">
              <w:rPr>
                <w:rFonts w:cstheme="minorHAnsi"/>
              </w:rPr>
              <w:t xml:space="preserve"> </w:t>
            </w:r>
            <w:r w:rsidRPr="00C76296">
              <w:rPr>
                <w:rFonts w:cstheme="minorHAnsi"/>
                <w:b/>
                <w:bCs/>
              </w:rPr>
              <w:t>Faults</w:t>
            </w:r>
          </w:p>
          <w:p w14:paraId="60967EBE" w14:textId="34B6BAA0" w:rsidR="003F7219" w:rsidRPr="00B82D7D" w:rsidRDefault="008F0C1E" w:rsidP="008F0C1E">
            <w:pPr>
              <w:pStyle w:val="TableText"/>
              <w:rPr>
                <w:rFonts w:cstheme="minorHAnsi"/>
              </w:rPr>
            </w:pPr>
            <w:r w:rsidRPr="00D97D44">
              <w:rPr>
                <w:rStyle w:val="normaltextrun1"/>
                <w:rFonts w:cstheme="minorHAnsi"/>
              </w:rPr>
              <w:t>Potential connection through deep</w:t>
            </w:r>
            <w:r>
              <w:rPr>
                <w:rStyle w:val="normaltextrun1"/>
                <w:rFonts w:cstheme="minorHAnsi"/>
              </w:rPr>
              <w:t>-</w:t>
            </w:r>
            <w:r w:rsidRPr="00D97D44">
              <w:rPr>
                <w:rStyle w:val="normaltextrun1"/>
                <w:rFonts w:cstheme="minorHAnsi"/>
              </w:rPr>
              <w:t xml:space="preserve">seated faults striking shale gas reservoirs in the Velkerri and Kyalla </w:t>
            </w:r>
            <w:r>
              <w:rPr>
                <w:rStyle w:val="normaltextrun1"/>
                <w:rFonts w:cstheme="minorHAnsi"/>
              </w:rPr>
              <w:t>f</w:t>
            </w:r>
            <w:r w:rsidRPr="00D97D44">
              <w:rPr>
                <w:rStyle w:val="normaltextrun1"/>
                <w:rFonts w:cstheme="minorHAnsi"/>
              </w:rPr>
              <w:t>ormations and adjacent /overlying aquifers</w:t>
            </w:r>
          </w:p>
        </w:tc>
        <w:tc>
          <w:tcPr>
            <w:tcW w:w="557" w:type="pct"/>
          </w:tcPr>
          <w:p w14:paraId="08891964" w14:textId="5233DFC0" w:rsidR="003F7219" w:rsidRPr="00B82D7D" w:rsidRDefault="008F0C1E" w:rsidP="000A7BE9">
            <w:pPr>
              <w:pStyle w:val="TableText"/>
              <w:rPr>
                <w:rFonts w:cstheme="minorHAnsi"/>
              </w:rPr>
            </w:pPr>
            <w:r>
              <w:rPr>
                <w:rFonts w:cstheme="minorHAnsi"/>
              </w:rPr>
              <w:t>Antrim Plateau Volcanics, CLA aquifer</w:t>
            </w:r>
            <w:r w:rsidRPr="00B82D7D">
              <w:rPr>
                <w:rFonts w:cstheme="minorHAnsi"/>
              </w:rPr>
              <w:t>, springs and associated surface water bodies</w:t>
            </w:r>
          </w:p>
        </w:tc>
        <w:tc>
          <w:tcPr>
            <w:tcW w:w="1079" w:type="pct"/>
          </w:tcPr>
          <w:p w14:paraId="05D4A97F" w14:textId="77777777" w:rsidR="008F0C1E" w:rsidRDefault="008F0C1E" w:rsidP="008F0C1E">
            <w:pPr>
              <w:pStyle w:val="TableBullet"/>
              <w:numPr>
                <w:ilvl w:val="0"/>
                <w:numId w:val="0"/>
              </w:numPr>
              <w:rPr>
                <w:rFonts w:cstheme="minorHAnsi"/>
              </w:rPr>
            </w:pPr>
            <w:r w:rsidRPr="00BC097C">
              <w:rPr>
                <w:rFonts w:cstheme="minorHAnsi"/>
              </w:rPr>
              <w:t>Aquifer source of springs located approximately 10 km east from the Eastern Beetaloo Sub-basin</w:t>
            </w:r>
            <w:r w:rsidRPr="00D97D44">
              <w:rPr>
                <w:rFonts w:cstheme="minorHAnsi"/>
              </w:rPr>
              <w:t xml:space="preserve"> (i.e. Lagoon Creek and Beauty Creek Springs) are inferred to be potentially linked to the Roper Group due to their position near rock outcrops from the Collara Subgroup and Maiwok Subgroup, evidenced by spring water temperature </w:t>
            </w:r>
          </w:p>
          <w:p w14:paraId="4A771D64" w14:textId="3E483FFF" w:rsidR="008F0C1E" w:rsidRDefault="008F0C1E" w:rsidP="008F0C1E">
            <w:pPr>
              <w:pStyle w:val="TableBullet"/>
              <w:numPr>
                <w:ilvl w:val="0"/>
                <w:numId w:val="0"/>
              </w:numPr>
              <w:ind w:left="21"/>
              <w:rPr>
                <w:rFonts w:cstheme="minorBidi"/>
              </w:rPr>
            </w:pPr>
            <w:r>
              <w:rPr>
                <w:rFonts w:cstheme="minorHAnsi"/>
              </w:rPr>
              <w:br/>
            </w:r>
            <w:r w:rsidRPr="3C583D25">
              <w:rPr>
                <w:rFonts w:cstheme="minorBidi"/>
              </w:rPr>
              <w:t>Hydrocarbon shows are reported to occur in the Neoproterozoic units (</w:t>
            </w:r>
            <w:r w:rsidRPr="3C583D25">
              <w:rPr>
                <w:rStyle w:val="normaltextrun1"/>
                <w:rFonts w:cstheme="minorBidi"/>
              </w:rPr>
              <w:t>Jamison sandstone</w:t>
            </w:r>
            <w:r w:rsidRPr="3C583D25">
              <w:rPr>
                <w:rFonts w:cstheme="minorBidi"/>
              </w:rPr>
              <w:t xml:space="preserve">, Hayfield mudstone and Bukalara Sandstone), indicating </w:t>
            </w:r>
            <w:r w:rsidR="00042B60">
              <w:rPr>
                <w:rFonts w:cstheme="minorBidi"/>
              </w:rPr>
              <w:t xml:space="preserve">previous hydrocarbon migration </w:t>
            </w:r>
            <w:r w:rsidRPr="3C583D25">
              <w:rPr>
                <w:rFonts w:cstheme="minorBidi"/>
              </w:rPr>
              <w:t xml:space="preserve"> pathways from the underlying source rocks </w:t>
            </w:r>
            <w:r w:rsidR="00607EA6">
              <w:rPr>
                <w:rFonts w:cstheme="minorBidi"/>
              </w:rPr>
              <w:t>that</w:t>
            </w:r>
            <w:r>
              <w:rPr>
                <w:rFonts w:cstheme="minorBidi"/>
              </w:rPr>
              <w:t xml:space="preserve"> may </w:t>
            </w:r>
            <w:r w:rsidRPr="3C583D25">
              <w:rPr>
                <w:rFonts w:cstheme="minorBidi"/>
              </w:rPr>
              <w:t>act as pathway</w:t>
            </w:r>
            <w:r>
              <w:rPr>
                <w:rFonts w:cstheme="minorBidi"/>
              </w:rPr>
              <w:t>s</w:t>
            </w:r>
            <w:r w:rsidRPr="3C583D25">
              <w:rPr>
                <w:rFonts w:cstheme="minorBidi"/>
              </w:rPr>
              <w:t xml:space="preserve"> to assets closer to the surface</w:t>
            </w:r>
          </w:p>
          <w:p w14:paraId="0D849157" w14:textId="56AF5E44" w:rsidR="003F7219" w:rsidRPr="00D97D44" w:rsidRDefault="008F0C1E" w:rsidP="008F0C1E">
            <w:pPr>
              <w:pStyle w:val="TableBullet"/>
              <w:numPr>
                <w:ilvl w:val="0"/>
                <w:numId w:val="0"/>
              </w:numPr>
              <w:ind w:left="21"/>
              <w:rPr>
                <w:rFonts w:cstheme="minorHAnsi"/>
              </w:rPr>
            </w:pPr>
            <w:r>
              <w:rPr>
                <w:rFonts w:cstheme="minorHAnsi"/>
              </w:rPr>
              <w:br/>
              <w:t>Hydrochemical clusters spatial distribution are correlated to the location of geological structures, corroborated by dissolved gas in groundwater</w:t>
            </w:r>
          </w:p>
        </w:tc>
        <w:tc>
          <w:tcPr>
            <w:tcW w:w="1126" w:type="pct"/>
          </w:tcPr>
          <w:p w14:paraId="20A4E2C4" w14:textId="77777777" w:rsidR="008F0C1E" w:rsidRDefault="008F0C1E" w:rsidP="008F0C1E">
            <w:pPr>
              <w:pStyle w:val="TableBullet"/>
              <w:numPr>
                <w:ilvl w:val="0"/>
                <w:numId w:val="0"/>
              </w:numPr>
              <w:rPr>
                <w:rStyle w:val="normaltextrun1"/>
                <w:rFonts w:cstheme="minorHAnsi"/>
              </w:rPr>
            </w:pPr>
            <w:r w:rsidRPr="00D97D44">
              <w:rPr>
                <w:rStyle w:val="normaltextrun1"/>
                <w:rFonts w:cstheme="minorHAnsi"/>
              </w:rPr>
              <w:t>What is the likelihood for vertical fluid or gas migrat</w:t>
            </w:r>
            <w:r>
              <w:rPr>
                <w:rStyle w:val="normaltextrun1"/>
                <w:rFonts w:cstheme="minorHAnsi"/>
              </w:rPr>
              <w:t>ion</w:t>
            </w:r>
            <w:r w:rsidRPr="00D97D44">
              <w:rPr>
                <w:rStyle w:val="normaltextrun1"/>
                <w:rFonts w:cstheme="minorHAnsi"/>
              </w:rPr>
              <w:t xml:space="preserve"> through deep-seated faults from unconventional gas plays to overlying aquifers and near-surface assets?</w:t>
            </w:r>
          </w:p>
          <w:p w14:paraId="709C4926" w14:textId="77777777" w:rsidR="008F0C1E" w:rsidRDefault="008F0C1E" w:rsidP="008F0C1E">
            <w:pPr>
              <w:pStyle w:val="TableBullet"/>
              <w:numPr>
                <w:ilvl w:val="0"/>
                <w:numId w:val="0"/>
              </w:numPr>
              <w:rPr>
                <w:rStyle w:val="eop"/>
              </w:rPr>
            </w:pPr>
          </w:p>
          <w:p w14:paraId="49CC46E9" w14:textId="36AF2FBD" w:rsidR="003F7219" w:rsidRPr="00D97D44" w:rsidRDefault="008F0C1E" w:rsidP="008F0C1E">
            <w:pPr>
              <w:pStyle w:val="TableBullet"/>
              <w:numPr>
                <w:ilvl w:val="0"/>
                <w:numId w:val="0"/>
              </w:numPr>
              <w:rPr>
                <w:rFonts w:cstheme="minorBidi"/>
              </w:rPr>
            </w:pPr>
            <w:r w:rsidRPr="187A5B4A">
              <w:rPr>
                <w:rStyle w:val="normaltextrun1"/>
                <w:rFonts w:cstheme="minorBidi"/>
              </w:rPr>
              <w:t>How likely</w:t>
            </w:r>
            <w:r>
              <w:rPr>
                <w:rStyle w:val="normaltextrun1"/>
                <w:rFonts w:cstheme="minorBidi"/>
              </w:rPr>
              <w:t>is it that</w:t>
            </w:r>
            <w:r w:rsidRPr="187A5B4A">
              <w:rPr>
                <w:rStyle w:val="normaltextrun1"/>
                <w:rFonts w:cstheme="minorBidi"/>
              </w:rPr>
              <w:t xml:space="preserve"> the gas plays </w:t>
            </w:r>
            <w:r>
              <w:rPr>
                <w:rStyle w:val="normaltextrun1"/>
                <w:rFonts w:cstheme="minorBidi"/>
              </w:rPr>
              <w:t>are</w:t>
            </w:r>
            <w:r w:rsidRPr="187A5B4A">
              <w:rPr>
                <w:rStyle w:val="normaltextrun1"/>
                <w:rFonts w:cstheme="minorBidi"/>
              </w:rPr>
              <w:t xml:space="preserve"> directly connected to the near-surface environmental assets via the mapped/inferred faults considering the proximity between stressors and assets near the Beetaloo GBA region’ margins?</w:t>
            </w:r>
          </w:p>
        </w:tc>
        <w:tc>
          <w:tcPr>
            <w:tcW w:w="1387" w:type="pct"/>
            <w:vMerge w:val="restart"/>
          </w:tcPr>
          <w:p w14:paraId="05C972BB" w14:textId="77777777" w:rsidR="008F0C1E" w:rsidRPr="00140A08" w:rsidRDefault="008F0C1E" w:rsidP="008F0C1E">
            <w:pPr>
              <w:pStyle w:val="TableBullet"/>
              <w:numPr>
                <w:ilvl w:val="0"/>
                <w:numId w:val="0"/>
              </w:numPr>
              <w:spacing w:line="0" w:lineRule="atLeast"/>
              <w:ind w:left="170" w:hanging="170"/>
              <w:rPr>
                <w:rFonts w:cstheme="minorHAnsi"/>
                <w:b/>
              </w:rPr>
            </w:pPr>
            <w:r w:rsidRPr="00140A08">
              <w:rPr>
                <w:rFonts w:cstheme="minorHAnsi"/>
                <w:b/>
              </w:rPr>
              <w:t>Stage 3</w:t>
            </w:r>
          </w:p>
          <w:p w14:paraId="1C43201D" w14:textId="23E1939D" w:rsidR="008F0C1E" w:rsidRDefault="008F0C1E" w:rsidP="008F0C1E">
            <w:pPr>
              <w:pStyle w:val="TableBullet"/>
              <w:spacing w:line="0" w:lineRule="atLeast"/>
            </w:pPr>
            <w:r w:rsidRPr="409708BF">
              <w:rPr>
                <w:rFonts w:cstheme="minorBidi"/>
              </w:rPr>
              <w:t>Simple groundwater models to estimate travel times for scenario from the Roper Group through to overlying aquifers</w:t>
            </w:r>
          </w:p>
          <w:p w14:paraId="5633CA81" w14:textId="77777777" w:rsidR="008F0C1E" w:rsidRDefault="008F0C1E" w:rsidP="008F0C1E">
            <w:pPr>
              <w:pStyle w:val="TableBullet"/>
              <w:spacing w:line="0" w:lineRule="atLeast"/>
            </w:pPr>
            <w:r w:rsidRPr="409708BF">
              <w:rPr>
                <w:rFonts w:cstheme="minorBidi"/>
              </w:rPr>
              <w:t>Update regional structural and stratigraphic framework, through additional seismic interpretation</w:t>
            </w:r>
          </w:p>
          <w:p w14:paraId="1BECAC21" w14:textId="77777777" w:rsidR="008F0C1E" w:rsidRDefault="008F0C1E" w:rsidP="008F0C1E">
            <w:pPr>
              <w:pStyle w:val="TableBullet"/>
              <w:spacing w:line="0" w:lineRule="atLeast"/>
              <w:rPr>
                <w:rFonts w:cstheme="minorHAnsi"/>
              </w:rPr>
            </w:pPr>
            <w:r>
              <w:rPr>
                <w:rFonts w:cstheme="minorHAnsi"/>
              </w:rPr>
              <w:t xml:space="preserve">Hydrochemical and isotopic fingerprinting of groundwater and dissolved gases at representative bores in different hydrostratigraphic units for inter-aquifer connectivity assessment and surface water – groundwater interactions, including helium, methane and tracers such as </w:t>
            </w:r>
            <w:r>
              <w:rPr>
                <w:rFonts w:cstheme="minorHAnsi"/>
                <w:vertAlign w:val="superscript"/>
              </w:rPr>
              <w:t>87</w:t>
            </w:r>
            <w:r>
              <w:rPr>
                <w:rFonts w:cstheme="minorHAnsi"/>
              </w:rPr>
              <w:t>Sr/</w:t>
            </w:r>
            <w:r>
              <w:rPr>
                <w:rFonts w:cstheme="minorHAnsi"/>
                <w:vertAlign w:val="superscript"/>
              </w:rPr>
              <w:t>86</w:t>
            </w:r>
            <w:r>
              <w:rPr>
                <w:rFonts w:cstheme="minorHAnsi"/>
              </w:rPr>
              <w:t>Sr</w:t>
            </w:r>
          </w:p>
          <w:p w14:paraId="61942BBA" w14:textId="77777777" w:rsidR="008F0C1E" w:rsidRDefault="008F0C1E" w:rsidP="008F0C1E">
            <w:pPr>
              <w:pStyle w:val="TableBullet"/>
              <w:spacing w:line="0" w:lineRule="atLeast"/>
              <w:ind w:left="178"/>
              <w:textAlignment w:val="baseline"/>
              <w:rPr>
                <w:rFonts w:cstheme="minorBidi"/>
              </w:rPr>
            </w:pPr>
            <w:r w:rsidRPr="0C49B279">
              <w:rPr>
                <w:rFonts w:cstheme="minorBidi"/>
              </w:rPr>
              <w:t xml:space="preserve">Carry out a sampling campaign to constrain the sources of springs located in proximity to mapped faults with a focus on tracers to detect contribution from deeper </w:t>
            </w:r>
            <w:r>
              <w:rPr>
                <w:rFonts w:cstheme="minorBidi"/>
              </w:rPr>
              <w:t>hydro</w:t>
            </w:r>
            <w:r w:rsidRPr="0C49B279">
              <w:rPr>
                <w:rFonts w:cstheme="minorBidi"/>
              </w:rPr>
              <w:t>geological units (e.g. Helium) </w:t>
            </w:r>
          </w:p>
          <w:p w14:paraId="0C5E7230" w14:textId="77777777" w:rsidR="008F0C1E" w:rsidRDefault="008F0C1E" w:rsidP="008F0C1E">
            <w:pPr>
              <w:pStyle w:val="TableBullet"/>
              <w:spacing w:line="0" w:lineRule="atLeast"/>
              <w:ind w:left="178"/>
              <w:textAlignment w:val="baseline"/>
              <w:rPr>
                <w:rFonts w:cstheme="minorHAnsi"/>
              </w:rPr>
            </w:pPr>
            <w:r>
              <w:rPr>
                <w:rFonts w:cstheme="minorHAnsi"/>
              </w:rPr>
              <w:t>Conduct a synoptic surface water chemistry and tracer survey along Roper River, which exhibits perennial flows to assess surface water – groundwater interactions and alluvium and bedrock connectivity</w:t>
            </w:r>
          </w:p>
          <w:p w14:paraId="1E4F5955" w14:textId="77777777" w:rsidR="008F0C1E" w:rsidRPr="00140A08" w:rsidRDefault="008F0C1E" w:rsidP="008F0C1E">
            <w:pPr>
              <w:pStyle w:val="TableBullet"/>
              <w:numPr>
                <w:ilvl w:val="0"/>
                <w:numId w:val="0"/>
              </w:numPr>
              <w:spacing w:line="0" w:lineRule="atLeast"/>
              <w:ind w:left="170" w:hanging="170"/>
              <w:textAlignment w:val="baseline"/>
              <w:rPr>
                <w:rFonts w:cstheme="minorHAnsi"/>
                <w:b/>
              </w:rPr>
            </w:pPr>
            <w:r w:rsidRPr="00140A08">
              <w:rPr>
                <w:rFonts w:cstheme="minorHAnsi"/>
                <w:b/>
              </w:rPr>
              <w:t>Future</w:t>
            </w:r>
          </w:p>
          <w:p w14:paraId="384EFB84" w14:textId="6522C6B4" w:rsidR="003F7219" w:rsidRPr="00D97D44" w:rsidRDefault="008F0C1E" w:rsidP="008F0C1E">
            <w:pPr>
              <w:pStyle w:val="TableBullet"/>
              <w:spacing w:line="0" w:lineRule="atLeast"/>
              <w:ind w:left="178"/>
              <w:textAlignment w:val="baseline"/>
              <w:rPr>
                <w:rFonts w:cstheme="minorHAnsi"/>
              </w:rPr>
            </w:pPr>
            <w:r>
              <w:rPr>
                <w:rFonts w:cstheme="minorHAnsi"/>
              </w:rPr>
              <w:t>Shallow geophysical survey (e.g. time domain electromagnetic (TEM)) to locate and characterise structural elements in the top 100 m near sensitive environmental assets </w:t>
            </w:r>
          </w:p>
        </w:tc>
      </w:tr>
      <w:tr w:rsidR="003F7219" w:rsidRPr="00B82D7D" w14:paraId="5A94662A" w14:textId="77777777" w:rsidTr="187A5B4A">
        <w:trPr>
          <w:cnfStyle w:val="000000100000" w:firstRow="0" w:lastRow="0" w:firstColumn="0" w:lastColumn="0" w:oddVBand="0" w:evenVBand="0" w:oddHBand="1" w:evenHBand="0" w:firstRowFirstColumn="0" w:firstRowLastColumn="0" w:lastRowFirstColumn="0" w:lastRowLastColumn="0"/>
          <w:trHeight w:val="900"/>
        </w:trPr>
        <w:tc>
          <w:tcPr>
            <w:tcW w:w="851" w:type="pct"/>
          </w:tcPr>
          <w:p w14:paraId="38911CDC" w14:textId="77777777" w:rsidR="008F0C1E" w:rsidRDefault="008F0C1E" w:rsidP="008F0C1E">
            <w:pPr>
              <w:pStyle w:val="TableText"/>
              <w:rPr>
                <w:rFonts w:cstheme="minorBidi"/>
              </w:rPr>
            </w:pPr>
            <w:r w:rsidRPr="3C583D25">
              <w:rPr>
                <w:rFonts w:cstheme="minorBidi"/>
              </w:rPr>
              <w:t>③</w:t>
            </w:r>
            <w:r>
              <w:rPr>
                <w:rFonts w:cstheme="minorBidi"/>
              </w:rPr>
              <w:t xml:space="preserve"> </w:t>
            </w:r>
            <w:r w:rsidRPr="00AB6690">
              <w:rPr>
                <w:rFonts w:cstheme="minorBidi"/>
                <w:b/>
                <w:bCs/>
              </w:rPr>
              <w:t>Aquifers</w:t>
            </w:r>
          </w:p>
          <w:p w14:paraId="14529A8E" w14:textId="320CE7CF" w:rsidR="003F7219" w:rsidRPr="00B82D7D" w:rsidRDefault="008F0C1E" w:rsidP="008F0C1E">
            <w:pPr>
              <w:pStyle w:val="TableText"/>
              <w:rPr>
                <w:rFonts w:cstheme="minorBidi"/>
              </w:rPr>
            </w:pPr>
            <w:r w:rsidRPr="3C583D25">
              <w:rPr>
                <w:rStyle w:val="normaltextrun1"/>
                <w:rFonts w:cstheme="minorBidi"/>
              </w:rPr>
              <w:t>Potential connection through the porous</w:t>
            </w:r>
            <w:r w:rsidRPr="3C583D25" w:rsidDel="00D0574E">
              <w:rPr>
                <w:rFonts w:cstheme="minorBidi"/>
              </w:rPr>
              <w:t xml:space="preserve"> </w:t>
            </w:r>
            <w:r w:rsidRPr="3C583D25">
              <w:rPr>
                <w:rFonts w:cstheme="minorBidi"/>
              </w:rPr>
              <w:t xml:space="preserve">aquifers of </w:t>
            </w:r>
            <w:r w:rsidRPr="3C583D25">
              <w:rPr>
                <w:rFonts w:cstheme="minorBidi"/>
                <w:color w:val="000000"/>
              </w:rPr>
              <w:t>Moroak Sandstone</w:t>
            </w:r>
            <w:r w:rsidRPr="3C583D25">
              <w:rPr>
                <w:rFonts w:cstheme="minorBidi"/>
              </w:rPr>
              <w:t xml:space="preserve">, </w:t>
            </w:r>
            <w:r w:rsidRPr="3C583D25">
              <w:rPr>
                <w:rStyle w:val="normaltextrun1"/>
                <w:rFonts w:cstheme="minorBidi"/>
              </w:rPr>
              <w:t>Jamison sandstone</w:t>
            </w:r>
            <w:r w:rsidRPr="3C583D25">
              <w:rPr>
                <w:rFonts w:cstheme="minorBidi"/>
              </w:rPr>
              <w:t xml:space="preserve">, UN, CB and alluvium and </w:t>
            </w:r>
            <w:r>
              <w:rPr>
                <w:rFonts w:cstheme="minorBidi"/>
              </w:rPr>
              <w:t>karstic systems of CLA (GRF+ALF</w:t>
            </w:r>
            <w:r w:rsidRPr="3C583D25">
              <w:rPr>
                <w:rFonts w:cstheme="minorBidi"/>
              </w:rPr>
              <w:t>)</w:t>
            </w:r>
          </w:p>
        </w:tc>
        <w:tc>
          <w:tcPr>
            <w:tcW w:w="557" w:type="pct"/>
          </w:tcPr>
          <w:p w14:paraId="3FFFFF6B" w14:textId="2A1303C2" w:rsidR="003F7219" w:rsidRPr="00B82D7D" w:rsidRDefault="008F0C1E" w:rsidP="00A823F8">
            <w:pPr>
              <w:pStyle w:val="TableText"/>
              <w:rPr>
                <w:rFonts w:cstheme="minorHAnsi"/>
              </w:rPr>
            </w:pPr>
            <w:r w:rsidRPr="00B82D7D">
              <w:rPr>
                <w:rFonts w:cstheme="minorHAnsi"/>
              </w:rPr>
              <w:t>Water bores that access these aquifers and potentially associated springs</w:t>
            </w:r>
          </w:p>
        </w:tc>
        <w:tc>
          <w:tcPr>
            <w:tcW w:w="1079" w:type="pct"/>
          </w:tcPr>
          <w:p w14:paraId="5AF690CC" w14:textId="7A85283F" w:rsidR="003F7219" w:rsidRPr="00BC097C" w:rsidRDefault="003F7219" w:rsidP="3307957E">
            <w:pPr>
              <w:pStyle w:val="TableBullet"/>
              <w:numPr>
                <w:ilvl w:val="0"/>
                <w:numId w:val="0"/>
              </w:numPr>
              <w:spacing w:line="0" w:lineRule="atLeast"/>
              <w:rPr>
                <w:rFonts w:cstheme="minorBidi"/>
              </w:rPr>
            </w:pPr>
            <w:r w:rsidRPr="3307957E">
              <w:rPr>
                <w:rFonts w:cstheme="minorBidi"/>
              </w:rPr>
              <w:t>Groundwater flow is confirmed to occur in the CLA system (</w:t>
            </w:r>
            <w:r w:rsidR="002B7513" w:rsidRPr="3307957E">
              <w:fldChar w:fldCharType="begin"/>
            </w:r>
            <w:r w:rsidR="002B7513">
              <w:rPr>
                <w:rFonts w:cstheme="minorHAnsi"/>
              </w:rPr>
              <w:instrText xml:space="preserve"> REF _Ref1137606 \h </w:instrText>
            </w:r>
            <w:r w:rsidR="002B7513" w:rsidRPr="3307957E">
              <w:rPr>
                <w:rFonts w:cstheme="minorHAnsi"/>
              </w:rPr>
              <w:fldChar w:fldCharType="separate"/>
            </w:r>
            <w:r w:rsidR="00B177F5">
              <w:t xml:space="preserve">Figure </w:t>
            </w:r>
            <w:r w:rsidR="00B177F5">
              <w:rPr>
                <w:noProof/>
              </w:rPr>
              <w:t>16</w:t>
            </w:r>
            <w:r w:rsidR="002B7513" w:rsidRPr="3307957E">
              <w:fldChar w:fldCharType="end"/>
            </w:r>
            <w:r w:rsidRPr="3307957E">
              <w:rPr>
                <w:rFonts w:cstheme="minorBidi"/>
              </w:rPr>
              <w:t xml:space="preserve">) with northward direction </w:t>
            </w:r>
          </w:p>
        </w:tc>
        <w:tc>
          <w:tcPr>
            <w:tcW w:w="1126" w:type="pct"/>
          </w:tcPr>
          <w:p w14:paraId="401DD5A6" w14:textId="25C93813" w:rsidR="003F7219" w:rsidRPr="00D97D44" w:rsidRDefault="3307957E" w:rsidP="3307957E">
            <w:pPr>
              <w:pStyle w:val="TableBullet"/>
              <w:numPr>
                <w:ilvl w:val="0"/>
                <w:numId w:val="0"/>
              </w:numPr>
              <w:spacing w:line="0" w:lineRule="atLeast"/>
              <w:rPr>
                <w:rFonts w:cstheme="minorBidi"/>
              </w:rPr>
            </w:pPr>
            <w:r w:rsidRPr="3307957E">
              <w:rPr>
                <w:rFonts w:cstheme="minorBidi"/>
              </w:rPr>
              <w:t>Can this act as a potential hydrological connection between two sub-vertical fault systems?</w:t>
            </w:r>
          </w:p>
        </w:tc>
        <w:tc>
          <w:tcPr>
            <w:tcW w:w="1387" w:type="pct"/>
            <w:vMerge/>
          </w:tcPr>
          <w:p w14:paraId="539A1E97" w14:textId="77777777" w:rsidR="003F7219" w:rsidRPr="00D97D44" w:rsidRDefault="003F7219" w:rsidP="003F7219">
            <w:pPr>
              <w:pStyle w:val="TableBullet"/>
              <w:spacing w:line="0" w:lineRule="atLeast"/>
              <w:rPr>
                <w:rFonts w:cstheme="minorHAnsi"/>
              </w:rPr>
            </w:pPr>
          </w:p>
        </w:tc>
      </w:tr>
      <w:tr w:rsidR="003F7219" w:rsidRPr="00B82D7D" w14:paraId="237E91BA" w14:textId="77777777" w:rsidTr="187A5B4A">
        <w:trPr>
          <w:cnfStyle w:val="000000010000" w:firstRow="0" w:lastRow="0" w:firstColumn="0" w:lastColumn="0" w:oddVBand="0" w:evenVBand="0" w:oddHBand="0" w:evenHBand="1" w:firstRowFirstColumn="0" w:firstRowLastColumn="0" w:lastRowFirstColumn="0" w:lastRowLastColumn="0"/>
          <w:trHeight w:val="900"/>
        </w:trPr>
        <w:tc>
          <w:tcPr>
            <w:tcW w:w="851" w:type="pct"/>
          </w:tcPr>
          <w:p w14:paraId="49DD51B4" w14:textId="77777777" w:rsidR="008F0C1E" w:rsidRDefault="008F0C1E" w:rsidP="008F0C1E">
            <w:pPr>
              <w:pStyle w:val="TableText"/>
              <w:rPr>
                <w:rStyle w:val="normaltextrun1"/>
                <w:rFonts w:cstheme="minorHAnsi"/>
                <w:color w:val="000000"/>
              </w:rPr>
            </w:pPr>
            <w:r w:rsidRPr="00D97D44">
              <w:rPr>
                <w:rStyle w:val="normaltextrun1"/>
                <w:rFonts w:cstheme="minorHAnsi" w:hint="eastAsia"/>
                <w:color w:val="000000"/>
              </w:rPr>
              <w:t>④</w:t>
            </w:r>
            <w:r>
              <w:rPr>
                <w:rStyle w:val="normaltextrun1"/>
                <w:rFonts w:cstheme="minorHAnsi"/>
                <w:color w:val="000000"/>
              </w:rPr>
              <w:t xml:space="preserve"> </w:t>
            </w:r>
            <w:r w:rsidRPr="00974496">
              <w:rPr>
                <w:rStyle w:val="normaltextrun1"/>
                <w:rFonts w:cstheme="minorHAnsi"/>
                <w:b/>
                <w:bCs/>
                <w:color w:val="000000"/>
              </w:rPr>
              <w:t>Partial aquitards</w:t>
            </w:r>
          </w:p>
          <w:p w14:paraId="0A2034E6" w14:textId="4A9449F8" w:rsidR="003F7219" w:rsidRPr="00B82D7D" w:rsidRDefault="008F0C1E" w:rsidP="008F0C1E">
            <w:pPr>
              <w:pStyle w:val="TableText"/>
              <w:rPr>
                <w:rFonts w:cstheme="minorHAnsi"/>
              </w:rPr>
            </w:pPr>
            <w:r w:rsidRPr="00B82D7D">
              <w:rPr>
                <w:rFonts w:cstheme="minorHAnsi"/>
              </w:rPr>
              <w:t xml:space="preserve">Migration through aquitards </w:t>
            </w:r>
            <w:r>
              <w:rPr>
                <w:rFonts w:cstheme="minorHAnsi"/>
              </w:rPr>
              <w:t>into</w:t>
            </w:r>
            <w:r w:rsidRPr="00B82D7D">
              <w:rPr>
                <w:rFonts w:cstheme="minorHAnsi"/>
              </w:rPr>
              <w:t xml:space="preserve"> the CLA and basal sandstone zones of Carpentaria Basin (CB)</w:t>
            </w:r>
          </w:p>
        </w:tc>
        <w:tc>
          <w:tcPr>
            <w:tcW w:w="557" w:type="pct"/>
          </w:tcPr>
          <w:p w14:paraId="109A14A7" w14:textId="316DC21F" w:rsidR="003F7219" w:rsidRPr="00B82D7D" w:rsidRDefault="008F0C1E" w:rsidP="00A823F8">
            <w:pPr>
              <w:pStyle w:val="TableText"/>
              <w:rPr>
                <w:rFonts w:cstheme="minorHAnsi"/>
              </w:rPr>
            </w:pPr>
            <w:r w:rsidRPr="00B82D7D">
              <w:rPr>
                <w:rFonts w:cstheme="minorHAnsi"/>
              </w:rPr>
              <w:t xml:space="preserve">Water bores in the aquifer systems </w:t>
            </w:r>
            <w:r>
              <w:rPr>
                <w:rFonts w:cstheme="minorHAnsi"/>
              </w:rPr>
              <w:t>Undifferentiated Neoproterozoic (UN e.g. Bukalara Sandstone)</w:t>
            </w:r>
            <w:r w:rsidRPr="00B82D7D">
              <w:rPr>
                <w:rFonts w:cstheme="minorHAnsi"/>
              </w:rPr>
              <w:t>, CLA and saturated sandstone found in the base of CB</w:t>
            </w:r>
          </w:p>
        </w:tc>
        <w:tc>
          <w:tcPr>
            <w:tcW w:w="1079" w:type="pct"/>
          </w:tcPr>
          <w:p w14:paraId="37DDBCF7" w14:textId="77777777" w:rsidR="008F0C1E" w:rsidRDefault="008F0C1E" w:rsidP="008F0C1E">
            <w:pPr>
              <w:pStyle w:val="TableBullet"/>
              <w:numPr>
                <w:ilvl w:val="0"/>
                <w:numId w:val="0"/>
              </w:numPr>
              <w:ind w:left="21"/>
              <w:rPr>
                <w:rFonts w:cstheme="minorHAnsi"/>
              </w:rPr>
            </w:pPr>
            <w:r w:rsidRPr="00BC097C">
              <w:rPr>
                <w:rFonts w:cstheme="minorHAnsi"/>
              </w:rPr>
              <w:t xml:space="preserve">Hydraulic </w:t>
            </w:r>
            <w:r w:rsidRPr="00D97D44">
              <w:rPr>
                <w:rFonts w:cstheme="minorHAnsi"/>
              </w:rPr>
              <w:t xml:space="preserve">heads measurements in the </w:t>
            </w:r>
            <w:r w:rsidRPr="003B4A19">
              <w:rPr>
                <w:rFonts w:cstheme="minorHAnsi"/>
                <w:color w:val="000000"/>
              </w:rPr>
              <w:t xml:space="preserve">Moroak Sandstone </w:t>
            </w:r>
            <w:r w:rsidRPr="00D97D44">
              <w:rPr>
                <w:rFonts w:cstheme="minorHAnsi"/>
              </w:rPr>
              <w:t xml:space="preserve">indicate enough potential to lift water above the top of the Proterozoic. </w:t>
            </w:r>
          </w:p>
          <w:p w14:paraId="50A7211A" w14:textId="77777777" w:rsidR="008F0C1E" w:rsidRDefault="008F0C1E" w:rsidP="008F0C1E">
            <w:pPr>
              <w:pStyle w:val="TableBullet"/>
              <w:numPr>
                <w:ilvl w:val="0"/>
                <w:numId w:val="0"/>
              </w:numPr>
              <w:ind w:left="21"/>
              <w:rPr>
                <w:rFonts w:cstheme="minorHAnsi"/>
              </w:rPr>
            </w:pPr>
          </w:p>
          <w:p w14:paraId="36ADC653" w14:textId="77777777" w:rsidR="008F0C1E" w:rsidRDefault="008F0C1E" w:rsidP="008F0C1E">
            <w:pPr>
              <w:pStyle w:val="TableBullet"/>
              <w:numPr>
                <w:ilvl w:val="0"/>
                <w:numId w:val="0"/>
              </w:numPr>
              <w:ind w:left="21"/>
              <w:rPr>
                <w:rFonts w:cstheme="minorBidi"/>
              </w:rPr>
            </w:pPr>
            <w:r w:rsidRPr="3C583D25">
              <w:rPr>
                <w:rFonts w:cstheme="minorBidi"/>
              </w:rPr>
              <w:t xml:space="preserve">In addition, the higher hydraulic permeability in </w:t>
            </w:r>
            <w:r w:rsidRPr="3C583D25">
              <w:rPr>
                <w:rFonts w:cstheme="minorBidi"/>
                <w:color w:val="000000"/>
              </w:rPr>
              <w:t>Moroak Sandstone</w:t>
            </w:r>
            <w:r w:rsidRPr="3C583D25">
              <w:rPr>
                <w:rFonts w:cstheme="minorBidi"/>
              </w:rPr>
              <w:t xml:space="preserve"> is inferred to occur near geological structures. </w:t>
            </w:r>
          </w:p>
          <w:p w14:paraId="439E3CDD" w14:textId="77777777" w:rsidR="008F0C1E" w:rsidRPr="00BC097C" w:rsidRDefault="008F0C1E" w:rsidP="008F0C1E">
            <w:pPr>
              <w:pStyle w:val="TableBullet"/>
              <w:numPr>
                <w:ilvl w:val="0"/>
                <w:numId w:val="0"/>
              </w:numPr>
              <w:ind w:left="21"/>
              <w:rPr>
                <w:rFonts w:cstheme="minorHAnsi"/>
              </w:rPr>
            </w:pPr>
          </w:p>
          <w:p w14:paraId="57DDD1B1" w14:textId="2891B48A" w:rsidR="003F7219" w:rsidRPr="00D97D44" w:rsidRDefault="008F0C1E" w:rsidP="008F0C1E">
            <w:pPr>
              <w:pStyle w:val="TableBullet"/>
              <w:numPr>
                <w:ilvl w:val="0"/>
                <w:numId w:val="0"/>
              </w:numPr>
              <w:ind w:left="21"/>
              <w:rPr>
                <w:rFonts w:cstheme="minorHAnsi"/>
              </w:rPr>
            </w:pPr>
            <w:r w:rsidRPr="00D97D44">
              <w:rPr>
                <w:rFonts w:cstheme="minorHAnsi"/>
              </w:rPr>
              <w:t>The presence of oil shows in the Bukalara Sandstone suggest the occurrence of pathways connected to underlying source rocks</w:t>
            </w:r>
          </w:p>
        </w:tc>
        <w:tc>
          <w:tcPr>
            <w:tcW w:w="1126" w:type="pct"/>
          </w:tcPr>
          <w:p w14:paraId="73C2480B" w14:textId="2D92A772" w:rsidR="003F7219" w:rsidRPr="00D97D44" w:rsidRDefault="008F0C1E" w:rsidP="00A823F8">
            <w:pPr>
              <w:pStyle w:val="TableBullet"/>
              <w:numPr>
                <w:ilvl w:val="0"/>
                <w:numId w:val="0"/>
              </w:numPr>
              <w:rPr>
                <w:rFonts w:cstheme="minorHAnsi"/>
              </w:rPr>
            </w:pPr>
            <w:r w:rsidRPr="00D97D44">
              <w:rPr>
                <w:rFonts w:cstheme="minorHAnsi"/>
              </w:rPr>
              <w:t xml:space="preserve">Is there evidence to confirm that fluids or gases migrate vertically and horizontally through the Hayfield </w:t>
            </w:r>
            <w:r>
              <w:rPr>
                <w:rFonts w:cstheme="minorHAnsi"/>
              </w:rPr>
              <w:t>m</w:t>
            </w:r>
            <w:r w:rsidRPr="00D97D44">
              <w:rPr>
                <w:rFonts w:cstheme="minorHAnsi"/>
              </w:rPr>
              <w:t xml:space="preserve">udstone aquitard due to the influence of </w:t>
            </w:r>
            <w:r>
              <w:rPr>
                <w:rFonts w:cstheme="minorHAnsi"/>
              </w:rPr>
              <w:t>geological structures</w:t>
            </w:r>
            <w:r w:rsidRPr="00D97D44">
              <w:rPr>
                <w:rFonts w:cstheme="minorHAnsi"/>
              </w:rPr>
              <w:t>?</w:t>
            </w:r>
          </w:p>
        </w:tc>
        <w:tc>
          <w:tcPr>
            <w:tcW w:w="1387" w:type="pct"/>
            <w:vMerge/>
          </w:tcPr>
          <w:p w14:paraId="7F52B88A" w14:textId="77777777" w:rsidR="003F7219" w:rsidRPr="00D97D44" w:rsidRDefault="003F7219" w:rsidP="003F7219">
            <w:pPr>
              <w:pStyle w:val="TableBullet"/>
              <w:spacing w:line="0" w:lineRule="atLeast"/>
              <w:rPr>
                <w:rFonts w:cstheme="minorHAnsi"/>
              </w:rPr>
            </w:pPr>
          </w:p>
        </w:tc>
      </w:tr>
      <w:tr w:rsidR="001F762E" w:rsidRPr="00B82D7D" w14:paraId="68B4C612" w14:textId="77777777" w:rsidTr="187A5B4A">
        <w:trPr>
          <w:cnfStyle w:val="000000100000" w:firstRow="0" w:lastRow="0" w:firstColumn="0" w:lastColumn="0" w:oddVBand="0" w:evenVBand="0" w:oddHBand="1" w:evenHBand="0" w:firstRowFirstColumn="0" w:firstRowLastColumn="0" w:lastRowFirstColumn="0" w:lastRowLastColumn="0"/>
          <w:trHeight w:val="900"/>
        </w:trPr>
        <w:tc>
          <w:tcPr>
            <w:tcW w:w="851" w:type="pct"/>
          </w:tcPr>
          <w:p w14:paraId="428374AF" w14:textId="77777777" w:rsidR="008F0C1E" w:rsidRDefault="008F0C1E" w:rsidP="008F0C1E">
            <w:pPr>
              <w:pStyle w:val="TableText"/>
              <w:rPr>
                <w:rFonts w:cstheme="minorHAnsi"/>
              </w:rPr>
            </w:pPr>
            <w:r w:rsidRPr="00B82D7D">
              <w:rPr>
                <w:rFonts w:cstheme="minorHAnsi" w:hint="eastAsia"/>
              </w:rPr>
              <w:t>⑤</w:t>
            </w:r>
            <w:r w:rsidRPr="00B82D7D">
              <w:rPr>
                <w:rFonts w:cstheme="minorHAnsi"/>
              </w:rPr>
              <w:t xml:space="preserve"> </w:t>
            </w:r>
            <w:r w:rsidRPr="00C10A18">
              <w:rPr>
                <w:rFonts w:cstheme="minorHAnsi"/>
                <w:b/>
                <w:bCs/>
              </w:rPr>
              <w:t>Groundwater discharge</w:t>
            </w:r>
          </w:p>
          <w:p w14:paraId="49A94F55" w14:textId="48203B3C" w:rsidR="001F762E" w:rsidRPr="00B82D7D" w:rsidRDefault="008F0C1E" w:rsidP="008F0C1E">
            <w:pPr>
              <w:pStyle w:val="TableText"/>
              <w:rPr>
                <w:rFonts w:cstheme="minorHAnsi"/>
              </w:rPr>
            </w:pPr>
            <w:r w:rsidRPr="00BC097C">
              <w:rPr>
                <w:rFonts w:cstheme="minorHAnsi"/>
              </w:rPr>
              <w:t xml:space="preserve">Migration </w:t>
            </w:r>
            <w:r w:rsidRPr="00D97D44">
              <w:rPr>
                <w:rFonts w:cstheme="minorHAnsi"/>
              </w:rPr>
              <w:t>through the karstic CLA aquifer into springs and associated surface water bodies</w:t>
            </w:r>
          </w:p>
        </w:tc>
        <w:tc>
          <w:tcPr>
            <w:tcW w:w="557" w:type="pct"/>
          </w:tcPr>
          <w:p w14:paraId="6C534433" w14:textId="77777777" w:rsidR="008F0C1E" w:rsidRDefault="008F0C1E" w:rsidP="008F0C1E">
            <w:pPr>
              <w:pStyle w:val="TableText"/>
              <w:rPr>
                <w:rFonts w:cstheme="minorHAnsi"/>
              </w:rPr>
            </w:pPr>
            <w:r>
              <w:rPr>
                <w:rFonts w:cstheme="minorHAnsi"/>
              </w:rPr>
              <w:t>Springs that source water from CLA aquifer, including associated surface water bodies and groundwater-dependent ecosystems</w:t>
            </w:r>
          </w:p>
          <w:p w14:paraId="516C54C2" w14:textId="77777777" w:rsidR="008F0C1E" w:rsidRDefault="008F0C1E" w:rsidP="008F0C1E">
            <w:pPr>
              <w:pStyle w:val="TableText"/>
              <w:rPr>
                <w:rFonts w:cstheme="minorHAnsi"/>
              </w:rPr>
            </w:pPr>
            <w:r>
              <w:rPr>
                <w:rFonts w:cstheme="minorHAnsi"/>
              </w:rPr>
              <w:t xml:space="preserve">Users of groundwater from the CLA. </w:t>
            </w:r>
          </w:p>
          <w:p w14:paraId="7F5543A5" w14:textId="516DBEEE" w:rsidR="001F762E" w:rsidRPr="00B82D7D" w:rsidRDefault="001F762E" w:rsidP="001F762E">
            <w:pPr>
              <w:pStyle w:val="TableText"/>
              <w:rPr>
                <w:rFonts w:cstheme="minorHAnsi"/>
              </w:rPr>
            </w:pPr>
          </w:p>
        </w:tc>
        <w:tc>
          <w:tcPr>
            <w:tcW w:w="1079" w:type="pct"/>
          </w:tcPr>
          <w:p w14:paraId="6E18639B" w14:textId="76F348B1" w:rsidR="008F0C1E" w:rsidRPr="00D97D44" w:rsidRDefault="008F0C1E" w:rsidP="008F0C1E">
            <w:pPr>
              <w:pStyle w:val="TableBullet"/>
              <w:numPr>
                <w:ilvl w:val="0"/>
                <w:numId w:val="0"/>
              </w:numPr>
              <w:ind w:left="21"/>
              <w:rPr>
                <w:rFonts w:cstheme="minorHAnsi"/>
              </w:rPr>
            </w:pPr>
            <w:r w:rsidRPr="00BC097C">
              <w:rPr>
                <w:rFonts w:cstheme="minorHAnsi"/>
              </w:rPr>
              <w:t>Hydrological connections inferred from subsurface geometry as shown in cross-section</w:t>
            </w:r>
            <w:r w:rsidRPr="00D97D44">
              <w:rPr>
                <w:rFonts w:cstheme="minorHAnsi"/>
              </w:rPr>
              <w:t xml:space="preserve"> </w:t>
            </w:r>
            <w:r>
              <w:rPr>
                <w:rFonts w:cstheme="minorHAnsi"/>
              </w:rPr>
              <w:t>C-C’</w:t>
            </w:r>
            <w:r w:rsidRPr="00D97D44">
              <w:rPr>
                <w:rFonts w:cstheme="minorHAnsi"/>
              </w:rPr>
              <w:t xml:space="preserve"> (</w:t>
            </w:r>
            <w:r>
              <w:rPr>
                <w:rFonts w:cstheme="minorHAnsi"/>
              </w:rPr>
              <w:fldChar w:fldCharType="begin"/>
            </w:r>
            <w:r>
              <w:rPr>
                <w:rFonts w:cstheme="minorHAnsi"/>
              </w:rPr>
              <w:instrText xml:space="preserve"> REF _Ref34248544 \h </w:instrText>
            </w:r>
            <w:r>
              <w:rPr>
                <w:rFonts w:cstheme="minorHAnsi"/>
              </w:rPr>
            </w:r>
            <w:r>
              <w:rPr>
                <w:rFonts w:cstheme="minorHAnsi"/>
              </w:rPr>
              <w:fldChar w:fldCharType="separate"/>
            </w:r>
            <w:r w:rsidR="00B177F5">
              <w:t xml:space="preserve">Figure </w:t>
            </w:r>
            <w:r w:rsidR="00B177F5">
              <w:rPr>
                <w:noProof/>
              </w:rPr>
              <w:t>44</w:t>
            </w:r>
            <w:r>
              <w:rPr>
                <w:rFonts w:cstheme="minorHAnsi"/>
              </w:rPr>
              <w:fldChar w:fldCharType="end"/>
            </w:r>
            <w:r w:rsidRPr="00BC097C">
              <w:rPr>
                <w:rFonts w:cstheme="minorHAnsi"/>
              </w:rPr>
              <w:t>)</w:t>
            </w:r>
          </w:p>
          <w:p w14:paraId="38B219FC" w14:textId="77777777" w:rsidR="008F0C1E" w:rsidRDefault="008F0C1E" w:rsidP="008F0C1E">
            <w:pPr>
              <w:pStyle w:val="TableBullet"/>
              <w:numPr>
                <w:ilvl w:val="0"/>
                <w:numId w:val="0"/>
              </w:numPr>
              <w:rPr>
                <w:rFonts w:cstheme="minorHAnsi"/>
              </w:rPr>
            </w:pPr>
          </w:p>
          <w:p w14:paraId="239BA8F2" w14:textId="77777777" w:rsidR="008F0C1E" w:rsidRDefault="008F0C1E" w:rsidP="008F0C1E">
            <w:pPr>
              <w:pStyle w:val="TableBullet"/>
              <w:numPr>
                <w:ilvl w:val="0"/>
                <w:numId w:val="0"/>
              </w:numPr>
              <w:rPr>
                <w:rFonts w:cstheme="minorBidi"/>
              </w:rPr>
            </w:pPr>
            <w:r w:rsidRPr="50BA1442">
              <w:rPr>
                <w:rFonts w:cstheme="minorBidi"/>
              </w:rPr>
              <w:t xml:space="preserve">Discharges from CLA aquifer to </w:t>
            </w:r>
            <w:r>
              <w:rPr>
                <w:rFonts w:ascii="Calibri" w:eastAsia="Calibri" w:hAnsi="Calibri" w:cs="Calibri"/>
              </w:rPr>
              <w:t>Mataranka Thermal Pools</w:t>
            </w:r>
            <w:r w:rsidRPr="50BA1442">
              <w:rPr>
                <w:rFonts w:cstheme="minorBidi"/>
              </w:rPr>
              <w:t xml:space="preserve"> </w:t>
            </w:r>
          </w:p>
          <w:p w14:paraId="25AD21EF" w14:textId="77777777" w:rsidR="008F0C1E" w:rsidRDefault="008F0C1E" w:rsidP="008F0C1E">
            <w:pPr>
              <w:pStyle w:val="TableBullet"/>
              <w:numPr>
                <w:ilvl w:val="0"/>
                <w:numId w:val="0"/>
              </w:numPr>
              <w:rPr>
                <w:rFonts w:cstheme="minorBidi"/>
              </w:rPr>
            </w:pPr>
          </w:p>
          <w:p w14:paraId="4BF4EBA4" w14:textId="7DFB9561" w:rsidR="001F762E" w:rsidRPr="00D97D44" w:rsidRDefault="008F0C1E" w:rsidP="008F0C1E">
            <w:pPr>
              <w:pStyle w:val="TableBullet"/>
              <w:numPr>
                <w:ilvl w:val="0"/>
                <w:numId w:val="0"/>
              </w:numPr>
              <w:rPr>
                <w:rFonts w:cstheme="minorHAnsi"/>
              </w:rPr>
            </w:pPr>
            <w:r>
              <w:rPr>
                <w:rFonts w:cstheme="minorBidi"/>
              </w:rPr>
              <w:t>Sinkholes are known areas of localised recharge where CLA outcrops to the north of the Beetaloo GBA region</w:t>
            </w:r>
          </w:p>
        </w:tc>
        <w:tc>
          <w:tcPr>
            <w:tcW w:w="1126" w:type="pct"/>
          </w:tcPr>
          <w:p w14:paraId="1F12AE26" w14:textId="77777777" w:rsidR="008F0C1E" w:rsidRDefault="008F0C1E" w:rsidP="008F0C1E">
            <w:pPr>
              <w:pStyle w:val="TableBullet"/>
              <w:numPr>
                <w:ilvl w:val="0"/>
                <w:numId w:val="0"/>
              </w:numPr>
              <w:ind w:left="170"/>
              <w:rPr>
                <w:rFonts w:cstheme="minorBidi"/>
              </w:rPr>
            </w:pPr>
            <w:r w:rsidRPr="3307957E">
              <w:rPr>
                <w:rFonts w:cstheme="minorBidi"/>
              </w:rPr>
              <w:t xml:space="preserve">Is there sufficient evidence (hydrochemical and environmental tracers) data to confirm connectivity between the CLA system and </w:t>
            </w:r>
            <w:r>
              <w:rPr>
                <w:rFonts w:cstheme="minorBidi"/>
              </w:rPr>
              <w:t>Mataranka Thermal Pools</w:t>
            </w:r>
            <w:r w:rsidRPr="3307957E">
              <w:rPr>
                <w:rFonts w:cstheme="minorBidi"/>
              </w:rPr>
              <w:t>?</w:t>
            </w:r>
          </w:p>
          <w:p w14:paraId="2AAF9E47" w14:textId="77777777" w:rsidR="008F0C1E" w:rsidRDefault="008F0C1E" w:rsidP="008F0C1E">
            <w:pPr>
              <w:pStyle w:val="TableBullet"/>
              <w:numPr>
                <w:ilvl w:val="0"/>
                <w:numId w:val="0"/>
              </w:numPr>
              <w:ind w:left="170"/>
              <w:rPr>
                <w:rFonts w:cstheme="minorBidi"/>
              </w:rPr>
            </w:pPr>
          </w:p>
          <w:p w14:paraId="2E57E5A8" w14:textId="77777777" w:rsidR="008F0C1E" w:rsidRDefault="008F0C1E" w:rsidP="008F0C1E">
            <w:pPr>
              <w:pStyle w:val="TableBullet"/>
              <w:numPr>
                <w:ilvl w:val="0"/>
                <w:numId w:val="0"/>
              </w:numPr>
              <w:ind w:left="170"/>
              <w:rPr>
                <w:rFonts w:cstheme="minorBidi"/>
              </w:rPr>
            </w:pPr>
            <w:r w:rsidRPr="3307957E">
              <w:rPr>
                <w:rFonts w:cstheme="minorBidi"/>
              </w:rPr>
              <w:t xml:space="preserve">What are relative source contributions from different parts of CLA to the </w:t>
            </w:r>
            <w:r>
              <w:rPr>
                <w:rFonts w:cstheme="minorBidi"/>
              </w:rPr>
              <w:t>Mataranka Thermal Pools</w:t>
            </w:r>
            <w:r w:rsidRPr="3307957E">
              <w:rPr>
                <w:rFonts w:cstheme="minorBidi"/>
              </w:rPr>
              <w:t>?</w:t>
            </w:r>
          </w:p>
          <w:p w14:paraId="7D122C07" w14:textId="77777777" w:rsidR="008F0C1E" w:rsidRDefault="008F0C1E" w:rsidP="008F0C1E">
            <w:pPr>
              <w:pStyle w:val="TableBullet"/>
              <w:numPr>
                <w:ilvl w:val="0"/>
                <w:numId w:val="0"/>
              </w:numPr>
              <w:ind w:left="170"/>
              <w:rPr>
                <w:rFonts w:cstheme="minorHAnsi"/>
              </w:rPr>
            </w:pPr>
          </w:p>
          <w:p w14:paraId="0E00CAEC" w14:textId="3D300C1E" w:rsidR="001F762E" w:rsidRPr="00D97D44" w:rsidRDefault="008F0C1E" w:rsidP="008F0C1E">
            <w:pPr>
              <w:pStyle w:val="TableBullet"/>
              <w:numPr>
                <w:ilvl w:val="0"/>
                <w:numId w:val="0"/>
              </w:numPr>
              <w:ind w:left="170"/>
              <w:rPr>
                <w:rFonts w:cstheme="minorBidi"/>
                <w:highlight w:val="cyan"/>
              </w:rPr>
            </w:pPr>
            <w:r w:rsidRPr="74049BA7">
              <w:rPr>
                <w:rFonts w:cstheme="minorBidi"/>
              </w:rPr>
              <w:t>Where are preferential recharge pathways to CLA likely to occur?</w:t>
            </w:r>
          </w:p>
        </w:tc>
        <w:tc>
          <w:tcPr>
            <w:tcW w:w="1387" w:type="pct"/>
          </w:tcPr>
          <w:p w14:paraId="27D29B2C" w14:textId="77777777" w:rsidR="008F0C1E" w:rsidRPr="00CD38A0" w:rsidRDefault="008F0C1E" w:rsidP="008F0C1E">
            <w:pPr>
              <w:pStyle w:val="TableBullet"/>
              <w:numPr>
                <w:ilvl w:val="0"/>
                <w:numId w:val="0"/>
              </w:numPr>
              <w:ind w:left="170" w:hanging="170"/>
              <w:rPr>
                <w:rFonts w:cstheme="minorHAnsi"/>
                <w:b/>
              </w:rPr>
            </w:pPr>
            <w:r w:rsidRPr="00CD38A0">
              <w:rPr>
                <w:rFonts w:cstheme="minorHAnsi"/>
                <w:b/>
              </w:rPr>
              <w:t>Stage 3</w:t>
            </w:r>
          </w:p>
          <w:p w14:paraId="5597BE93" w14:textId="77777777" w:rsidR="008F0C1E" w:rsidRPr="00F7169D" w:rsidRDefault="008F0C1E" w:rsidP="008F0C1E">
            <w:pPr>
              <w:pStyle w:val="TableBullet"/>
            </w:pPr>
            <w:r w:rsidRPr="00F7169D">
              <w:rPr>
                <w:rFonts w:cstheme="minorBidi"/>
              </w:rPr>
              <w:t xml:space="preserve">Carry out a sampling campaign to constrain the aquifer sources </w:t>
            </w:r>
            <w:r w:rsidRPr="00F7169D">
              <w:t>and groundwater flow to the</w:t>
            </w:r>
            <w:r w:rsidRPr="00F7169D">
              <w:rPr>
                <w:rFonts w:cstheme="minorBidi"/>
              </w:rPr>
              <w:t xml:space="preserve"> </w:t>
            </w:r>
            <w:r w:rsidRPr="00F7169D">
              <w:t>Mataranka Thermal Pools</w:t>
            </w:r>
          </w:p>
          <w:p w14:paraId="3976F434" w14:textId="77777777" w:rsidR="008F0C1E" w:rsidRDefault="008F0C1E" w:rsidP="008F0C1E">
            <w:pPr>
              <w:pStyle w:val="TableBullet"/>
            </w:pPr>
            <w:r w:rsidRPr="00F7169D">
              <w:t>Identify areas where sinkholes are likely to be present near surface in Beetaloo GBA region</w:t>
            </w:r>
          </w:p>
          <w:p w14:paraId="238350D3" w14:textId="77777777" w:rsidR="008F0C1E" w:rsidRDefault="008F0C1E" w:rsidP="008F0C1E">
            <w:pPr>
              <w:pStyle w:val="TableBullet"/>
            </w:pPr>
            <w:r w:rsidRPr="00F7169D">
              <w:t>Indicate thickness of cover (i.e. Carpentaria Basin above the Cambrian Limestone Aquifer) across the Beetaloo GBA region</w:t>
            </w:r>
          </w:p>
          <w:p w14:paraId="4F757921" w14:textId="7FC071A2" w:rsidR="001F762E" w:rsidRPr="00F7169D" w:rsidRDefault="008F0C1E" w:rsidP="008F0C1E">
            <w:pPr>
              <w:pStyle w:val="TableBullet"/>
            </w:pPr>
            <w:r>
              <w:t>Assessment of spill and contaminate transport</w:t>
            </w:r>
          </w:p>
        </w:tc>
      </w:tr>
    </w:tbl>
    <w:p w14:paraId="6C5E32DC" w14:textId="77777777" w:rsidR="008F0C1E" w:rsidRPr="003054BD" w:rsidRDefault="008F0C1E" w:rsidP="008F0C1E">
      <w:pPr>
        <w:pStyle w:val="SourceornoteforTableorFigure"/>
      </w:pPr>
      <w:r>
        <w:t xml:space="preserve">CB = Carpentaria Basin; </w:t>
      </w:r>
      <w:r w:rsidRPr="00397577">
        <w:t>CLA = Cambrian Limestone Aquifers</w:t>
      </w:r>
      <w:r>
        <w:t xml:space="preserve">; </w:t>
      </w:r>
      <w:r w:rsidRPr="00397577">
        <w:t xml:space="preserve">GDE = groundwater-dependent ecosystem; </w:t>
      </w:r>
      <w:r>
        <w:t xml:space="preserve">UN = undifferentiated Proterozoic; GRF = </w:t>
      </w:r>
      <w:r w:rsidRPr="00E21AAE">
        <w:t>Gum Ridge Formation and equivalents (lower CLA); ALF</w:t>
      </w:r>
      <w:r>
        <w:t xml:space="preserve"> =</w:t>
      </w:r>
      <w:r w:rsidRPr="00E21AAE">
        <w:t xml:space="preserve"> Anthony Lagoon Formation and equivalents (upper CLA)</w:t>
      </w:r>
    </w:p>
    <w:p w14:paraId="2BBB4813" w14:textId="77777777" w:rsidR="009F31F9" w:rsidRDefault="009F31F9" w:rsidP="00610170">
      <w:pPr>
        <w:pStyle w:val="BodyText"/>
        <w:sectPr w:rsidR="009F31F9" w:rsidSect="000E743C">
          <w:headerReference w:type="default" r:id="rId115"/>
          <w:pgSz w:w="23811" w:h="16838" w:orient="landscape" w:code="8"/>
          <w:pgMar w:top="1134" w:right="1134" w:bottom="1134" w:left="1247" w:header="510" w:footer="624" w:gutter="0"/>
          <w:cols w:space="284"/>
          <w:docGrid w:linePitch="360"/>
        </w:sectPr>
      </w:pPr>
    </w:p>
    <w:p w14:paraId="7473F56B" w14:textId="6ED932EB" w:rsidR="00001437" w:rsidRPr="003E1F1E" w:rsidRDefault="00836145" w:rsidP="00001437">
      <w:pPr>
        <w:pStyle w:val="Heading2"/>
      </w:pPr>
      <w:bookmarkStart w:id="1022" w:name="_Toc5781618"/>
      <w:bookmarkStart w:id="1023" w:name="_Toc5783044"/>
      <w:bookmarkStart w:id="1024" w:name="_Toc5786068"/>
      <w:bookmarkStart w:id="1025" w:name="_Toc5786829"/>
      <w:bookmarkStart w:id="1026" w:name="_Toc5795564"/>
      <w:bookmarkStart w:id="1027" w:name="_Toc5795781"/>
      <w:bookmarkStart w:id="1028" w:name="_Toc5795860"/>
      <w:bookmarkStart w:id="1029" w:name="_Toc5796263"/>
      <w:bookmarkStart w:id="1030" w:name="_Toc5796875"/>
      <w:bookmarkStart w:id="1031" w:name="_Toc5800460"/>
      <w:bookmarkStart w:id="1032" w:name="_Toc5800541"/>
      <w:bookmarkStart w:id="1033" w:name="_Toc5800944"/>
      <w:bookmarkStart w:id="1034" w:name="_Toc5801292"/>
      <w:bookmarkStart w:id="1035" w:name="_Toc5801364"/>
      <w:bookmarkStart w:id="1036" w:name="_Toc5801613"/>
      <w:bookmarkStart w:id="1037" w:name="_Toc5802874"/>
      <w:bookmarkStart w:id="1038" w:name="_Toc5802952"/>
      <w:bookmarkStart w:id="1039" w:name="_Toc5804963"/>
      <w:bookmarkStart w:id="1040" w:name="_Toc5805055"/>
      <w:bookmarkStart w:id="1041" w:name="_Toc5805133"/>
      <w:bookmarkStart w:id="1042" w:name="_Toc5805495"/>
      <w:bookmarkStart w:id="1043" w:name="_Toc5805369"/>
      <w:bookmarkStart w:id="1044" w:name="_Toc5805761"/>
      <w:bookmarkStart w:id="1045" w:name="_Toc5808221"/>
      <w:bookmarkStart w:id="1046" w:name="_Toc5808785"/>
      <w:bookmarkStart w:id="1047" w:name="_Toc5808862"/>
      <w:bookmarkStart w:id="1048" w:name="_Toc5894911"/>
      <w:bookmarkStart w:id="1049" w:name="_Toc5894988"/>
      <w:bookmarkStart w:id="1050" w:name="_Toc5895065"/>
      <w:bookmarkStart w:id="1051" w:name="_Toc5895370"/>
      <w:bookmarkStart w:id="1052" w:name="_Toc5895487"/>
      <w:bookmarkStart w:id="1053" w:name="_Toc5895603"/>
      <w:bookmarkStart w:id="1054" w:name="_Toc5895922"/>
      <w:bookmarkStart w:id="1055" w:name="_Toc6308311"/>
      <w:bookmarkStart w:id="1056" w:name="_Toc6308877"/>
      <w:bookmarkStart w:id="1057" w:name="_Toc6308953"/>
      <w:bookmarkStart w:id="1058" w:name="_Toc6309029"/>
      <w:bookmarkStart w:id="1059" w:name="_Toc6309481"/>
      <w:bookmarkStart w:id="1060" w:name="_Toc6314523"/>
      <w:bookmarkStart w:id="1061" w:name="_Toc6314998"/>
      <w:bookmarkStart w:id="1062" w:name="_Toc6315563"/>
      <w:bookmarkStart w:id="1063" w:name="_Toc6316804"/>
      <w:bookmarkStart w:id="1064" w:name="_Toc6316880"/>
      <w:bookmarkStart w:id="1065" w:name="_Toc6316956"/>
      <w:bookmarkStart w:id="1066" w:name="_Toc6317489"/>
      <w:bookmarkStart w:id="1067" w:name="_Toc6317728"/>
      <w:bookmarkStart w:id="1068" w:name="_Toc6317178"/>
      <w:bookmarkStart w:id="1069" w:name="_Toc6318115"/>
      <w:bookmarkStart w:id="1070" w:name="_Toc6319118"/>
      <w:bookmarkStart w:id="1071" w:name="_Toc6319146"/>
      <w:bookmarkStart w:id="1072" w:name="_Toc6320548"/>
      <w:bookmarkStart w:id="1073" w:name="_Toc6321378"/>
      <w:bookmarkStart w:id="1074" w:name="_Toc6321482"/>
      <w:bookmarkStart w:id="1075" w:name="_Toc6322736"/>
      <w:bookmarkStart w:id="1076" w:name="_Toc6323218"/>
      <w:bookmarkStart w:id="1077" w:name="_Toc6323491"/>
      <w:bookmarkStart w:id="1078" w:name="_Toc6323595"/>
      <w:bookmarkStart w:id="1079" w:name="_Toc6323670"/>
      <w:bookmarkStart w:id="1080" w:name="_Toc6323784"/>
      <w:bookmarkStart w:id="1081" w:name="_Toc6323961"/>
      <w:bookmarkStart w:id="1082" w:name="_Toc6324497"/>
      <w:bookmarkStart w:id="1083" w:name="_Toc6324734"/>
      <w:bookmarkStart w:id="1084" w:name="_Toc6324809"/>
      <w:bookmarkStart w:id="1085" w:name="_Toc6324884"/>
      <w:bookmarkStart w:id="1086" w:name="_Toc6325069"/>
      <w:bookmarkStart w:id="1087" w:name="_Toc6325194"/>
      <w:bookmarkStart w:id="1088" w:name="_Toc6325269"/>
      <w:bookmarkStart w:id="1089" w:name="_Toc6325367"/>
      <w:bookmarkStart w:id="1090" w:name="_Toc6325578"/>
      <w:bookmarkStart w:id="1091" w:name="_Toc6325750"/>
      <w:bookmarkStart w:id="1092" w:name="_Toc6325825"/>
      <w:bookmarkStart w:id="1093" w:name="_Toc6325932"/>
      <w:bookmarkStart w:id="1094" w:name="_Toc6326180"/>
      <w:bookmarkStart w:id="1095" w:name="_Toc6326282"/>
      <w:bookmarkStart w:id="1096" w:name="_Toc6326357"/>
      <w:bookmarkStart w:id="1097" w:name="_Toc6326433"/>
      <w:bookmarkStart w:id="1098" w:name="_Toc6327450"/>
      <w:bookmarkStart w:id="1099" w:name="_Toc6327525"/>
      <w:bookmarkStart w:id="1100" w:name="_Toc6327617"/>
      <w:bookmarkStart w:id="1101" w:name="_Toc6329099"/>
      <w:bookmarkStart w:id="1102" w:name="_Toc5808372"/>
      <w:bookmarkStart w:id="1103" w:name="_Toc5895066"/>
      <w:bookmarkStart w:id="1104" w:name="_Toc6308954"/>
      <w:bookmarkStart w:id="1105" w:name="_Toc6327618"/>
      <w:bookmarkStart w:id="1106" w:name="_Toc38990448"/>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r w:rsidRPr="003E1F1E">
        <w:rPr>
          <w:rStyle w:val="normaltextrun1"/>
        </w:rPr>
        <w:t>C</w:t>
      </w:r>
      <w:r w:rsidR="00001437" w:rsidRPr="003E1F1E">
        <w:rPr>
          <w:rStyle w:val="normaltextrun1"/>
        </w:rPr>
        <w:t>onclusions</w:t>
      </w:r>
      <w:bookmarkEnd w:id="1102"/>
      <w:bookmarkEnd w:id="1103"/>
      <w:bookmarkEnd w:id="1104"/>
      <w:bookmarkEnd w:id="1105"/>
      <w:bookmarkEnd w:id="1106"/>
    </w:p>
    <w:p w14:paraId="1F9AFF10" w14:textId="0993655E" w:rsidR="00001437" w:rsidRPr="003E1F1E" w:rsidRDefault="50BA1442" w:rsidP="000F0F6A">
      <w:pPr>
        <w:pStyle w:val="BodyText"/>
      </w:pPr>
      <w:r w:rsidRPr="50BA1442">
        <w:rPr>
          <w:rStyle w:val="eop"/>
          <w:rFonts w:eastAsiaTheme="minorEastAsia" w:cstheme="minorBidi"/>
          <w:lang w:val="en-US" w:eastAsia="en-US"/>
        </w:rPr>
        <w:t xml:space="preserve">This </w:t>
      </w:r>
      <w:r w:rsidRPr="50BA1442">
        <w:rPr>
          <w:rStyle w:val="eop"/>
          <w:lang w:val="en-US"/>
        </w:rPr>
        <w:t xml:space="preserve">investigation </w:t>
      </w:r>
      <w:r w:rsidRPr="50BA1442">
        <w:rPr>
          <w:rStyle w:val="eop"/>
          <w:rFonts w:eastAsiaTheme="minorEastAsia" w:cstheme="minorBidi"/>
          <w:lang w:val="en-US" w:eastAsia="en-US"/>
        </w:rPr>
        <w:t xml:space="preserve">has </w:t>
      </w:r>
      <w:r w:rsidRPr="50BA1442">
        <w:rPr>
          <w:rStyle w:val="eop"/>
          <w:lang w:val="en-US"/>
        </w:rPr>
        <w:t xml:space="preserve">involved collation, analysis and interpretation of the </w:t>
      </w:r>
      <w:r w:rsidRPr="50BA1442">
        <w:rPr>
          <w:rStyle w:val="eop"/>
          <w:rFonts w:eastAsiaTheme="minorEastAsia" w:cstheme="minorBidi"/>
          <w:lang w:val="en-US" w:eastAsia="en-US"/>
        </w:rPr>
        <w:t xml:space="preserve">existing </w:t>
      </w:r>
      <w:r w:rsidRPr="50BA1442">
        <w:rPr>
          <w:rStyle w:val="eop"/>
          <w:lang w:val="en-US"/>
        </w:rPr>
        <w:t xml:space="preserve">geoscience </w:t>
      </w:r>
      <w:r w:rsidRPr="50BA1442">
        <w:rPr>
          <w:rStyle w:val="eop"/>
          <w:rFonts w:eastAsiaTheme="minorEastAsia" w:cstheme="minorBidi"/>
          <w:lang w:val="en-US" w:eastAsia="en-US"/>
        </w:rPr>
        <w:t xml:space="preserve">datasets and literature to develop a </w:t>
      </w:r>
      <w:r w:rsidRPr="50BA1442">
        <w:rPr>
          <w:rStyle w:val="eop"/>
          <w:lang w:val="en-US"/>
        </w:rPr>
        <w:t>regional</w:t>
      </w:r>
      <w:r w:rsidR="00532ABF">
        <w:rPr>
          <w:rStyle w:val="eop"/>
          <w:lang w:val="en-US"/>
        </w:rPr>
        <w:t>-</w:t>
      </w:r>
      <w:r w:rsidRPr="50BA1442">
        <w:rPr>
          <w:rStyle w:val="eop"/>
          <w:lang w:val="en-US"/>
        </w:rPr>
        <w:t>scale</w:t>
      </w:r>
      <w:r w:rsidRPr="50BA1442">
        <w:rPr>
          <w:rStyle w:val="eop"/>
          <w:rFonts w:eastAsiaTheme="minorEastAsia" w:cstheme="minorBidi"/>
          <w:lang w:val="en-US" w:eastAsia="en-US"/>
        </w:rPr>
        <w:t xml:space="preserve"> understanding of groundwater systems</w:t>
      </w:r>
      <w:r w:rsidRPr="50BA1442">
        <w:rPr>
          <w:rStyle w:val="eop"/>
          <w:lang w:val="en-US"/>
        </w:rPr>
        <w:t xml:space="preserve"> in the </w:t>
      </w:r>
      <w:r w:rsidR="00A23F94">
        <w:rPr>
          <w:rStyle w:val="eop"/>
          <w:lang w:val="en-US"/>
        </w:rPr>
        <w:t xml:space="preserve">extended </w:t>
      </w:r>
      <w:r w:rsidRPr="50BA1442">
        <w:rPr>
          <w:rStyle w:val="eop"/>
          <w:lang w:val="en-US"/>
        </w:rPr>
        <w:t>Beetaloo GBA region. It provides information on the extent of aquifers and aquitards, groundwater processes and flow dynamics, groundwater hydrochemistry, inter-aquifer connectivity, and surface water</w:t>
      </w:r>
      <w:r w:rsidR="00532ABF">
        <w:rPr>
          <w:rStyle w:val="eop"/>
          <w:lang w:val="en-US"/>
        </w:rPr>
        <w:t xml:space="preserve"> – </w:t>
      </w:r>
      <w:r w:rsidRPr="50BA1442">
        <w:rPr>
          <w:rStyle w:val="eop"/>
          <w:lang w:val="en-US"/>
        </w:rPr>
        <w:t xml:space="preserve">groundwater interactions. Key project conclusions are provided </w:t>
      </w:r>
      <w:r w:rsidR="00532ABF">
        <w:rPr>
          <w:rStyle w:val="eop"/>
          <w:lang w:val="en-US"/>
        </w:rPr>
        <w:t>in the following sections</w:t>
      </w:r>
      <w:r w:rsidRPr="50BA1442">
        <w:rPr>
          <w:rStyle w:val="eop"/>
          <w:lang w:val="en-US"/>
        </w:rPr>
        <w:t>.</w:t>
      </w:r>
    </w:p>
    <w:p w14:paraId="1837BF96" w14:textId="268D0B6A" w:rsidR="00001437" w:rsidRPr="003E1F1E" w:rsidRDefault="00001437" w:rsidP="00957BD7">
      <w:pPr>
        <w:pStyle w:val="Heading3"/>
      </w:pPr>
      <w:bookmarkStart w:id="1107" w:name="_Toc5808373"/>
      <w:bookmarkStart w:id="1108" w:name="_Toc5895067"/>
      <w:bookmarkStart w:id="1109" w:name="_Toc6308955"/>
      <w:bookmarkStart w:id="1110" w:name="_Toc6327619"/>
      <w:bookmarkStart w:id="1111" w:name="_Toc38990449"/>
      <w:r w:rsidRPr="003E1F1E">
        <w:rPr>
          <w:rStyle w:val="normaltextrun1"/>
        </w:rPr>
        <w:t xml:space="preserve">Regional </w:t>
      </w:r>
      <w:r w:rsidR="0071633B">
        <w:rPr>
          <w:rStyle w:val="normaltextrun1"/>
        </w:rPr>
        <w:t>g</w:t>
      </w:r>
      <w:r w:rsidRPr="003E1F1E">
        <w:rPr>
          <w:rStyle w:val="normaltextrun1"/>
        </w:rPr>
        <w:t>roundwater systems</w:t>
      </w:r>
      <w:bookmarkEnd w:id="1107"/>
      <w:bookmarkEnd w:id="1108"/>
      <w:bookmarkEnd w:id="1109"/>
      <w:bookmarkEnd w:id="1110"/>
      <w:bookmarkEnd w:id="1111"/>
    </w:p>
    <w:p w14:paraId="01BCB0FE" w14:textId="3C714897" w:rsidR="007F1D34" w:rsidRDefault="007F1D34" w:rsidP="002A0E76">
      <w:pPr>
        <w:pStyle w:val="BodyText"/>
      </w:pPr>
      <w:r>
        <w:t xml:space="preserve">The hydrogeology of the Beetaloo GBA region is characterised by a complex series of stacked sedimentary basins in which </w:t>
      </w:r>
      <w:r w:rsidR="00546EC2">
        <w:t>four</w:t>
      </w:r>
      <w:r w:rsidR="00F73021">
        <w:t xml:space="preserve"> individual groundwater sub-systems </w:t>
      </w:r>
      <w:r w:rsidR="000F0F6A">
        <w:t xml:space="preserve">have been identified. They are: </w:t>
      </w:r>
    </w:p>
    <w:p w14:paraId="65CE1FAB" w14:textId="6D0684AF" w:rsidR="00F73021" w:rsidRDefault="00F73021" w:rsidP="008A3884">
      <w:pPr>
        <w:pStyle w:val="ListBullet"/>
        <w:rPr>
          <w:rFonts w:eastAsiaTheme="minorHAnsi"/>
        </w:rPr>
      </w:pPr>
      <w:r>
        <w:t xml:space="preserve">Sedimentary rocks of the Paleoproterozoic Roper Group (host to </w:t>
      </w:r>
      <w:r w:rsidR="00A23F94">
        <w:t xml:space="preserve">shale gas </w:t>
      </w:r>
      <w:r>
        <w:t xml:space="preserve">hydrocarbon plays of the Velkerri and Kyalla </w:t>
      </w:r>
      <w:r w:rsidR="00BB6D37">
        <w:t>f</w:t>
      </w:r>
      <w:r>
        <w:t>ormations)</w:t>
      </w:r>
      <w:r w:rsidR="00507DF3">
        <w:t xml:space="preserve">. </w:t>
      </w:r>
      <w:r w:rsidR="003E5248">
        <w:t>Whil</w:t>
      </w:r>
      <w:r w:rsidR="00A00A2A">
        <w:t>e</w:t>
      </w:r>
      <w:r w:rsidR="003E5248">
        <w:t xml:space="preserve"> t</w:t>
      </w:r>
      <w:r w:rsidR="00AA6CCA">
        <w:t>he group typically exhibits aquitard</w:t>
      </w:r>
      <w:r w:rsidR="00507DF3">
        <w:t xml:space="preserve"> </w:t>
      </w:r>
      <w:r w:rsidR="003E5248">
        <w:t>properties, t</w:t>
      </w:r>
      <w:r w:rsidR="00AA6CCA">
        <w:t xml:space="preserve">he </w:t>
      </w:r>
      <w:r w:rsidR="00507DF3">
        <w:t>Moroak Sandstone has been identified as a</w:t>
      </w:r>
      <w:r w:rsidR="003E5248">
        <w:t xml:space="preserve"> potential</w:t>
      </w:r>
      <w:r w:rsidR="00507DF3">
        <w:t xml:space="preserve"> aquifer</w:t>
      </w:r>
      <w:r w:rsidR="004D405D">
        <w:t>. These units are intruded in places by the Derim Derim Dolerite</w:t>
      </w:r>
    </w:p>
    <w:p w14:paraId="2FA1CE7F" w14:textId="25275319" w:rsidR="00F73021" w:rsidRDefault="00944150" w:rsidP="008A3884">
      <w:pPr>
        <w:pStyle w:val="ListBullet"/>
      </w:pPr>
      <w:r>
        <w:rPr>
          <w:rStyle w:val="normaltextrun1"/>
        </w:rPr>
        <w:t xml:space="preserve">Neoproterozoic aquifers (Jamison and Bukalara </w:t>
      </w:r>
      <w:r w:rsidR="00475782">
        <w:rPr>
          <w:rStyle w:val="normaltextrun1"/>
        </w:rPr>
        <w:t>sandstones</w:t>
      </w:r>
      <w:r>
        <w:rPr>
          <w:rStyle w:val="normaltextrun1"/>
        </w:rPr>
        <w:t xml:space="preserve">) and regional aquitards (Hayfield </w:t>
      </w:r>
      <w:r w:rsidR="00475782">
        <w:rPr>
          <w:rStyle w:val="normaltextrun1"/>
        </w:rPr>
        <w:t xml:space="preserve">mudstone </w:t>
      </w:r>
      <w:r>
        <w:rPr>
          <w:rStyle w:val="normaltextrun1"/>
        </w:rPr>
        <w:t>and the Cox Formation)</w:t>
      </w:r>
    </w:p>
    <w:p w14:paraId="6D7B9CC6" w14:textId="6BA369D8" w:rsidR="00F73021" w:rsidRDefault="008640AA" w:rsidP="008A3884">
      <w:pPr>
        <w:pStyle w:val="ListBullet"/>
      </w:pPr>
      <w:r>
        <w:t xml:space="preserve">The Cambrian Antrim Plateau Volcanics </w:t>
      </w:r>
      <w:r w:rsidR="004D405D">
        <w:t>regional aquitard</w:t>
      </w:r>
      <w:r w:rsidR="00872E29">
        <w:t>,</w:t>
      </w:r>
      <w:r w:rsidR="004976C9">
        <w:t xml:space="preserve"> and </w:t>
      </w:r>
      <w:r w:rsidR="00872E29">
        <w:t xml:space="preserve">the principal groundwater source in Beetaloo GBA region, </w:t>
      </w:r>
      <w:r w:rsidR="004976C9">
        <w:t xml:space="preserve">the </w:t>
      </w:r>
      <w:r>
        <w:t xml:space="preserve">overlying </w:t>
      </w:r>
      <w:r w:rsidR="00F73021">
        <w:t>Cambrian Limestone Aquifer system</w:t>
      </w:r>
    </w:p>
    <w:p w14:paraId="3A3A5270" w14:textId="339C6946" w:rsidR="00F73021" w:rsidRDefault="00F73021" w:rsidP="008A3884">
      <w:pPr>
        <w:pStyle w:val="ListBullet"/>
      </w:pPr>
      <w:r>
        <w:t xml:space="preserve">Cretaceous </w:t>
      </w:r>
      <w:r w:rsidR="00944150">
        <w:t xml:space="preserve">Carpentaria Basin </w:t>
      </w:r>
      <w:r>
        <w:t xml:space="preserve">sedimentary rocks </w:t>
      </w:r>
      <w:r w:rsidR="00166C40">
        <w:t xml:space="preserve">and Cenozoic sediments, which are </w:t>
      </w:r>
      <w:r>
        <w:t>generally unsaturated</w:t>
      </w:r>
      <w:r w:rsidR="00816B38">
        <w:t xml:space="preserve">. Local aquifer </w:t>
      </w:r>
      <w:r w:rsidR="00A23F94">
        <w:t xml:space="preserve">may occur near surface </w:t>
      </w:r>
      <w:r w:rsidR="00816B38">
        <w:t xml:space="preserve">perched above the regional watertable. </w:t>
      </w:r>
    </w:p>
    <w:p w14:paraId="147981F8" w14:textId="74A065B7" w:rsidR="00001437" w:rsidRPr="00957BD7" w:rsidRDefault="00001437" w:rsidP="00957BD7">
      <w:pPr>
        <w:pStyle w:val="Heading4"/>
      </w:pPr>
      <w:r w:rsidRPr="00957BD7">
        <w:rPr>
          <w:rStyle w:val="normaltextrun1"/>
        </w:rPr>
        <w:t>Roper Group</w:t>
      </w:r>
    </w:p>
    <w:p w14:paraId="147BD15A" w14:textId="6EA2B51B" w:rsidR="00001437" w:rsidRDefault="37D398EC" w:rsidP="002A0E76">
      <w:pPr>
        <w:pStyle w:val="BodyText"/>
        <w:rPr>
          <w:rStyle w:val="normaltextrun1"/>
        </w:rPr>
      </w:pPr>
      <w:r w:rsidRPr="687386F2">
        <w:rPr>
          <w:rStyle w:val="normaltextrun1"/>
        </w:rPr>
        <w:t>The sandstones and mudstones of the Roper Group are generally of low permeability and are typically aquitards. The exceptions to this are the Moroak Sandstone and the Bessie Creek Sandstone</w:t>
      </w:r>
      <w:r w:rsidR="00532ABF" w:rsidRPr="687386F2">
        <w:rPr>
          <w:rStyle w:val="normaltextrun1"/>
        </w:rPr>
        <w:t>,</w:t>
      </w:r>
      <w:r w:rsidRPr="687386F2">
        <w:rPr>
          <w:rStyle w:val="normaltextrun1"/>
        </w:rPr>
        <w:t xml:space="preserve"> which is considered a local fractured indurated rock aquifer with variable hydrogeological character. Collectively, these sandstones are not seen as effective groundwater systems but do contain locally anomalous higher permeability and pressured system</w:t>
      </w:r>
      <w:r w:rsidR="453D2754" w:rsidRPr="687386F2">
        <w:rPr>
          <w:rStyle w:val="normaltextrun1"/>
        </w:rPr>
        <w:t xml:space="preserve">s, potentially with </w:t>
      </w:r>
      <w:r w:rsidRPr="687386F2">
        <w:rPr>
          <w:rStyle w:val="normaltextrun1"/>
        </w:rPr>
        <w:t xml:space="preserve">upward directed pressure gradients in areas </w:t>
      </w:r>
      <w:r w:rsidR="00532ABF" w:rsidRPr="687386F2">
        <w:rPr>
          <w:rStyle w:val="normaltextrun1"/>
        </w:rPr>
        <w:t>‘</w:t>
      </w:r>
      <w:r w:rsidRPr="687386F2">
        <w:rPr>
          <w:rStyle w:val="normaltextrun1"/>
        </w:rPr>
        <w:t>on structure</w:t>
      </w:r>
      <w:r w:rsidR="00532ABF" w:rsidRPr="687386F2">
        <w:rPr>
          <w:rStyle w:val="normaltextrun1"/>
        </w:rPr>
        <w:t>’</w:t>
      </w:r>
      <w:r w:rsidRPr="687386F2">
        <w:rPr>
          <w:rStyle w:val="normaltextrun1"/>
        </w:rPr>
        <w:t>.</w:t>
      </w:r>
    </w:p>
    <w:p w14:paraId="44439245" w14:textId="2D888FC9" w:rsidR="00001437" w:rsidRDefault="00001437" w:rsidP="002A0E76">
      <w:pPr>
        <w:pStyle w:val="BodyText"/>
        <w:rPr>
          <w:rStyle w:val="normaltextrun1"/>
        </w:rPr>
      </w:pPr>
      <w:r>
        <w:rPr>
          <w:rStyle w:val="normaltextrun1"/>
        </w:rPr>
        <w:t xml:space="preserve">The </w:t>
      </w:r>
      <w:r>
        <w:rPr>
          <w:rStyle w:val="spellingerror"/>
        </w:rPr>
        <w:t>Velkerri</w:t>
      </w:r>
      <w:r>
        <w:rPr>
          <w:rStyle w:val="normaltextrun1"/>
        </w:rPr>
        <w:t xml:space="preserve"> and </w:t>
      </w:r>
      <w:r>
        <w:rPr>
          <w:rStyle w:val="spellingerror"/>
        </w:rPr>
        <w:t>Kyalla</w:t>
      </w:r>
      <w:r>
        <w:rPr>
          <w:rStyle w:val="normaltextrun1"/>
        </w:rPr>
        <w:t xml:space="preserve"> formations are regional aquitards (</w:t>
      </w:r>
      <w:r>
        <w:rPr>
          <w:rStyle w:val="normaltextrun1"/>
          <w:shd w:val="clear" w:color="auto" w:fill="E1E3E6"/>
        </w:rPr>
        <w:t>Figure 5</w:t>
      </w:r>
      <w:r>
        <w:rPr>
          <w:rStyle w:val="normaltextrun1"/>
        </w:rPr>
        <w:t xml:space="preserve">) and represent the </w:t>
      </w:r>
      <w:r w:rsidR="00816B38">
        <w:rPr>
          <w:rStyle w:val="normaltextrun1"/>
        </w:rPr>
        <w:t xml:space="preserve">main shale </w:t>
      </w:r>
      <w:r>
        <w:rPr>
          <w:rStyle w:val="normaltextrun1"/>
        </w:rPr>
        <w:t xml:space="preserve">gas targets in the Beetaloo </w:t>
      </w:r>
      <w:r w:rsidR="00816B38">
        <w:rPr>
          <w:rStyle w:val="normaltextrun1"/>
        </w:rPr>
        <w:t>Sub-</w:t>
      </w:r>
      <w:r w:rsidR="00D835D9">
        <w:rPr>
          <w:rStyle w:val="normaltextrun1"/>
        </w:rPr>
        <w:t>b</w:t>
      </w:r>
      <w:r w:rsidR="00816B38">
        <w:rPr>
          <w:rStyle w:val="normaltextrun1"/>
        </w:rPr>
        <w:t>asin</w:t>
      </w:r>
      <w:r>
        <w:rPr>
          <w:rStyle w:val="normaltextrun1"/>
        </w:rPr>
        <w:t xml:space="preserve">. Where present, these formations </w:t>
      </w:r>
      <w:r w:rsidR="00816B38">
        <w:rPr>
          <w:rStyle w:val="normaltextrun1"/>
        </w:rPr>
        <w:t xml:space="preserve">would </w:t>
      </w:r>
      <w:r>
        <w:rPr>
          <w:rStyle w:val="normaltextrun1"/>
        </w:rPr>
        <w:t xml:space="preserve">confine the Bessie Creek and Moroak </w:t>
      </w:r>
      <w:r w:rsidR="2E233AE1">
        <w:rPr>
          <w:rStyle w:val="normaltextrun1"/>
        </w:rPr>
        <w:t>s</w:t>
      </w:r>
      <w:r>
        <w:rPr>
          <w:rStyle w:val="normaltextrun1"/>
        </w:rPr>
        <w:t>andstone</w:t>
      </w:r>
      <w:r w:rsidR="2E233AE1">
        <w:rPr>
          <w:rStyle w:val="normaltextrun1"/>
        </w:rPr>
        <w:t>s</w:t>
      </w:r>
      <w:r>
        <w:rPr>
          <w:rStyle w:val="normaltextrun1"/>
        </w:rPr>
        <w:t xml:space="preserve"> respectively. In general, limited information exists on the hydrogeological characteristics of the Roper Group sequence as it occurs </w:t>
      </w:r>
      <w:r w:rsidR="00435CEF">
        <w:rPr>
          <w:rStyle w:val="normaltextrun1"/>
        </w:rPr>
        <w:t xml:space="preserve">at </w:t>
      </w:r>
      <w:r w:rsidR="00816B38">
        <w:rPr>
          <w:rStyle w:val="normaltextrun1"/>
        </w:rPr>
        <w:t xml:space="preserve">significant </w:t>
      </w:r>
      <w:r>
        <w:rPr>
          <w:rStyle w:val="normaltextrun1"/>
        </w:rPr>
        <w:t>depth</w:t>
      </w:r>
      <w:r w:rsidR="00816B38">
        <w:rPr>
          <w:rStyle w:val="normaltextrun1"/>
        </w:rPr>
        <w:t>s and it is not used as a source of groundwater</w:t>
      </w:r>
      <w:r>
        <w:rPr>
          <w:rStyle w:val="normaltextrun1"/>
        </w:rPr>
        <w:t>.</w:t>
      </w:r>
    </w:p>
    <w:p w14:paraId="4BAAFDF0" w14:textId="22F92FF7" w:rsidR="00001437" w:rsidRPr="003E1F1E" w:rsidRDefault="00001437" w:rsidP="002A0E76">
      <w:pPr>
        <w:pStyle w:val="BodyText"/>
      </w:pPr>
      <w:r>
        <w:rPr>
          <w:rStyle w:val="normaltextrun1"/>
        </w:rPr>
        <w:t xml:space="preserve">Aquifer </w:t>
      </w:r>
      <w:r w:rsidRPr="003E1F1E">
        <w:t>temperatures are in the order of 70</w:t>
      </w:r>
      <w:r w:rsidR="00532ABF">
        <w:t xml:space="preserve"> to </w:t>
      </w:r>
      <w:r w:rsidRPr="003E1F1E">
        <w:t>90°C at 1100</w:t>
      </w:r>
      <w:r w:rsidR="00532ABF">
        <w:t xml:space="preserve"> to </w:t>
      </w:r>
      <w:r w:rsidRPr="003E1F1E">
        <w:t xml:space="preserve">1750 m. From limited groundwater quality data, the very high salinities suggest there has been </w:t>
      </w:r>
      <w:r w:rsidR="2B4CF883" w:rsidRPr="003E1F1E">
        <w:t>minimal</w:t>
      </w:r>
      <w:r w:rsidRPr="003E1F1E">
        <w:t xml:space="preserve"> </w:t>
      </w:r>
      <w:r w:rsidR="00816B38">
        <w:t>interaction by</w:t>
      </w:r>
      <w:r w:rsidR="00816B38" w:rsidRPr="003E1F1E">
        <w:t xml:space="preserve"> </w:t>
      </w:r>
      <w:r w:rsidRPr="003E1F1E">
        <w:t xml:space="preserve">downward leakage </w:t>
      </w:r>
      <w:r w:rsidR="00816B38">
        <w:t>from</w:t>
      </w:r>
      <w:r w:rsidR="00816B38" w:rsidRPr="003E1F1E">
        <w:t xml:space="preserve"> </w:t>
      </w:r>
      <w:r w:rsidRPr="003E1F1E">
        <w:t xml:space="preserve">less saline </w:t>
      </w:r>
      <w:r w:rsidR="226CDBC2" w:rsidRPr="003E1F1E">
        <w:t xml:space="preserve">groundwater </w:t>
      </w:r>
      <w:r w:rsidR="00816B38">
        <w:t>in</w:t>
      </w:r>
      <w:r w:rsidR="226CDBC2" w:rsidRPr="003E1F1E">
        <w:t xml:space="preserve"> </w:t>
      </w:r>
      <w:r w:rsidRPr="003E1F1E">
        <w:t>overlying aquifers.</w:t>
      </w:r>
      <w:r w:rsidR="00816B38">
        <w:t xml:space="preserve"> However, number of samples is limited in distribution. </w:t>
      </w:r>
    </w:p>
    <w:p w14:paraId="25495FAA" w14:textId="35042120" w:rsidR="00001437" w:rsidRPr="00673186" w:rsidRDefault="00D631A3" w:rsidP="00673186">
      <w:pPr>
        <w:pStyle w:val="Heading4"/>
      </w:pPr>
      <w:r w:rsidRPr="00673186">
        <w:rPr>
          <w:rStyle w:val="normaltextrun1"/>
        </w:rPr>
        <w:t>Jamison sandstone</w:t>
      </w:r>
      <w:r w:rsidR="00001437" w:rsidRPr="00673186">
        <w:rPr>
          <w:rStyle w:val="normaltextrun1"/>
        </w:rPr>
        <w:t>, Hayfield mudstone and Kiana Group</w:t>
      </w:r>
    </w:p>
    <w:p w14:paraId="0AE7B987" w14:textId="6D2BD12C" w:rsidR="00001437" w:rsidRPr="00200642" w:rsidRDefault="00001437" w:rsidP="00200642">
      <w:pPr>
        <w:pStyle w:val="BodyText"/>
        <w:rPr>
          <w:rStyle w:val="normaltextrun1"/>
        </w:rPr>
      </w:pPr>
      <w:r w:rsidRPr="00200642">
        <w:rPr>
          <w:rStyle w:val="normaltextrun1"/>
        </w:rPr>
        <w:t xml:space="preserve">The </w:t>
      </w:r>
      <w:r w:rsidR="00D631A3" w:rsidRPr="00200642">
        <w:rPr>
          <w:rStyle w:val="normaltextrun1"/>
        </w:rPr>
        <w:t>Jamison</w:t>
      </w:r>
      <w:r w:rsidRPr="00200642">
        <w:rPr>
          <w:rStyle w:val="normaltextrun1"/>
        </w:rPr>
        <w:t xml:space="preserve"> </w:t>
      </w:r>
      <w:r w:rsidR="3C583D25" w:rsidRPr="00200642">
        <w:rPr>
          <w:rStyle w:val="normaltextrun1"/>
        </w:rPr>
        <w:t>s</w:t>
      </w:r>
      <w:r w:rsidRPr="00200642">
        <w:rPr>
          <w:rStyle w:val="normaltextrun1"/>
        </w:rPr>
        <w:t xml:space="preserve">andstone and Hayfield mudstone overlie the </w:t>
      </w:r>
      <w:r w:rsidRPr="00200642">
        <w:rPr>
          <w:rStyle w:val="spellingerror"/>
        </w:rPr>
        <w:t>Maiwok</w:t>
      </w:r>
      <w:r w:rsidRPr="00200642">
        <w:rPr>
          <w:rStyle w:val="normaltextrun1"/>
        </w:rPr>
        <w:t xml:space="preserve"> Subgroup and are classed as an aquifer and aquitard, respectively. Regionally, the Hayfield mudstone forms a seal (</w:t>
      </w:r>
      <w:r w:rsidR="00B21B3C" w:rsidRPr="00200642">
        <w:rPr>
          <w:rStyle w:val="normaltextrun1"/>
        </w:rPr>
        <w:t xml:space="preserve">up to </w:t>
      </w:r>
      <w:r w:rsidRPr="00200642">
        <w:rPr>
          <w:rStyle w:val="normaltextrun1"/>
        </w:rPr>
        <w:t xml:space="preserve">300 m thickness) separating </w:t>
      </w:r>
      <w:r w:rsidR="00435CEF" w:rsidRPr="00200642">
        <w:rPr>
          <w:rStyle w:val="normaltextrun1"/>
        </w:rPr>
        <w:t xml:space="preserve">the </w:t>
      </w:r>
      <w:r w:rsidR="00D631A3" w:rsidRPr="00200642">
        <w:rPr>
          <w:rStyle w:val="normaltextrun1"/>
        </w:rPr>
        <w:t>Jamison sandstone</w:t>
      </w:r>
      <w:r w:rsidRPr="00200642">
        <w:rPr>
          <w:rStyle w:val="normaltextrun1"/>
        </w:rPr>
        <w:t xml:space="preserve"> from overlying aquifers. </w:t>
      </w:r>
      <w:r w:rsidR="00435CEF" w:rsidRPr="00200642">
        <w:rPr>
          <w:rStyle w:val="normaltextrun1"/>
        </w:rPr>
        <w:t xml:space="preserve">The </w:t>
      </w:r>
      <w:r w:rsidR="00D631A3" w:rsidRPr="00200642">
        <w:rPr>
          <w:rStyle w:val="normaltextrun1"/>
        </w:rPr>
        <w:t>Jamison</w:t>
      </w:r>
      <w:r w:rsidRPr="00200642">
        <w:rPr>
          <w:rStyle w:val="normaltextrun1"/>
        </w:rPr>
        <w:t xml:space="preserve"> </w:t>
      </w:r>
      <w:r w:rsidR="3C583D25" w:rsidRPr="00200642">
        <w:rPr>
          <w:rStyle w:val="normaltextrun1"/>
        </w:rPr>
        <w:t>s</w:t>
      </w:r>
      <w:r w:rsidR="00C046BE" w:rsidRPr="00200642">
        <w:rPr>
          <w:rStyle w:val="normaltextrun1"/>
        </w:rPr>
        <w:t>andstone</w:t>
      </w:r>
      <w:r w:rsidRPr="00200642">
        <w:rPr>
          <w:rStyle w:val="normaltextrun1"/>
        </w:rPr>
        <w:t xml:space="preserve"> may be in contact with overlying aquifers where </w:t>
      </w:r>
      <w:r w:rsidR="00435CEF" w:rsidRPr="00200642">
        <w:rPr>
          <w:rStyle w:val="normaltextrun1"/>
        </w:rPr>
        <w:t>the</w:t>
      </w:r>
      <w:r w:rsidRPr="00200642">
        <w:rPr>
          <w:rStyle w:val="normaltextrun1"/>
        </w:rPr>
        <w:t xml:space="preserve"> Hayfield mudstone is absent around parts of the </w:t>
      </w:r>
      <w:r w:rsidRPr="00200642">
        <w:rPr>
          <w:rStyle w:val="spellingerror"/>
        </w:rPr>
        <w:t>Beetaloo</w:t>
      </w:r>
      <w:r w:rsidRPr="00200642">
        <w:rPr>
          <w:rStyle w:val="normaltextrun1"/>
        </w:rPr>
        <w:t xml:space="preserve"> GBA region.</w:t>
      </w:r>
    </w:p>
    <w:p w14:paraId="05B9826E" w14:textId="2199528F" w:rsidR="00001437" w:rsidRPr="00200642" w:rsidRDefault="50BA1442" w:rsidP="50BA1442">
      <w:pPr>
        <w:pStyle w:val="BodyText"/>
        <w:rPr>
          <w:rStyle w:val="eop"/>
        </w:rPr>
      </w:pPr>
      <w:r w:rsidRPr="50BA1442">
        <w:rPr>
          <w:rStyle w:val="normaltextrun1"/>
        </w:rPr>
        <w:t xml:space="preserve">The </w:t>
      </w:r>
      <w:r w:rsidRPr="50BA1442">
        <w:rPr>
          <w:rStyle w:val="spellingerror"/>
        </w:rPr>
        <w:t>Bukalara</w:t>
      </w:r>
      <w:r w:rsidRPr="50BA1442">
        <w:rPr>
          <w:rStyle w:val="normaltextrun1"/>
        </w:rPr>
        <w:t xml:space="preserve"> Sandstone is an aquifer with reported significant groundwater inflows and can be over 100 m thick. However, its extent within the </w:t>
      </w:r>
      <w:r w:rsidRPr="50BA1442">
        <w:rPr>
          <w:rStyle w:val="spellingerror"/>
        </w:rPr>
        <w:t>Beetaloo</w:t>
      </w:r>
      <w:r w:rsidRPr="50BA1442">
        <w:rPr>
          <w:rStyle w:val="normaltextrun1"/>
        </w:rPr>
        <w:t xml:space="preserve"> GBA region appears to be sporadic and poorly defined. The overlying, potentially confining Cox Formation is a leaky aquitard, and its extent is also poorly defined. Groundwater data for this unit is sparse.</w:t>
      </w:r>
    </w:p>
    <w:p w14:paraId="3ACE854F" w14:textId="6723513E" w:rsidR="00001437" w:rsidRPr="00673186" w:rsidRDefault="00001437" w:rsidP="00673186">
      <w:pPr>
        <w:pStyle w:val="Heading4"/>
      </w:pPr>
      <w:r w:rsidRPr="00673186">
        <w:rPr>
          <w:rStyle w:val="spellingerror"/>
        </w:rPr>
        <w:t>Kalkarindji</w:t>
      </w:r>
      <w:r w:rsidRPr="00673186">
        <w:rPr>
          <w:rStyle w:val="normaltextrun1"/>
        </w:rPr>
        <w:t xml:space="preserve"> Suite </w:t>
      </w:r>
      <w:r w:rsidRPr="00673186">
        <w:rPr>
          <w:rStyle w:val="spellingerror"/>
        </w:rPr>
        <w:t>volcanics</w:t>
      </w:r>
    </w:p>
    <w:p w14:paraId="1FDCFED8" w14:textId="288BDCD0" w:rsidR="00001437" w:rsidRDefault="00001437" w:rsidP="3C583D25">
      <w:pPr>
        <w:pStyle w:val="BodyText"/>
        <w:rPr>
          <w:rStyle w:val="eop"/>
          <w:rFonts w:eastAsiaTheme="majorEastAsia"/>
          <w:lang w:val="en-US"/>
        </w:rPr>
      </w:pPr>
      <w:r>
        <w:rPr>
          <w:rStyle w:val="normaltextrun1"/>
        </w:rPr>
        <w:t xml:space="preserve">The extent of the Antrim Plateau </w:t>
      </w:r>
      <w:r>
        <w:rPr>
          <w:rStyle w:val="spellingerror"/>
        </w:rPr>
        <w:t>Volcanics</w:t>
      </w:r>
      <w:r>
        <w:rPr>
          <w:rStyle w:val="normaltextrun1"/>
        </w:rPr>
        <w:t xml:space="preserve"> is relatively well-defined</w:t>
      </w:r>
      <w:r w:rsidR="00FB7DE7">
        <w:rPr>
          <w:rStyle w:val="normaltextrun1"/>
        </w:rPr>
        <w:t xml:space="preserve">, covering </w:t>
      </w:r>
      <w:r>
        <w:rPr>
          <w:rStyle w:val="normaltextrun1"/>
        </w:rPr>
        <w:t xml:space="preserve">most of the </w:t>
      </w:r>
      <w:r>
        <w:rPr>
          <w:rStyle w:val="spellingerror"/>
        </w:rPr>
        <w:t>Beetaloo</w:t>
      </w:r>
      <w:r>
        <w:rPr>
          <w:rStyle w:val="normaltextrun1"/>
        </w:rPr>
        <w:t xml:space="preserve"> GBA region. Where absent, the CLA is in direct contact with underlying Proterozoic units, including the </w:t>
      </w:r>
      <w:r>
        <w:rPr>
          <w:rStyle w:val="spellingerror"/>
        </w:rPr>
        <w:t>Bukalara</w:t>
      </w:r>
      <w:r>
        <w:rPr>
          <w:rStyle w:val="normaltextrun1"/>
        </w:rPr>
        <w:t xml:space="preserve"> and Jamison</w:t>
      </w:r>
      <w:r w:rsidR="00D631A3">
        <w:rPr>
          <w:rStyle w:val="normaltextrun1"/>
        </w:rPr>
        <w:t xml:space="preserve"> </w:t>
      </w:r>
      <w:r w:rsidR="3C583D25">
        <w:rPr>
          <w:rStyle w:val="normaltextrun1"/>
        </w:rPr>
        <w:t>s</w:t>
      </w:r>
      <w:r w:rsidR="00C046BE">
        <w:rPr>
          <w:rStyle w:val="normaltextrun1"/>
        </w:rPr>
        <w:t>andstone</w:t>
      </w:r>
      <w:r w:rsidR="00B21B3C" w:rsidRPr="3C583D25">
        <w:rPr>
          <w:rStyle w:val="eop"/>
          <w:rFonts w:eastAsiaTheme="majorEastAsia"/>
          <w:lang w:val="en-US"/>
        </w:rPr>
        <w:t>s.</w:t>
      </w:r>
    </w:p>
    <w:p w14:paraId="64B4CC12" w14:textId="24CECD1A" w:rsidR="00001437" w:rsidRPr="00001C61" w:rsidRDefault="00001437" w:rsidP="00957BD7">
      <w:pPr>
        <w:pStyle w:val="BodyText"/>
      </w:pPr>
      <w:r>
        <w:rPr>
          <w:rStyle w:val="normaltextrun1"/>
        </w:rPr>
        <w:t>Whil</w:t>
      </w:r>
      <w:r w:rsidR="00A00A2A">
        <w:rPr>
          <w:rStyle w:val="normaltextrun1"/>
        </w:rPr>
        <w:t>e</w:t>
      </w:r>
      <w:r>
        <w:rPr>
          <w:rStyle w:val="normaltextrun1"/>
        </w:rPr>
        <w:t xml:space="preserve"> the Antrim Plateau </w:t>
      </w:r>
      <w:r>
        <w:rPr>
          <w:rStyle w:val="spellingerror"/>
        </w:rPr>
        <w:t>Volcanics</w:t>
      </w:r>
      <w:r>
        <w:rPr>
          <w:rStyle w:val="normaltextrun1"/>
        </w:rPr>
        <w:t xml:space="preserve"> is classed as a regional aquitard, it is used as </w:t>
      </w:r>
      <w:r w:rsidR="00FB7DE7">
        <w:rPr>
          <w:rStyle w:val="normaltextrun1"/>
        </w:rPr>
        <w:t xml:space="preserve">a </w:t>
      </w:r>
      <w:r>
        <w:rPr>
          <w:rStyle w:val="normaltextrun1"/>
        </w:rPr>
        <w:t xml:space="preserve">local fractured rock aquifer where the overlying CLA is absent or unsaturated, with modest groundwater yields. </w:t>
      </w:r>
      <w:bookmarkStart w:id="1112" w:name="_Hlk35356524"/>
      <w:r>
        <w:rPr>
          <w:rStyle w:val="normaltextrun1"/>
        </w:rPr>
        <w:t xml:space="preserve">Groundwater depths in the Antrim Plateau </w:t>
      </w:r>
      <w:r>
        <w:rPr>
          <w:rStyle w:val="spellingerror"/>
        </w:rPr>
        <w:t>Volcanics</w:t>
      </w:r>
      <w:r>
        <w:rPr>
          <w:rStyle w:val="normaltextrun1"/>
        </w:rPr>
        <w:t xml:space="preserve"> range from 14 </w:t>
      </w:r>
      <w:r w:rsidR="00532ABF">
        <w:rPr>
          <w:rStyle w:val="normaltextrun1"/>
        </w:rPr>
        <w:t xml:space="preserve">to </w:t>
      </w:r>
      <w:r>
        <w:rPr>
          <w:rStyle w:val="normaltextrun1"/>
        </w:rPr>
        <w:t xml:space="preserve">89 </w:t>
      </w:r>
      <w:r w:rsidR="00D50A79">
        <w:rPr>
          <w:rStyle w:val="normaltextrun1"/>
        </w:rPr>
        <w:t>mBGL</w:t>
      </w:r>
      <w:r>
        <w:rPr>
          <w:rStyle w:val="normaltextrun1"/>
        </w:rPr>
        <w:t xml:space="preserve"> (average 59</w:t>
      </w:r>
      <w:r w:rsidR="00532ABF">
        <w:rPr>
          <w:rStyle w:val="normaltextrun1"/>
        </w:rPr>
        <w:t> </w:t>
      </w:r>
      <w:r w:rsidR="00D50A79">
        <w:rPr>
          <w:rStyle w:val="normaltextrun1"/>
        </w:rPr>
        <w:t>mBGL</w:t>
      </w:r>
      <w:r>
        <w:rPr>
          <w:rStyle w:val="normaltextrun1"/>
        </w:rPr>
        <w:t xml:space="preserve">). Groundwater quality of the Antrim Plateau </w:t>
      </w:r>
      <w:r>
        <w:rPr>
          <w:rStyle w:val="spellingerror"/>
        </w:rPr>
        <w:t>Volcanics</w:t>
      </w:r>
      <w:r>
        <w:rPr>
          <w:rStyle w:val="normaltextrun1"/>
        </w:rPr>
        <w:t xml:space="preserve"> is generally good (</w:t>
      </w:r>
      <w:r w:rsidR="00532ABF">
        <w:rPr>
          <w:rStyle w:val="normaltextrun1"/>
        </w:rPr>
        <w:t>a</w:t>
      </w:r>
      <w:r>
        <w:rPr>
          <w:rStyle w:val="normaltextrun1"/>
        </w:rPr>
        <w:t>verage TDS is 715 mg/</w:t>
      </w:r>
      <w:r w:rsidR="0057355B">
        <w:rPr>
          <w:rStyle w:val="normaltextrun1"/>
        </w:rPr>
        <w:t>L</w:t>
      </w:r>
      <w:r>
        <w:rPr>
          <w:rStyle w:val="normaltextrun1"/>
        </w:rPr>
        <w:t>).</w:t>
      </w:r>
      <w:bookmarkEnd w:id="1112"/>
    </w:p>
    <w:p w14:paraId="0705ACF4" w14:textId="01D56AA1" w:rsidR="00001437" w:rsidRPr="00200642" w:rsidRDefault="00001437" w:rsidP="00200642">
      <w:pPr>
        <w:pStyle w:val="Heading4"/>
      </w:pPr>
      <w:r w:rsidRPr="00200642">
        <w:rPr>
          <w:rStyle w:val="normaltextrun1"/>
        </w:rPr>
        <w:t>Cambrian Limestone Aquife</w:t>
      </w:r>
      <w:r w:rsidR="00C7765F" w:rsidRPr="00200642">
        <w:rPr>
          <w:rFonts w:eastAsiaTheme="majorEastAsia"/>
        </w:rPr>
        <w:t>r</w:t>
      </w:r>
    </w:p>
    <w:p w14:paraId="7FC8BB05" w14:textId="039E3BA5" w:rsidR="00001437" w:rsidRDefault="50BA1442" w:rsidP="50BA1442">
      <w:pPr>
        <w:pStyle w:val="BodyText"/>
        <w:rPr>
          <w:rStyle w:val="normaltextrun1"/>
        </w:rPr>
      </w:pPr>
      <w:bookmarkStart w:id="1113" w:name="_Hlk5462118"/>
      <w:r w:rsidRPr="50BA1442">
        <w:rPr>
          <w:rStyle w:val="normaltextrun1"/>
        </w:rPr>
        <w:t xml:space="preserve">The CLA is the most extensive and regionally significant aquifer system in the </w:t>
      </w:r>
      <w:r w:rsidRPr="50BA1442">
        <w:rPr>
          <w:rStyle w:val="spellingerror"/>
        </w:rPr>
        <w:t>Beetaloo</w:t>
      </w:r>
      <w:r w:rsidRPr="50BA1442">
        <w:rPr>
          <w:rStyle w:val="normaltextrun1"/>
        </w:rPr>
        <w:t xml:space="preserve"> GBA region. It provides a significant water resource for the pastoral industry and communities within the region and is also the source for numerous springs (e.g. Mataranka Thermal Pools and Flora River) that are located down hydraulic gradient from Beetaloo GBA region. The aquifer has been informally divided into a lower and upper CLA sequence: the lower CLA, the </w:t>
      </w:r>
      <w:r w:rsidR="002B26D5">
        <w:rPr>
          <w:rStyle w:val="normaltextrun1"/>
        </w:rPr>
        <w:t>‘</w:t>
      </w:r>
      <w:r w:rsidRPr="50BA1442">
        <w:rPr>
          <w:rStyle w:val="normaltextrun1"/>
        </w:rPr>
        <w:t>Gum Ridge Formation and equivalents</w:t>
      </w:r>
      <w:r w:rsidR="002B26D5">
        <w:rPr>
          <w:rStyle w:val="normaltextrun1"/>
        </w:rPr>
        <w:t>’</w:t>
      </w:r>
      <w:r w:rsidRPr="50BA1442">
        <w:rPr>
          <w:rStyle w:val="normaltextrun1"/>
        </w:rPr>
        <w:t xml:space="preserve"> (Gum Ridge Formation, Tindall Limestone and Montejinni Limestone); and the upper CLA, the </w:t>
      </w:r>
      <w:r w:rsidR="002B26D5">
        <w:rPr>
          <w:rStyle w:val="normaltextrun1"/>
        </w:rPr>
        <w:t>‘</w:t>
      </w:r>
      <w:r w:rsidRPr="50BA1442">
        <w:rPr>
          <w:rStyle w:val="normaltextrun1"/>
        </w:rPr>
        <w:t>Anthony Lagoon Formation and equivalents</w:t>
      </w:r>
      <w:r w:rsidR="002B26D5">
        <w:rPr>
          <w:rStyle w:val="normaltextrun1"/>
        </w:rPr>
        <w:t>’</w:t>
      </w:r>
      <w:r w:rsidRPr="50BA1442">
        <w:rPr>
          <w:rStyle w:val="normaltextrun1"/>
        </w:rPr>
        <w:t xml:space="preserve"> (Anthony Lagoon Formation, Jinduckin Formation and Hooker Creek Formation and Point Wakefield beds).</w:t>
      </w:r>
      <w:bookmarkEnd w:id="1113"/>
    </w:p>
    <w:p w14:paraId="01F76A04" w14:textId="351771BA" w:rsidR="00001437" w:rsidRDefault="00001437" w:rsidP="002A0E76">
      <w:pPr>
        <w:pStyle w:val="BodyText"/>
        <w:rPr>
          <w:rStyle w:val="eop"/>
          <w:rFonts w:eastAsiaTheme="majorEastAsia"/>
          <w:lang w:val="en-US"/>
        </w:rPr>
      </w:pPr>
      <w:r>
        <w:rPr>
          <w:rStyle w:val="normaltextrun1"/>
        </w:rPr>
        <w:t xml:space="preserve">There are two major groundwater flow systems recognised in the </w:t>
      </w:r>
      <w:r>
        <w:rPr>
          <w:rStyle w:val="spellingerror"/>
        </w:rPr>
        <w:t>Beetaloo</w:t>
      </w:r>
      <w:r>
        <w:rPr>
          <w:rStyle w:val="normaltextrun1"/>
        </w:rPr>
        <w:t xml:space="preserve"> GBA region: groundwater flow from the </w:t>
      </w:r>
      <w:r>
        <w:rPr>
          <w:rStyle w:val="spellingerror"/>
        </w:rPr>
        <w:t>Wiso</w:t>
      </w:r>
      <w:r>
        <w:rPr>
          <w:rStyle w:val="normaltextrun1"/>
        </w:rPr>
        <w:t xml:space="preserve"> Basin into the Daly Basin</w:t>
      </w:r>
      <w:r w:rsidR="00D954E7">
        <w:rPr>
          <w:rStyle w:val="normaltextrun1"/>
        </w:rPr>
        <w:t xml:space="preserve">, </w:t>
      </w:r>
      <w:r>
        <w:rPr>
          <w:rStyle w:val="normaltextrun1"/>
        </w:rPr>
        <w:t xml:space="preserve">and groundwater flow from the Georgina Basin into the Daly Basin. Inferred regional groundwater flow for both systems is north-westward across the </w:t>
      </w:r>
      <w:r>
        <w:rPr>
          <w:rStyle w:val="spellingerror"/>
        </w:rPr>
        <w:t>Beetaloo</w:t>
      </w:r>
      <w:r>
        <w:rPr>
          <w:rStyle w:val="normaltextrun1"/>
        </w:rPr>
        <w:t xml:space="preserve"> GBA region, into the Daly Basin and discharging at spring complexes such as Mataranka and Flora River </w:t>
      </w:r>
      <w:r>
        <w:rPr>
          <w:rStyle w:val="contextualspellingandgrammarerror"/>
        </w:rPr>
        <w:t>Springs.</w:t>
      </w:r>
      <w:r>
        <w:rPr>
          <w:rStyle w:val="normaltextrun1"/>
        </w:rPr>
        <w:t xml:space="preserve"> However, groundwater flow on more local scales </w:t>
      </w:r>
      <w:r w:rsidR="00475782">
        <w:rPr>
          <w:rStyle w:val="normaltextrun1"/>
        </w:rPr>
        <w:t>are</w:t>
      </w:r>
      <w:r>
        <w:rPr>
          <w:rStyle w:val="normaltextrun1"/>
        </w:rPr>
        <w:t xml:space="preserve"> poorly defined.</w:t>
      </w:r>
    </w:p>
    <w:p w14:paraId="3518D7E2" w14:textId="6EE5524E" w:rsidR="00001437" w:rsidRDefault="00001437" w:rsidP="002A0E76">
      <w:pPr>
        <w:pStyle w:val="BodyText"/>
        <w:rPr>
          <w:rStyle w:val="eop"/>
          <w:rFonts w:eastAsiaTheme="majorEastAsia"/>
          <w:lang w:val="en-US"/>
        </w:rPr>
      </w:pPr>
      <w:r>
        <w:rPr>
          <w:rStyle w:val="normaltextrun1"/>
        </w:rPr>
        <w:t xml:space="preserve">Recharge predominantly occurs during the wet season and can be high, particularly where karstic features such as sinkholes are present at surface or the Carpentaria Basin cover is relatively </w:t>
      </w:r>
      <w:r w:rsidRPr="00755B75">
        <w:rPr>
          <w:rStyle w:val="normaltextrun1"/>
        </w:rPr>
        <w:t>thin.</w:t>
      </w:r>
      <w:r w:rsidR="00B21B3C">
        <w:rPr>
          <w:rStyle w:val="eop"/>
          <w:rFonts w:eastAsiaTheme="majorEastAsia"/>
          <w:lang w:val="en-US"/>
        </w:rPr>
        <w:t xml:space="preserve"> </w:t>
      </w:r>
      <w:r w:rsidRPr="00755B75">
        <w:rPr>
          <w:rStyle w:val="eop"/>
          <w:rFonts w:eastAsiaTheme="majorEastAsia"/>
          <w:lang w:val="en-US"/>
        </w:rPr>
        <w:t xml:space="preserve">Recharge rates </w:t>
      </w:r>
      <w:r w:rsidR="00725BD8" w:rsidRPr="00755B75">
        <w:rPr>
          <w:rStyle w:val="eop"/>
          <w:rFonts w:eastAsiaTheme="majorEastAsia"/>
          <w:lang w:val="en-US"/>
        </w:rPr>
        <w:t>are</w:t>
      </w:r>
      <w:r w:rsidR="00725BD8">
        <w:rPr>
          <w:rStyle w:val="eop"/>
          <w:rFonts w:eastAsiaTheme="majorEastAsia"/>
          <w:lang w:val="en-US"/>
        </w:rPr>
        <w:t xml:space="preserve"> highly variable throughout the Beetaloo GBA region, ranging from </w:t>
      </w:r>
      <w:r w:rsidR="00D6744D">
        <w:rPr>
          <w:rStyle w:val="eop"/>
          <w:rFonts w:eastAsiaTheme="majorEastAsia"/>
          <w:lang w:val="en-US"/>
        </w:rPr>
        <w:t>around 150</w:t>
      </w:r>
      <w:r w:rsidR="002B26D5">
        <w:rPr>
          <w:rStyle w:val="eop"/>
          <w:rFonts w:eastAsiaTheme="majorEastAsia"/>
          <w:lang w:val="en-US"/>
        </w:rPr>
        <w:t> </w:t>
      </w:r>
      <w:r w:rsidR="00D6744D">
        <w:rPr>
          <w:rStyle w:val="eop"/>
          <w:rFonts w:eastAsiaTheme="majorEastAsia"/>
          <w:lang w:val="en-US"/>
        </w:rPr>
        <w:t>mm/y</w:t>
      </w:r>
      <w:r w:rsidR="00FA2938">
        <w:rPr>
          <w:rStyle w:val="eop"/>
          <w:rFonts w:eastAsiaTheme="majorEastAsia"/>
          <w:lang w:val="en-US"/>
        </w:rPr>
        <w:t>ear</w:t>
      </w:r>
      <w:r w:rsidR="00D6744D">
        <w:rPr>
          <w:rStyle w:val="eop"/>
          <w:rFonts w:eastAsiaTheme="majorEastAsia"/>
          <w:lang w:val="en-US"/>
        </w:rPr>
        <w:t xml:space="preserve"> in area</w:t>
      </w:r>
      <w:r w:rsidR="00755B75">
        <w:rPr>
          <w:rStyle w:val="eop"/>
          <w:rFonts w:eastAsiaTheme="majorEastAsia"/>
          <w:lang w:val="en-US"/>
        </w:rPr>
        <w:t>s of exposed karst to less than 1 mm</w:t>
      </w:r>
      <w:r w:rsidR="00475782">
        <w:rPr>
          <w:rStyle w:val="eop"/>
          <w:rFonts w:eastAsiaTheme="majorEastAsia"/>
          <w:lang w:val="en-US"/>
        </w:rPr>
        <w:t>/y</w:t>
      </w:r>
      <w:r w:rsidR="002B26D5">
        <w:rPr>
          <w:rStyle w:val="eop"/>
          <w:rFonts w:eastAsiaTheme="majorEastAsia"/>
          <w:lang w:val="en-US"/>
        </w:rPr>
        <w:t>ea</w:t>
      </w:r>
      <w:r w:rsidR="00475782">
        <w:rPr>
          <w:rStyle w:val="eop"/>
          <w:rFonts w:eastAsiaTheme="majorEastAsia"/>
          <w:lang w:val="en-US"/>
        </w:rPr>
        <w:t>r</w:t>
      </w:r>
      <w:r w:rsidR="00755B75">
        <w:rPr>
          <w:rStyle w:val="eop"/>
          <w:rFonts w:eastAsiaTheme="majorEastAsia"/>
          <w:lang w:val="en-US"/>
        </w:rPr>
        <w:t xml:space="preserve"> in areas where </w:t>
      </w:r>
      <w:r w:rsidR="00C4631C">
        <w:rPr>
          <w:rStyle w:val="eop"/>
          <w:rFonts w:eastAsiaTheme="majorEastAsia"/>
          <w:lang w:val="en-US"/>
        </w:rPr>
        <w:t>thick claystone</w:t>
      </w:r>
      <w:r w:rsidR="00475782">
        <w:rPr>
          <w:rStyle w:val="eop"/>
          <w:rFonts w:eastAsiaTheme="majorEastAsia"/>
          <w:lang w:val="en-US"/>
        </w:rPr>
        <w:t xml:space="preserve"> and mudstone </w:t>
      </w:r>
      <w:r w:rsidR="00C4631C">
        <w:rPr>
          <w:rStyle w:val="eop"/>
          <w:rFonts w:eastAsiaTheme="majorEastAsia"/>
          <w:lang w:val="en-US"/>
        </w:rPr>
        <w:t>of</w:t>
      </w:r>
      <w:r w:rsidR="00475782">
        <w:rPr>
          <w:rStyle w:val="eop"/>
          <w:rFonts w:eastAsiaTheme="majorEastAsia"/>
          <w:lang w:val="en-US"/>
        </w:rPr>
        <w:t xml:space="preserve"> the </w:t>
      </w:r>
      <w:r w:rsidR="00755B75">
        <w:rPr>
          <w:rStyle w:val="eop"/>
          <w:rFonts w:eastAsiaTheme="majorEastAsia"/>
          <w:lang w:val="en-US"/>
        </w:rPr>
        <w:t xml:space="preserve">Carpentaria </w:t>
      </w:r>
      <w:r w:rsidR="00475782">
        <w:rPr>
          <w:rStyle w:val="eop"/>
          <w:rFonts w:eastAsiaTheme="majorEastAsia"/>
          <w:lang w:val="en-US"/>
        </w:rPr>
        <w:t>B</w:t>
      </w:r>
      <w:r w:rsidR="00755B75">
        <w:rPr>
          <w:rStyle w:val="eop"/>
          <w:rFonts w:eastAsiaTheme="majorEastAsia"/>
          <w:lang w:val="en-US"/>
        </w:rPr>
        <w:t xml:space="preserve">asin </w:t>
      </w:r>
      <w:r w:rsidR="00FB7DE7">
        <w:rPr>
          <w:rStyle w:val="eop"/>
          <w:rFonts w:eastAsiaTheme="majorEastAsia"/>
          <w:lang w:val="en-US"/>
        </w:rPr>
        <w:t>are present</w:t>
      </w:r>
      <w:r w:rsidR="00755B75">
        <w:rPr>
          <w:rStyle w:val="eop"/>
          <w:rFonts w:eastAsiaTheme="majorEastAsia"/>
          <w:lang w:val="en-US"/>
        </w:rPr>
        <w:t>.</w:t>
      </w:r>
    </w:p>
    <w:p w14:paraId="4932CEC5" w14:textId="1299897B" w:rsidR="00001437" w:rsidRDefault="00001437" w:rsidP="002A0E76">
      <w:pPr>
        <w:pStyle w:val="BodyText"/>
        <w:rPr>
          <w:rStyle w:val="normaltextrun1"/>
        </w:rPr>
      </w:pPr>
      <w:r w:rsidRPr="006459A9">
        <w:rPr>
          <w:rStyle w:val="normaltextrun1"/>
        </w:rPr>
        <w:t xml:space="preserve">Groundwater salinity in the </w:t>
      </w:r>
      <w:r>
        <w:rPr>
          <w:rStyle w:val="normaltextrun1"/>
        </w:rPr>
        <w:t xml:space="preserve">CLA </w:t>
      </w:r>
      <w:r w:rsidRPr="006459A9">
        <w:rPr>
          <w:rStyle w:val="normaltextrun1"/>
        </w:rPr>
        <w:t xml:space="preserve">is </w:t>
      </w:r>
      <w:r w:rsidR="00285AA7">
        <w:rPr>
          <w:rStyle w:val="normaltextrun1"/>
        </w:rPr>
        <w:t xml:space="preserve">non-saline to slightly saline (typically </w:t>
      </w:r>
      <w:r w:rsidRPr="006459A9">
        <w:rPr>
          <w:rStyle w:val="normaltextrun1"/>
        </w:rPr>
        <w:t>TDS</w:t>
      </w:r>
      <w:r w:rsidR="00285AA7">
        <w:rPr>
          <w:rStyle w:val="normaltextrun1"/>
        </w:rPr>
        <w:t xml:space="preserve"> </w:t>
      </w:r>
      <w:r w:rsidRPr="006459A9">
        <w:rPr>
          <w:rStyle w:val="normaltextrun1"/>
        </w:rPr>
        <w:t>&lt;1500 mg/L</w:t>
      </w:r>
      <w:r w:rsidR="00285AA7">
        <w:rPr>
          <w:rStyle w:val="normaltextrun1"/>
        </w:rPr>
        <w:t>)</w:t>
      </w:r>
      <w:r w:rsidR="00FB7DE7">
        <w:rPr>
          <w:rStyle w:val="normaltextrun1"/>
        </w:rPr>
        <w:t>,</w:t>
      </w:r>
      <w:r w:rsidRPr="006459A9">
        <w:rPr>
          <w:rStyle w:val="normaltextrun1"/>
        </w:rPr>
        <w:t xml:space="preserve"> making it suitable for </w:t>
      </w:r>
      <w:r w:rsidR="00285AA7">
        <w:rPr>
          <w:rStyle w:val="normaltextrun1"/>
        </w:rPr>
        <w:t>agricultural, domestic and industrial uses.</w:t>
      </w:r>
    </w:p>
    <w:p w14:paraId="58823C0C" w14:textId="3B84E6CE" w:rsidR="00A72492" w:rsidRPr="003C5389" w:rsidRDefault="00A72492" w:rsidP="006C1E02">
      <w:pPr>
        <w:pStyle w:val="BodyText"/>
      </w:pPr>
      <w:r w:rsidRPr="003C5389">
        <w:t>Large karstic pathways (i.e. cave systems and large cavities), where present in the CLA, are likely to act as preferential, relatively high-velocity flow</w:t>
      </w:r>
      <w:r w:rsidR="00F264A9">
        <w:t xml:space="preserve"> </w:t>
      </w:r>
      <w:r w:rsidRPr="003C5389">
        <w:t xml:space="preserve">paths. If contaminants (e.g. chemical spills) were to intercept the CLA, then potentially they could be transported and dispersed relatively quickly </w:t>
      </w:r>
      <w:r w:rsidR="001877F5">
        <w:t>along</w:t>
      </w:r>
      <w:r w:rsidR="001877F5" w:rsidRPr="003C5389">
        <w:t xml:space="preserve"> </w:t>
      </w:r>
      <w:r w:rsidRPr="003C5389">
        <w:t xml:space="preserve">large pathways. For instance, a study by </w:t>
      </w:r>
      <w:r w:rsidRPr="003C5389">
        <w:fldChar w:fldCharType="begin"/>
      </w:r>
      <w:r w:rsidR="00F76E0D">
        <w:instrText xml:space="preserve"> ADDIN EN.CITE &lt;EndNote&gt;&lt;Cite AuthorYear="1"&gt;&lt;Author&gt;Tickell&lt;/Author&gt;&lt;Year&gt;2005&lt;/Year&gt;&lt;RecNum&gt;733&lt;/RecNum&gt;&lt;DisplayText&gt;Tickell (2005)&lt;/DisplayText&gt;&lt;record&gt;&lt;rec-number&gt;733&lt;/rec-number&gt;&lt;foreign-keys&gt;&lt;key app="EN" db-id="wdf9tzzdhw2saee559kv0vezt0wfsta0zedv" timestamp="1550544784"&gt;733&lt;/key&gt;&lt;/foreign-keys&gt;&lt;ref-type name="Report"&gt;27&lt;/ref-type&gt;&lt;contributors&gt;&lt;authors&gt;&lt;author&gt;Tickell, Stephen. J.&lt;/author&gt;&lt;/authors&gt;&lt;secondary-authors&gt;&lt;author&gt;DEPARTMENT OF NATURAL RESOURCES THE ENVIRONMENT AND THE ARTS&lt;/author&gt;&lt;author&gt;NATURAL RESOURCES DIVISION&lt;/author&gt;&lt;/secondary-authors&gt;&lt;/contributors&gt;&lt;titles&gt;&lt;title&gt;Groundwater resources of the Tindall Limestone. Report 34/2005&lt;/title&gt;&lt;secondary-title&gt;REPORT 34/2005&lt;/secondary-title&gt;&lt;/titles&gt;&lt;dates&gt;&lt;year&gt;2005&lt;/year&gt;&lt;/dates&gt;&lt;publisher&gt;Department of Natural Resources, The Environment and The Arts Natural Resources Division&lt;/publisher&gt;&lt;urls&gt;&lt;/urls&gt;&lt;/record&gt;&lt;/Cite&gt;&lt;/EndNote&gt;</w:instrText>
      </w:r>
      <w:r w:rsidRPr="003C5389">
        <w:fldChar w:fldCharType="separate"/>
      </w:r>
      <w:r w:rsidR="007E7B35">
        <w:rPr>
          <w:noProof/>
        </w:rPr>
        <w:t>Tickell (2005)</w:t>
      </w:r>
      <w:r w:rsidRPr="003C5389">
        <w:fldChar w:fldCharType="end"/>
      </w:r>
      <w:r w:rsidRPr="003C5389">
        <w:t xml:space="preserve"> showed groundwater flow velocities of up to 1250 m/day can occur in the CLA in the vicinity of Katherine, 100 km to the north of the Beetaloo GBA region. High flow rates could exacerbate the spread and dispersion of contaminants. </w:t>
      </w:r>
    </w:p>
    <w:p w14:paraId="7184A2C7" w14:textId="0A32DFE2" w:rsidR="00A72492" w:rsidRDefault="00A72492" w:rsidP="006C1E02">
      <w:pPr>
        <w:pStyle w:val="BodyText"/>
        <w:rPr>
          <w:rStyle w:val="normaltextrun1"/>
        </w:rPr>
      </w:pPr>
      <w:r w:rsidRPr="003C5389">
        <w:t>However, for much of the Beetaloo GBA region, the CLA is covered by variable thickness of Carpentaria Basin sediment</w:t>
      </w:r>
      <w:r w:rsidR="007611EC">
        <w:t>ary rocks</w:t>
      </w:r>
      <w:r w:rsidR="003C5389" w:rsidRPr="003C5389">
        <w:t xml:space="preserve">. </w:t>
      </w:r>
      <w:r w:rsidR="007611EC">
        <w:t>The overlying Carpentaria Basin</w:t>
      </w:r>
      <w:r w:rsidRPr="003C5389">
        <w:t xml:space="preserve"> (where sufficiently thick and </w:t>
      </w:r>
      <w:r w:rsidR="003C5389" w:rsidRPr="003C5389">
        <w:t>clay dominated) decrease</w:t>
      </w:r>
      <w:r w:rsidR="007611EC">
        <w:t>s</w:t>
      </w:r>
      <w:r w:rsidR="003C5389" w:rsidRPr="003C5389">
        <w:t xml:space="preserve"> recharge</w:t>
      </w:r>
      <w:r w:rsidR="007611EC">
        <w:t xml:space="preserve"> to the CLA. It is also</w:t>
      </w:r>
      <w:r w:rsidR="003C5389" w:rsidRPr="003C5389">
        <w:t xml:space="preserve"> likely</w:t>
      </w:r>
      <w:r w:rsidR="007611EC">
        <w:t xml:space="preserve"> to </w:t>
      </w:r>
      <w:r w:rsidR="003C5389" w:rsidRPr="003C5389">
        <w:t>lessen the potential for spills to reach the CLA</w:t>
      </w:r>
      <w:r w:rsidR="007611EC">
        <w:t xml:space="preserve"> from surface</w:t>
      </w:r>
      <w:r w:rsidR="003C5389" w:rsidRPr="003C5389">
        <w:t>.</w:t>
      </w:r>
    </w:p>
    <w:p w14:paraId="68A82415" w14:textId="701CF311" w:rsidR="00001437" w:rsidRPr="00957BD7" w:rsidRDefault="00001437" w:rsidP="00957BD7">
      <w:pPr>
        <w:pStyle w:val="Heading4"/>
      </w:pPr>
      <w:r w:rsidRPr="00957BD7">
        <w:rPr>
          <w:rStyle w:val="normaltextrun1"/>
        </w:rPr>
        <w:t xml:space="preserve">Carpentaria Basin and </w:t>
      </w:r>
      <w:r w:rsidRPr="00957BD7">
        <w:rPr>
          <w:rStyle w:val="spellingerror"/>
        </w:rPr>
        <w:t>Cenozoic</w:t>
      </w:r>
      <w:r w:rsidRPr="00957BD7">
        <w:rPr>
          <w:rStyle w:val="normaltextrun1"/>
        </w:rPr>
        <w:t xml:space="preserve"> </w:t>
      </w:r>
      <w:r w:rsidRPr="003E1F1E">
        <w:t>sediments</w:t>
      </w:r>
    </w:p>
    <w:p w14:paraId="157D2A2D" w14:textId="3BFC3681" w:rsidR="00001437" w:rsidRDefault="50BA1442" w:rsidP="50BA1442">
      <w:pPr>
        <w:pStyle w:val="BodyText"/>
        <w:rPr>
          <w:rStyle w:val="eop"/>
          <w:rFonts w:eastAsiaTheme="majorEastAsia"/>
          <w:lang w:val="en-US"/>
        </w:rPr>
      </w:pPr>
      <w:r w:rsidRPr="50BA1442">
        <w:rPr>
          <w:rStyle w:val="normaltextrun1"/>
        </w:rPr>
        <w:t xml:space="preserve">The Carpentaria Basin is extensive. It overlies the CLA within the </w:t>
      </w:r>
      <w:r w:rsidRPr="50BA1442">
        <w:rPr>
          <w:rStyle w:val="spellingerror"/>
        </w:rPr>
        <w:t>Beetaloo</w:t>
      </w:r>
      <w:r w:rsidRPr="50BA1442">
        <w:rPr>
          <w:rStyle w:val="normaltextrun1"/>
        </w:rPr>
        <w:t xml:space="preserve"> GBA region and is up to 170 m thick.</w:t>
      </w:r>
      <w:r w:rsidRPr="50BA1442">
        <w:rPr>
          <w:rStyle w:val="eop"/>
          <w:rFonts w:eastAsiaTheme="majorEastAsia"/>
          <w:lang w:val="en-US"/>
        </w:rPr>
        <w:t xml:space="preserve"> </w:t>
      </w:r>
      <w:r w:rsidRPr="50BA1442">
        <w:rPr>
          <w:rStyle w:val="normaltextrun1"/>
        </w:rPr>
        <w:t xml:space="preserve">The Carpentaria Basin sequence is largely unsaturated because the regional groundwater table usually lies below its basal contact. However, in the southern parts of the </w:t>
      </w:r>
      <w:r w:rsidRPr="50BA1442">
        <w:rPr>
          <w:rStyle w:val="spellingerror"/>
        </w:rPr>
        <w:t>Beetaloo</w:t>
      </w:r>
      <w:r w:rsidRPr="50BA1442">
        <w:rPr>
          <w:rStyle w:val="normaltextrun1"/>
        </w:rPr>
        <w:t xml:space="preserve"> GBA region, its basal units are saturated</w:t>
      </w:r>
      <w:r w:rsidRPr="50BA1442">
        <w:rPr>
          <w:rStyle w:val="contextualspellingandgrammarerror"/>
        </w:rPr>
        <w:t>,</w:t>
      </w:r>
      <w:r w:rsidRPr="50BA1442">
        <w:rPr>
          <w:rStyle w:val="normaltextrun1"/>
        </w:rPr>
        <w:t xml:space="preserve"> and are utilised as an aquifer. In this area the Carpentaria Basin can be shown to be hydraulically connected with the underlying CLA.</w:t>
      </w:r>
    </w:p>
    <w:p w14:paraId="7D80B97C" w14:textId="4393F62E" w:rsidR="00A23F94" w:rsidRDefault="00001437" w:rsidP="002A0E76">
      <w:pPr>
        <w:pStyle w:val="BodyText"/>
        <w:rPr>
          <w:rStyle w:val="eop"/>
          <w:rFonts w:eastAsiaTheme="majorEastAsia"/>
          <w:lang w:val="en-US"/>
        </w:rPr>
      </w:pPr>
      <w:r>
        <w:rPr>
          <w:rStyle w:val="normaltextrun1"/>
        </w:rPr>
        <w:t>Groundwater recharge is thought to be significantly impeded where Carpentaria Basin cover is thick.</w:t>
      </w:r>
      <w:r w:rsidR="00475782">
        <w:rPr>
          <w:rStyle w:val="normaltextrun1"/>
        </w:rPr>
        <w:t xml:space="preserve"> </w:t>
      </w:r>
      <w:r>
        <w:rPr>
          <w:rStyle w:val="normaltextrun1"/>
        </w:rPr>
        <w:t xml:space="preserve">Groundwater in </w:t>
      </w:r>
      <w:r w:rsidR="00306623">
        <w:rPr>
          <w:rStyle w:val="normaltextrun1"/>
        </w:rPr>
        <w:t>Carpentaria Basin</w:t>
      </w:r>
      <w:r>
        <w:rPr>
          <w:rStyle w:val="normaltextrun1"/>
        </w:rPr>
        <w:t xml:space="preserve"> is typically classed as slightly to moderately saline, with an average salinity of 1548 mg/L.</w:t>
      </w:r>
    </w:p>
    <w:p w14:paraId="7DC7AD14" w14:textId="381CB716" w:rsidR="00001437" w:rsidRDefault="00545A12" w:rsidP="002A0E76">
      <w:pPr>
        <w:pStyle w:val="BodyText"/>
        <w:rPr>
          <w:rStyle w:val="eop"/>
          <w:rFonts w:eastAsiaTheme="majorEastAsia"/>
          <w:lang w:val="en-US"/>
        </w:rPr>
      </w:pPr>
      <w:bookmarkStart w:id="1114" w:name="_Hlk35356828"/>
      <w:r>
        <w:rPr>
          <w:rStyle w:val="eop"/>
          <w:rFonts w:eastAsiaTheme="majorEastAsia"/>
          <w:lang w:val="en-US"/>
        </w:rPr>
        <w:t>Near</w:t>
      </w:r>
      <w:r w:rsidR="00F264A9">
        <w:rPr>
          <w:rStyle w:val="eop"/>
          <w:rFonts w:eastAsiaTheme="majorEastAsia"/>
          <w:lang w:val="en-US"/>
        </w:rPr>
        <w:t>-</w:t>
      </w:r>
      <w:r>
        <w:rPr>
          <w:rStyle w:val="eop"/>
          <w:rFonts w:eastAsiaTheme="majorEastAsia"/>
          <w:lang w:val="en-US"/>
        </w:rPr>
        <w:t>surface aquifers p</w:t>
      </w:r>
      <w:r w:rsidR="00A23F94">
        <w:rPr>
          <w:rStyle w:val="eop"/>
          <w:rFonts w:eastAsiaTheme="majorEastAsia"/>
          <w:lang w:val="en-US"/>
        </w:rPr>
        <w:t>erched aquifers</w:t>
      </w:r>
      <w:r>
        <w:rPr>
          <w:rStyle w:val="eop"/>
          <w:rFonts w:eastAsiaTheme="majorEastAsia"/>
          <w:lang w:val="en-US"/>
        </w:rPr>
        <w:t xml:space="preserve"> the regional watertable may occur in the Beetaloo GBA region in Cenozoic sediments or weathered regolith overlying Carpentaria Basin.</w:t>
      </w:r>
    </w:p>
    <w:p w14:paraId="3E0947A8" w14:textId="14BD2DAA" w:rsidR="00001437" w:rsidRPr="00957BD7" w:rsidRDefault="00001437" w:rsidP="00957BD7">
      <w:pPr>
        <w:pStyle w:val="Heading3"/>
      </w:pPr>
      <w:bookmarkStart w:id="1115" w:name="_Toc5808374"/>
      <w:bookmarkStart w:id="1116" w:name="_Toc5895068"/>
      <w:bookmarkStart w:id="1117" w:name="_Toc6308956"/>
      <w:bookmarkStart w:id="1118" w:name="_Toc6327620"/>
      <w:bookmarkStart w:id="1119" w:name="_Toc38990450"/>
      <w:bookmarkEnd w:id="1114"/>
      <w:r w:rsidRPr="00957BD7">
        <w:rPr>
          <w:rStyle w:val="normaltextrun1"/>
        </w:rPr>
        <w:t>Inter-aquifer connectivity</w:t>
      </w:r>
      <w:bookmarkEnd w:id="1115"/>
      <w:bookmarkEnd w:id="1116"/>
      <w:bookmarkEnd w:id="1117"/>
      <w:bookmarkEnd w:id="1118"/>
      <w:bookmarkEnd w:id="1119"/>
    </w:p>
    <w:p w14:paraId="236E2278" w14:textId="5D302573" w:rsidR="00001437" w:rsidRPr="003E1F1E" w:rsidRDefault="00001437" w:rsidP="3C583D25">
      <w:pPr>
        <w:pStyle w:val="BodyText"/>
        <w:rPr>
          <w:rStyle w:val="eop"/>
        </w:rPr>
      </w:pPr>
      <w:r>
        <w:rPr>
          <w:rStyle w:val="normaltextrun1"/>
        </w:rPr>
        <w:t xml:space="preserve">Over much of the </w:t>
      </w:r>
      <w:r>
        <w:rPr>
          <w:rStyle w:val="spellingerror"/>
        </w:rPr>
        <w:t>Beetaloo</w:t>
      </w:r>
      <w:r>
        <w:rPr>
          <w:rStyle w:val="normaltextrun1"/>
        </w:rPr>
        <w:t xml:space="preserve"> Sub-basin, the CLA is separated from the </w:t>
      </w:r>
      <w:r w:rsidR="00647A81">
        <w:t>underlying prospective Roper Group</w:t>
      </w:r>
      <w:r>
        <w:rPr>
          <w:rStyle w:val="normaltextrun1"/>
        </w:rPr>
        <w:t xml:space="preserve"> by multiple aquitards</w:t>
      </w:r>
      <w:r w:rsidR="00FB7DE7">
        <w:rPr>
          <w:rStyle w:val="normaltextrun1"/>
        </w:rPr>
        <w:t>,</w:t>
      </w:r>
      <w:r>
        <w:rPr>
          <w:rStyle w:val="normaltextrun1"/>
        </w:rPr>
        <w:t xml:space="preserve"> including uppermost the Antrim Plateau </w:t>
      </w:r>
      <w:r>
        <w:rPr>
          <w:rStyle w:val="spellingerror"/>
        </w:rPr>
        <w:t>Volcanics</w:t>
      </w:r>
      <w:r w:rsidR="001877F5">
        <w:rPr>
          <w:rStyle w:val="spellingerror"/>
        </w:rPr>
        <w:t>,</w:t>
      </w:r>
      <w:r>
        <w:rPr>
          <w:rStyle w:val="normaltextrun1"/>
        </w:rPr>
        <w:t xml:space="preserve"> and the underlying Hayfield mudstone. Where these intervening aquitards are absent, thinner, or are fractured along faults, there is the potential for groundwater interconnection between the CLA and Neoproterozoic reservoirs such as the </w:t>
      </w:r>
      <w:r w:rsidR="00D631A3">
        <w:rPr>
          <w:rStyle w:val="normaltextrun1"/>
        </w:rPr>
        <w:t>Jamison sandstone</w:t>
      </w:r>
      <w:r>
        <w:rPr>
          <w:rStyle w:val="normaltextrun1"/>
        </w:rPr>
        <w:t>. The degree of inter-aquifer connectivity is not well characterised.</w:t>
      </w:r>
    </w:p>
    <w:p w14:paraId="07C1D08D" w14:textId="59CA06CD" w:rsidR="00001437" w:rsidRPr="003E1F1E" w:rsidRDefault="50BA1442" w:rsidP="50BA1442">
      <w:pPr>
        <w:pStyle w:val="BodyText"/>
        <w:rPr>
          <w:rStyle w:val="normaltextrun1"/>
        </w:rPr>
      </w:pPr>
      <w:r w:rsidRPr="50BA1442">
        <w:rPr>
          <w:rStyle w:val="normaltextrun1"/>
        </w:rPr>
        <w:t>Key pathways for connectivity that may be of concern include:</w:t>
      </w:r>
    </w:p>
    <w:p w14:paraId="1DD159A9" w14:textId="2350C51D" w:rsidR="00475782" w:rsidRPr="00673186" w:rsidRDefault="002B26D5" w:rsidP="00673186">
      <w:pPr>
        <w:pStyle w:val="ListBullet"/>
      </w:pPr>
      <w:r>
        <w:rPr>
          <w:rStyle w:val="normaltextrun1"/>
        </w:rPr>
        <w:t>c</w:t>
      </w:r>
      <w:r w:rsidR="50BA1442" w:rsidRPr="00673186">
        <w:rPr>
          <w:rStyle w:val="normaltextrun1"/>
        </w:rPr>
        <w:t>onnectivity issues associated with development and production of prospective Roper Group formations; whereby potential impacts could spread to overlying groundwater systems</w:t>
      </w:r>
    </w:p>
    <w:p w14:paraId="077C0733" w14:textId="787013C0" w:rsidR="00475782" w:rsidRPr="00673186" w:rsidRDefault="002B26D5" w:rsidP="00673186">
      <w:pPr>
        <w:pStyle w:val="ListBullet"/>
        <w:rPr>
          <w:rStyle w:val="eop"/>
        </w:rPr>
      </w:pPr>
      <w:r>
        <w:rPr>
          <w:rStyle w:val="normaltextrun1"/>
        </w:rPr>
        <w:t>c</w:t>
      </w:r>
      <w:r w:rsidR="00001437" w:rsidRPr="00673186">
        <w:rPr>
          <w:rStyle w:val="normaltextrun1"/>
        </w:rPr>
        <w:t>onnectivity issues associated with extracting groundwater above the Roper Group for petroleum resource development, whereby impacts may spread to other groundwater users and the environment through shallow systems.</w:t>
      </w:r>
    </w:p>
    <w:p w14:paraId="27E248AA" w14:textId="115AC97D" w:rsidR="00001437" w:rsidRPr="00001C61" w:rsidRDefault="002B26D5" w:rsidP="002B26D5">
      <w:pPr>
        <w:pStyle w:val="ListBullet"/>
      </w:pPr>
      <w:r>
        <w:rPr>
          <w:rStyle w:val="normaltextrun1"/>
        </w:rPr>
        <w:t>s</w:t>
      </w:r>
      <w:r w:rsidR="00001437">
        <w:rPr>
          <w:rStyle w:val="normaltextrun1"/>
        </w:rPr>
        <w:t xml:space="preserve">hallow aquifer (e.g. the CLA) </w:t>
      </w:r>
      <w:r w:rsidR="003C7716">
        <w:rPr>
          <w:rStyle w:val="normaltextrun1"/>
        </w:rPr>
        <w:t>contamination due</w:t>
      </w:r>
      <w:r w:rsidR="00001437">
        <w:rPr>
          <w:rStyle w:val="normaltextrun1"/>
        </w:rPr>
        <w:t xml:space="preserve"> to infiltration of surface </w:t>
      </w:r>
      <w:r w:rsidR="003C7716">
        <w:rPr>
          <w:rStyle w:val="normaltextrun1"/>
        </w:rPr>
        <w:t>spills from</w:t>
      </w:r>
      <w:r w:rsidR="00001437">
        <w:rPr>
          <w:rStyle w:val="normaltextrun1"/>
        </w:rPr>
        <w:t xml:space="preserve"> petroleum development or production. Effects from points 1 and 2 above may spread through shallow aquifer pathways.</w:t>
      </w:r>
    </w:p>
    <w:p w14:paraId="2F0A7168" w14:textId="3CD24F01" w:rsidR="00001437" w:rsidRPr="00200642" w:rsidRDefault="00C30378" w:rsidP="00200642">
      <w:pPr>
        <w:pStyle w:val="Heading3"/>
      </w:pPr>
      <w:bookmarkStart w:id="1120" w:name="_Toc5808375"/>
      <w:bookmarkStart w:id="1121" w:name="_Toc5895069"/>
      <w:bookmarkStart w:id="1122" w:name="_Toc6308957"/>
      <w:bookmarkStart w:id="1123" w:name="_Toc6327621"/>
      <w:bookmarkStart w:id="1124" w:name="_Toc38990451"/>
      <w:r w:rsidRPr="00200642">
        <w:t>Surface water – groundwater</w:t>
      </w:r>
      <w:r w:rsidR="00001437" w:rsidRPr="00200642">
        <w:rPr>
          <w:rStyle w:val="normaltextrun1"/>
        </w:rPr>
        <w:t xml:space="preserve"> interactions</w:t>
      </w:r>
      <w:bookmarkEnd w:id="1120"/>
      <w:bookmarkEnd w:id="1121"/>
      <w:bookmarkEnd w:id="1122"/>
      <w:bookmarkEnd w:id="1123"/>
      <w:bookmarkEnd w:id="1124"/>
    </w:p>
    <w:p w14:paraId="17FE9D00" w14:textId="73DE7632" w:rsidR="003D248C" w:rsidRPr="007510B2" w:rsidRDefault="50BA1442" w:rsidP="008A3884">
      <w:pPr>
        <w:pStyle w:val="ListBullet"/>
      </w:pPr>
      <w:r>
        <w:t xml:space="preserve">GDEs </w:t>
      </w:r>
      <w:r w:rsidR="00335423">
        <w:t>do occur</w:t>
      </w:r>
      <w:r>
        <w:t xml:space="preserve"> within the Beetaloo GBA region</w:t>
      </w:r>
      <w:r w:rsidR="00F75B7F">
        <w:t>. G</w:t>
      </w:r>
      <w:r>
        <w:t>iven that reg</w:t>
      </w:r>
      <w:r w:rsidR="00647A81">
        <w:t xml:space="preserve">ional groundwater is typically greater than </w:t>
      </w:r>
      <w:r w:rsidR="00F75B7F">
        <w:t xml:space="preserve">40 </w:t>
      </w:r>
      <w:r>
        <w:t xml:space="preserve">m deep, </w:t>
      </w:r>
      <w:r w:rsidR="00F75B7F">
        <w:t xml:space="preserve">if they are connected to groundwater they </w:t>
      </w:r>
      <w:r>
        <w:t xml:space="preserve">are </w:t>
      </w:r>
      <w:r w:rsidR="00F75B7F">
        <w:t xml:space="preserve">more </w:t>
      </w:r>
      <w:r>
        <w:t xml:space="preserve">likely to </w:t>
      </w:r>
      <w:r w:rsidR="00F75B7F">
        <w:t>interact with the</w:t>
      </w:r>
      <w:r>
        <w:t xml:space="preserve"> shallow perched groundwater systems </w:t>
      </w:r>
      <w:r w:rsidR="00F75B7F">
        <w:t>rather than the regional watertable</w:t>
      </w:r>
      <w:r>
        <w:t>.</w:t>
      </w:r>
    </w:p>
    <w:p w14:paraId="244FCDD8" w14:textId="087DA7A0" w:rsidR="007510B2" w:rsidRDefault="007510B2" w:rsidP="008A3884">
      <w:pPr>
        <w:pStyle w:val="ListBullet"/>
      </w:pPr>
      <w:r w:rsidRPr="007510B2">
        <w:t xml:space="preserve">There are no </w:t>
      </w:r>
      <w:r w:rsidR="00BE2679">
        <w:t>mapped</w:t>
      </w:r>
      <w:r w:rsidR="00BE2679" w:rsidRPr="007510B2">
        <w:t xml:space="preserve"> </w:t>
      </w:r>
      <w:r w:rsidRPr="007510B2">
        <w:t xml:space="preserve">springs within the Beetaloo GBA region, </w:t>
      </w:r>
      <w:r w:rsidR="00EB39A4">
        <w:t xml:space="preserve">but a number </w:t>
      </w:r>
      <w:r w:rsidR="00BE2679">
        <w:t>are recorded</w:t>
      </w:r>
      <w:r w:rsidR="00EB39A4">
        <w:t xml:space="preserve"> in </w:t>
      </w:r>
      <w:r w:rsidR="00F75B7F">
        <w:t>extended Beetaloo GBA region</w:t>
      </w:r>
      <w:r w:rsidR="00EB39A4">
        <w:t xml:space="preserve">. </w:t>
      </w:r>
      <w:r w:rsidR="00A5200A">
        <w:t xml:space="preserve">To the north, </w:t>
      </w:r>
      <w:r w:rsidR="00EB39A4">
        <w:t>s</w:t>
      </w:r>
      <w:r w:rsidRPr="007510B2">
        <w:t xml:space="preserve">ignificant springs </w:t>
      </w:r>
      <w:r w:rsidR="00CD1AFC">
        <w:t xml:space="preserve">discharging groundwater from the Beetaloo GBA region </w:t>
      </w:r>
      <w:r w:rsidRPr="007510B2">
        <w:t>include Mataranka</w:t>
      </w:r>
      <w:r w:rsidR="00CD1AFC">
        <w:t xml:space="preserve"> </w:t>
      </w:r>
      <w:r w:rsidR="00F75B7F">
        <w:t xml:space="preserve">Thermal </w:t>
      </w:r>
      <w:r w:rsidR="00E01596">
        <w:t xml:space="preserve">Pools </w:t>
      </w:r>
      <w:r w:rsidR="00CD1AFC">
        <w:t>and</w:t>
      </w:r>
      <w:r w:rsidR="00CD1AFC" w:rsidRPr="007510B2">
        <w:t xml:space="preserve"> </w:t>
      </w:r>
      <w:r w:rsidRPr="007510B2">
        <w:t xml:space="preserve">Flora River. </w:t>
      </w:r>
    </w:p>
    <w:p w14:paraId="210E4BE0" w14:textId="035438E3" w:rsidR="00001437" w:rsidRPr="003D248C" w:rsidRDefault="005836CE" w:rsidP="008A3884">
      <w:pPr>
        <w:pStyle w:val="ListBullet"/>
      </w:pPr>
      <w:r>
        <w:t xml:space="preserve">South of the Beetaloo GBA region, </w:t>
      </w:r>
      <w:r w:rsidR="00F75B7F">
        <w:t xml:space="preserve">ephemeral </w:t>
      </w:r>
      <w:r>
        <w:t>lakes (including L</w:t>
      </w:r>
      <w:r w:rsidR="00001437" w:rsidRPr="003D248C">
        <w:t xml:space="preserve">ake </w:t>
      </w:r>
      <w:r>
        <w:t>W</w:t>
      </w:r>
      <w:r w:rsidRPr="003D248C">
        <w:t>oods</w:t>
      </w:r>
      <w:r>
        <w:t>)</w:t>
      </w:r>
      <w:r w:rsidRPr="003D248C">
        <w:t xml:space="preserve"> </w:t>
      </w:r>
      <w:r>
        <w:t>are likely</w:t>
      </w:r>
      <w:r w:rsidR="00F75B7F">
        <w:t xml:space="preserve"> to be</w:t>
      </w:r>
      <w:r>
        <w:t xml:space="preserve"> </w:t>
      </w:r>
      <w:r w:rsidR="00F75B7F">
        <w:t>places were episodic recharge occurs to the</w:t>
      </w:r>
      <w:r>
        <w:t xml:space="preserve"> </w:t>
      </w:r>
      <w:r w:rsidR="00001437" w:rsidRPr="003D248C">
        <w:t xml:space="preserve">CLA. </w:t>
      </w:r>
    </w:p>
    <w:p w14:paraId="5E8F9141" w14:textId="3B21AFED" w:rsidR="005D1077" w:rsidRPr="00200642" w:rsidRDefault="7AD8E2CC" w:rsidP="00200642">
      <w:pPr>
        <w:pStyle w:val="Heading3"/>
        <w:rPr>
          <w:rStyle w:val="normaltextrun1"/>
        </w:rPr>
      </w:pPr>
      <w:bookmarkStart w:id="1125" w:name="_Toc5808376"/>
      <w:bookmarkStart w:id="1126" w:name="_Toc5895070"/>
      <w:bookmarkStart w:id="1127" w:name="_Toc6308958"/>
      <w:bookmarkStart w:id="1128" w:name="_Toc6327622"/>
      <w:bookmarkStart w:id="1129" w:name="_Ref22027093"/>
      <w:bookmarkStart w:id="1130" w:name="_Toc38990452"/>
      <w:r w:rsidRPr="00200642">
        <w:rPr>
          <w:rStyle w:val="normaltextrun1"/>
        </w:rPr>
        <w:t xml:space="preserve">Gaps, limitations and </w:t>
      </w:r>
      <w:r w:rsidR="00D86359" w:rsidRPr="00200642">
        <w:rPr>
          <w:rStyle w:val="normaltextrun1"/>
        </w:rPr>
        <w:t>future directions</w:t>
      </w:r>
      <w:bookmarkEnd w:id="1125"/>
      <w:bookmarkEnd w:id="1126"/>
      <w:bookmarkEnd w:id="1127"/>
      <w:bookmarkEnd w:id="1128"/>
      <w:bookmarkEnd w:id="1129"/>
      <w:bookmarkEnd w:id="1130"/>
    </w:p>
    <w:p w14:paraId="69C28EA4" w14:textId="5AC06F93" w:rsidR="00001437" w:rsidRPr="003E1F1E" w:rsidRDefault="00001437" w:rsidP="003D248C">
      <w:pPr>
        <w:pStyle w:val="BodyText"/>
        <w:rPr>
          <w:rStyle w:val="eop"/>
        </w:rPr>
      </w:pPr>
      <w:r>
        <w:rPr>
          <w:rStyle w:val="normaltextrun1"/>
        </w:rPr>
        <w:t>Key data and knowledge gap</w:t>
      </w:r>
      <w:r w:rsidRPr="003E1F1E">
        <w:t>s identified and potential future work to improve regional hydrogeological conceptualisation</w:t>
      </w:r>
      <w:r>
        <w:rPr>
          <w:rStyle w:val="normaltextrun1"/>
        </w:rPr>
        <w:t xml:space="preserve"> of the Beetaloo GBA region </w:t>
      </w:r>
      <w:r w:rsidRPr="001C6E9A">
        <w:rPr>
          <w:rStyle w:val="normaltextrun1"/>
        </w:rPr>
        <w:t xml:space="preserve">are </w:t>
      </w:r>
      <w:r>
        <w:rPr>
          <w:rStyle w:val="normaltextrun1"/>
        </w:rPr>
        <w:t xml:space="preserve">provided </w:t>
      </w:r>
      <w:r w:rsidR="002B26D5">
        <w:rPr>
          <w:rStyle w:val="normaltextrun1"/>
        </w:rPr>
        <w:t>in the following sections</w:t>
      </w:r>
      <w:r>
        <w:rPr>
          <w:rStyle w:val="normaltextrun1"/>
        </w:rPr>
        <w:t xml:space="preserve">. </w:t>
      </w:r>
    </w:p>
    <w:p w14:paraId="290CDCE9" w14:textId="32384A61" w:rsidR="00001437" w:rsidRPr="00200642" w:rsidRDefault="00001437" w:rsidP="00200642">
      <w:pPr>
        <w:pStyle w:val="Heading4"/>
      </w:pPr>
      <w:bookmarkStart w:id="1131" w:name="_Ref21961061"/>
      <w:r w:rsidRPr="00200642">
        <w:rPr>
          <w:rStyle w:val="normaltextrun1"/>
        </w:rPr>
        <w:t>Groundwater and baseline data</w:t>
      </w:r>
      <w:bookmarkEnd w:id="1131"/>
    </w:p>
    <w:p w14:paraId="7414969E" w14:textId="0AD2E489" w:rsidR="00B90786" w:rsidRPr="0028256A" w:rsidRDefault="00B90786" w:rsidP="006C1E02">
      <w:pPr>
        <w:pStyle w:val="BodyText"/>
      </w:pPr>
      <w:r w:rsidRPr="0028256A">
        <w:t xml:space="preserve">The amount of available hydrogeological data varies greatly </w:t>
      </w:r>
      <w:r>
        <w:t>for different</w:t>
      </w:r>
      <w:r w:rsidRPr="0028256A">
        <w:t xml:space="preserve"> groundwater systems in the</w:t>
      </w:r>
      <w:r>
        <w:t xml:space="preserve"> Beetaloo GBA region. T</w:t>
      </w:r>
      <w:r w:rsidRPr="0028256A">
        <w:t>here is a</w:t>
      </w:r>
      <w:r>
        <w:t>lso a</w:t>
      </w:r>
      <w:r w:rsidRPr="0028256A">
        <w:t xml:space="preserve"> corresponding variation in the level of </w:t>
      </w:r>
      <w:r>
        <w:t xml:space="preserve">understanding for the different </w:t>
      </w:r>
      <w:r w:rsidRPr="0028256A">
        <w:t>groundwater syste</w:t>
      </w:r>
      <w:r>
        <w:t>ms</w:t>
      </w:r>
      <w:r w:rsidRPr="0028256A">
        <w:t>. </w:t>
      </w:r>
      <w:r>
        <w:t>Whi</w:t>
      </w:r>
      <w:r w:rsidR="002B26D5">
        <w:t>le</w:t>
      </w:r>
      <w:r>
        <w:t xml:space="preserve"> there are still some significant knowledge gaps, t</w:t>
      </w:r>
      <w:r w:rsidRPr="0028256A">
        <w:t xml:space="preserve">he CLA is </w:t>
      </w:r>
      <w:r>
        <w:t xml:space="preserve">a </w:t>
      </w:r>
      <w:r w:rsidRPr="0028256A">
        <w:t>relatively well-studied and understood groundwater system</w:t>
      </w:r>
      <w:r>
        <w:t xml:space="preserve">, when compared to the </w:t>
      </w:r>
      <w:r w:rsidRPr="0028256A">
        <w:t>limited hydrogeological information</w:t>
      </w:r>
      <w:r>
        <w:t xml:space="preserve"> available for t</w:t>
      </w:r>
      <w:r w:rsidRPr="0028256A">
        <w:t xml:space="preserve">he deeper Proterozoic groundwater systems.  </w:t>
      </w:r>
    </w:p>
    <w:p w14:paraId="54E32D53" w14:textId="77777777" w:rsidR="00B90786" w:rsidRPr="0028256A" w:rsidRDefault="00B90786" w:rsidP="006C1E02">
      <w:pPr>
        <w:pStyle w:val="BodyText"/>
      </w:pPr>
      <w:r w:rsidRPr="0028256A">
        <w:t xml:space="preserve">Identified data </w:t>
      </w:r>
      <w:r>
        <w:t xml:space="preserve">and knowledge </w:t>
      </w:r>
      <w:r w:rsidRPr="0028256A">
        <w:t>gaps:</w:t>
      </w:r>
    </w:p>
    <w:p w14:paraId="2A4EA1CB" w14:textId="77777777" w:rsidR="00B90786" w:rsidRPr="0028256A" w:rsidRDefault="00B90786" w:rsidP="00B90786">
      <w:pPr>
        <w:pStyle w:val="ListBullet"/>
      </w:pPr>
      <w:r w:rsidRPr="0028256A">
        <w:t xml:space="preserve">A significant proportion of groundwater bores </w:t>
      </w:r>
      <w:r>
        <w:t>with</w:t>
      </w:r>
      <w:r w:rsidRPr="0028256A">
        <w:t xml:space="preserve"> water level and/or hydrochemistry data available have not been assigned to a </w:t>
      </w:r>
      <w:r>
        <w:t>hydro</w:t>
      </w:r>
      <w:r w:rsidRPr="0028256A">
        <w:t>stratigraphic unit.</w:t>
      </w:r>
    </w:p>
    <w:p w14:paraId="25A1BE04" w14:textId="5EF52F21" w:rsidR="00B90786" w:rsidRPr="0028256A" w:rsidRDefault="002B26D5" w:rsidP="00B90786">
      <w:pPr>
        <w:pStyle w:val="ListBullet"/>
      </w:pPr>
      <w:r>
        <w:t>There are l</w:t>
      </w:r>
      <w:r w:rsidR="00B90786" w:rsidRPr="0028256A">
        <w:t>imited baseline groundwater level and hydrochemistry data for all aquifers below the CLA, for example</w:t>
      </w:r>
      <w:r w:rsidR="00B90786">
        <w:t>,</w:t>
      </w:r>
      <w:r w:rsidR="00B90786" w:rsidRPr="0028256A">
        <w:t xml:space="preserve"> the Bukalara Sandstone. </w:t>
      </w:r>
    </w:p>
    <w:p w14:paraId="49036E0D" w14:textId="77777777" w:rsidR="00B90786" w:rsidRPr="0028256A" w:rsidRDefault="00B90786" w:rsidP="00B90786">
      <w:pPr>
        <w:pStyle w:val="ListBullet"/>
      </w:pPr>
      <w:r>
        <w:t>There is a l</w:t>
      </w:r>
      <w:r w:rsidRPr="0028256A">
        <w:t xml:space="preserve">ack of fit-for-purpose groundwater data to assess </w:t>
      </w:r>
      <w:r>
        <w:t>characterise groundwater flow</w:t>
      </w:r>
      <w:r w:rsidRPr="0028256A">
        <w:t xml:space="preserve"> in aquifers below the CLA.</w:t>
      </w:r>
    </w:p>
    <w:p w14:paraId="3F858FDB" w14:textId="77777777" w:rsidR="00B90786" w:rsidRPr="00453132" w:rsidRDefault="00B90786" w:rsidP="00453132">
      <w:pPr>
        <w:pStyle w:val="BodyText"/>
        <w:rPr>
          <w:rStyle w:val="Bold"/>
        </w:rPr>
      </w:pPr>
      <w:r w:rsidRPr="00453132">
        <w:rPr>
          <w:rStyle w:val="Bold"/>
        </w:rPr>
        <w:t>Stage 3 work:</w:t>
      </w:r>
    </w:p>
    <w:p w14:paraId="01EC9E07" w14:textId="77777777" w:rsidR="00B90786" w:rsidRDefault="00B90786" w:rsidP="00B90786">
      <w:pPr>
        <w:pStyle w:val="ListBullet"/>
      </w:pPr>
      <w:r w:rsidRPr="0028256A">
        <w:t xml:space="preserve">Review existing groundwater bores and their </w:t>
      </w:r>
      <w:r>
        <w:t>screened</w:t>
      </w:r>
      <w:r w:rsidRPr="0028256A">
        <w:t xml:space="preserve"> aquifer</w:t>
      </w:r>
      <w:r>
        <w:t>s</w:t>
      </w:r>
      <w:r w:rsidRPr="0028256A">
        <w:t xml:space="preserve"> to establish if there are any additional bores available for groundwat</w:t>
      </w:r>
      <w:r>
        <w:t xml:space="preserve">er sampling in the Proterozoic </w:t>
      </w:r>
      <w:r w:rsidRPr="0028256A">
        <w:t xml:space="preserve">units </w:t>
      </w:r>
      <w:r>
        <w:t>or</w:t>
      </w:r>
      <w:r w:rsidRPr="0028256A">
        <w:t xml:space="preserve"> Antrim Plateau Volcanics</w:t>
      </w:r>
      <w:r>
        <w:t>.</w:t>
      </w:r>
    </w:p>
    <w:p w14:paraId="6D77215F" w14:textId="2F3AC65B" w:rsidR="00B90786" w:rsidRDefault="00B90786" w:rsidP="00B90786">
      <w:pPr>
        <w:pStyle w:val="ListBullet"/>
      </w:pPr>
      <w:r>
        <w:t xml:space="preserve">Undertake hydrochemical sampling of selected bores screened in aquifers other than the CLA in the Beetaloo GBA region. Sampling should include environmental tracers as well as hydrochemical parameters to provide hydrochemical baseline and </w:t>
      </w:r>
      <w:r w:rsidR="00F75B7F">
        <w:t xml:space="preserve">lead </w:t>
      </w:r>
      <w:r>
        <w:t>to better understanding of groundwater recharge mechanisms, groundwater age, flow paths and surface water interactions.</w:t>
      </w:r>
    </w:p>
    <w:p w14:paraId="0E482783" w14:textId="235D0BBA" w:rsidR="00B90786" w:rsidRDefault="00C4631C" w:rsidP="00B90786">
      <w:pPr>
        <w:pStyle w:val="ListBullet"/>
      </w:pPr>
      <w:r>
        <w:t>Characterise</w:t>
      </w:r>
      <w:r w:rsidR="00B90786">
        <w:t xml:space="preserve"> groundwater flow paths and sources to Mataranka Thermal Pools using hydrochemistry and environmental tracers.</w:t>
      </w:r>
    </w:p>
    <w:p w14:paraId="012089A9" w14:textId="77777777" w:rsidR="00B90786" w:rsidRPr="00453132" w:rsidRDefault="00B90786" w:rsidP="00453132">
      <w:pPr>
        <w:pStyle w:val="BodyText"/>
        <w:rPr>
          <w:rStyle w:val="Bold"/>
        </w:rPr>
      </w:pPr>
      <w:r w:rsidRPr="00453132">
        <w:rPr>
          <w:rStyle w:val="Bold"/>
        </w:rPr>
        <w:t>Future work:</w:t>
      </w:r>
    </w:p>
    <w:p w14:paraId="3B598B3A" w14:textId="0D6C1522" w:rsidR="00B90786" w:rsidRPr="00765B5F" w:rsidRDefault="00B90786" w:rsidP="00B90786">
      <w:pPr>
        <w:pStyle w:val="ListBullet"/>
      </w:pPr>
      <w:r w:rsidRPr="00765B5F">
        <w:rPr>
          <w:rStyle w:val="normaltextrun1"/>
        </w:rPr>
        <w:t xml:space="preserve">Assign hydrostratigraphy to bores with existing water level or hydrochemistry data. The hydrostratigraphy of CLA in bores could potentially be refined </w:t>
      </w:r>
      <w:r w:rsidRPr="00765B5F">
        <w:t>(depending on the length of the screened/open hole interv</w:t>
      </w:r>
      <w:r>
        <w:t xml:space="preserve">als), </w:t>
      </w:r>
      <w:r w:rsidRPr="00765B5F">
        <w:t xml:space="preserve">using siltstone marker horizons </w:t>
      </w:r>
      <w:r>
        <w:t xml:space="preserve">as </w:t>
      </w:r>
      <w:r w:rsidRPr="00765B5F">
        <w:t xml:space="preserve">outlined in Section </w:t>
      </w:r>
      <w:r w:rsidRPr="00765B5F">
        <w:fldChar w:fldCharType="begin"/>
      </w:r>
      <w:r w:rsidRPr="00765B5F">
        <w:instrText xml:space="preserve"> REF _Ref5187386 \r \h  \* MERGEFORMAT </w:instrText>
      </w:r>
      <w:r w:rsidRPr="00765B5F">
        <w:fldChar w:fldCharType="separate"/>
      </w:r>
      <w:r w:rsidR="00B177F5">
        <w:t>3.2.3.2</w:t>
      </w:r>
      <w:r w:rsidRPr="00765B5F">
        <w:fldChar w:fldCharType="end"/>
      </w:r>
      <w:r w:rsidRPr="00765B5F">
        <w:t xml:space="preserve"> as a method to group waterlevel data for analysis. </w:t>
      </w:r>
    </w:p>
    <w:p w14:paraId="5D47C748" w14:textId="1328E974" w:rsidR="00B90786" w:rsidRPr="00585C8F" w:rsidRDefault="00585C8F" w:rsidP="00585C8F">
      <w:pPr>
        <w:pStyle w:val="ListBullet"/>
        <w:rPr>
          <w:rStyle w:val="eop"/>
        </w:rPr>
      </w:pPr>
      <w:r w:rsidRPr="00585C8F">
        <w:t xml:space="preserve">Regional groundwater mapping of the watertable for Beetaloo GBA should be </w:t>
      </w:r>
      <w:r w:rsidR="00C4631C" w:rsidRPr="00585C8F">
        <w:t>updated and</w:t>
      </w:r>
      <w:r w:rsidRPr="00585C8F">
        <w:t xml:space="preserve"> extended to provide more complete coverage of the CLA and </w:t>
      </w:r>
      <w:r w:rsidR="00545A12" w:rsidRPr="00585C8F">
        <w:t>environs</w:t>
      </w:r>
      <w:r w:rsidRPr="00585C8F">
        <w:t xml:space="preserve">. </w:t>
      </w:r>
      <w:r w:rsidR="00B90786" w:rsidRPr="00585C8F">
        <w:rPr>
          <w:rStyle w:val="normaltextrun1"/>
        </w:rPr>
        <w:t xml:space="preserve">Potentially archival data could be used in conjunction with more recent data. Suggestions for </w:t>
      </w:r>
      <w:r w:rsidRPr="00585C8F">
        <w:rPr>
          <w:rStyle w:val="normaltextrun1"/>
        </w:rPr>
        <w:t>how to segregate</w:t>
      </w:r>
      <w:r w:rsidR="00B90786" w:rsidRPr="00585C8F">
        <w:rPr>
          <w:rStyle w:val="normaltextrun1"/>
        </w:rPr>
        <w:t xml:space="preserve"> </w:t>
      </w:r>
      <w:r w:rsidRPr="00585C8F">
        <w:rPr>
          <w:rStyle w:val="normaltextrun1"/>
        </w:rPr>
        <w:t>or group archival water</w:t>
      </w:r>
      <w:r w:rsidR="00B90786" w:rsidRPr="00585C8F">
        <w:rPr>
          <w:rStyle w:val="normaltextrun1"/>
        </w:rPr>
        <w:t>level</w:t>
      </w:r>
      <w:r w:rsidRPr="00585C8F">
        <w:rPr>
          <w:rStyle w:val="normaltextrun1"/>
        </w:rPr>
        <w:t xml:space="preserve"> data (see </w:t>
      </w:r>
      <w:r w:rsidR="00B90786" w:rsidRPr="00585C8F">
        <w:rPr>
          <w:rStyle w:val="normaltextrun1"/>
        </w:rPr>
        <w:t xml:space="preserve">Section </w:t>
      </w:r>
      <w:r w:rsidR="00B90786" w:rsidRPr="00585C8F">
        <w:rPr>
          <w:rStyle w:val="normaltextrun1"/>
        </w:rPr>
        <w:fldChar w:fldCharType="begin"/>
      </w:r>
      <w:r w:rsidR="00B90786" w:rsidRPr="00585C8F">
        <w:rPr>
          <w:rStyle w:val="normaltextrun1"/>
        </w:rPr>
        <w:instrText xml:space="preserve"> REF _Ref4056897 \r \h  \* MERGEFORMAT </w:instrText>
      </w:r>
      <w:r w:rsidR="00B90786" w:rsidRPr="00585C8F">
        <w:rPr>
          <w:rStyle w:val="normaltextrun1"/>
        </w:rPr>
      </w:r>
      <w:r w:rsidR="00B90786" w:rsidRPr="00585C8F">
        <w:rPr>
          <w:rStyle w:val="normaltextrun1"/>
        </w:rPr>
        <w:fldChar w:fldCharType="separate"/>
      </w:r>
      <w:r w:rsidR="00B177F5">
        <w:rPr>
          <w:rStyle w:val="normaltextrun1"/>
        </w:rPr>
        <w:t>3.3.3.2.2</w:t>
      </w:r>
      <w:r w:rsidR="00B90786" w:rsidRPr="00585C8F">
        <w:rPr>
          <w:rStyle w:val="normaltextrun1"/>
        </w:rPr>
        <w:fldChar w:fldCharType="end"/>
      </w:r>
      <w:r w:rsidRPr="00585C8F">
        <w:rPr>
          <w:rStyle w:val="normaltextrun1"/>
        </w:rPr>
        <w:t xml:space="preserve"> for details)</w:t>
      </w:r>
      <w:r w:rsidR="00B90786" w:rsidRPr="00585C8F">
        <w:rPr>
          <w:rStyle w:val="normaltextrun1"/>
        </w:rPr>
        <w:t xml:space="preserve"> may assist with interrogation and identification of trends</w:t>
      </w:r>
      <w:r w:rsidRPr="00585C8F">
        <w:rPr>
          <w:rStyle w:val="normaltextrun1"/>
        </w:rPr>
        <w:t xml:space="preserve"> in groundwater table.</w:t>
      </w:r>
      <w:r w:rsidR="00A47209">
        <w:t xml:space="preserve"> </w:t>
      </w:r>
      <w:r w:rsidRPr="00585C8F">
        <w:t xml:space="preserve">Also, investigations into the </w:t>
      </w:r>
      <w:r w:rsidR="00C4631C" w:rsidRPr="00585C8F">
        <w:t>occurrence</w:t>
      </w:r>
      <w:r w:rsidRPr="00585C8F">
        <w:t xml:space="preserve"> of perched</w:t>
      </w:r>
      <w:r w:rsidR="00545A12">
        <w:t xml:space="preserve"> aquifers </w:t>
      </w:r>
      <w:r w:rsidRPr="00585C8F">
        <w:t>in the Beetaloo GBA region should be considered.</w:t>
      </w:r>
      <w:r w:rsidR="00A47209">
        <w:t xml:space="preserve"> </w:t>
      </w:r>
    </w:p>
    <w:p w14:paraId="3B438E8F" w14:textId="67A437E5" w:rsidR="00B90786" w:rsidRPr="0028256A" w:rsidRDefault="00B90786" w:rsidP="00B90786">
      <w:pPr>
        <w:pStyle w:val="ListBullet"/>
      </w:pPr>
      <w:r>
        <w:t xml:space="preserve">Undertake a systematic groundwater monitoring program for Proterozoic groundwater bores (only available outside the </w:t>
      </w:r>
      <w:r w:rsidR="00545A12">
        <w:t>Beetaloo</w:t>
      </w:r>
      <w:r>
        <w:t xml:space="preserve"> GBA region) and the CLA to help establish baseline conditions, including connectivity and seasonal dynamics. </w:t>
      </w:r>
    </w:p>
    <w:p w14:paraId="29C0CB95" w14:textId="77777777" w:rsidR="00B90786" w:rsidRDefault="00B90786" w:rsidP="00B90786">
      <w:pPr>
        <w:pStyle w:val="ListBullet"/>
      </w:pPr>
      <w:r w:rsidRPr="0028256A">
        <w:t xml:space="preserve">Consider drilling monitoring bores into Proterozoic rock aquifers such as Bukalara </w:t>
      </w:r>
      <w:r>
        <w:t xml:space="preserve">Sandstone </w:t>
      </w:r>
      <w:r w:rsidRPr="0028256A">
        <w:t xml:space="preserve">or Jamison </w:t>
      </w:r>
      <w:r>
        <w:t>s</w:t>
      </w:r>
      <w:r w:rsidRPr="0028256A">
        <w:t xml:space="preserve">andstone to better </w:t>
      </w:r>
      <w:r>
        <w:t>understand</w:t>
      </w:r>
      <w:r w:rsidRPr="0028256A">
        <w:t xml:space="preserve"> hydrogeological characteristics</w:t>
      </w:r>
      <w:r>
        <w:t xml:space="preserve"> in the Beetaloo GBA region.</w:t>
      </w:r>
    </w:p>
    <w:p w14:paraId="644EDF7B" w14:textId="77777777" w:rsidR="00B90786" w:rsidRDefault="00B90786" w:rsidP="00B90786">
      <w:pPr>
        <w:pStyle w:val="ListBullet"/>
      </w:pPr>
      <w:r>
        <w:t>Further study of pressure differences using nested monitoring wells would assist with understanding direction of vertical and horizontal groundwater flow and degree of connectivity between different hydrostratigraphic units that comprise the CLA, as well as degree of connectivity with deeper aquifers (e.g. Bukalara Sandstone).</w:t>
      </w:r>
    </w:p>
    <w:p w14:paraId="40E04F0B" w14:textId="4FA04D7A" w:rsidR="00B90786" w:rsidRPr="0028256A" w:rsidRDefault="50BA1442" w:rsidP="00B90786">
      <w:pPr>
        <w:pStyle w:val="ListBullet"/>
      </w:pPr>
      <w:r>
        <w:t xml:space="preserve">As petroleum exploration continues, consideration should be given to include activities that improve understanding of the hydrogeology and geology of the Beetaloo region, above the Roper Group. Activities could include running suites of well logs or pressure surveys or extending geological seismic interpretation to relatively shallow depths (e.g. up to CLA or Antrim Plateau Volcanics), or collecting water samples from prospective deep aquifers, such as Jamison or Bukalara sandstones. </w:t>
      </w:r>
    </w:p>
    <w:p w14:paraId="5BEA4BA4" w14:textId="3B9A0CCC" w:rsidR="00001437" w:rsidRPr="00AC418C" w:rsidRDefault="00001437" w:rsidP="00AC418C">
      <w:pPr>
        <w:pStyle w:val="Heading4"/>
        <w:rPr>
          <w:rFonts w:eastAsiaTheme="majorEastAsia"/>
        </w:rPr>
      </w:pPr>
      <w:r w:rsidRPr="00200642">
        <w:rPr>
          <w:rStyle w:val="normaltextrun1"/>
        </w:rPr>
        <w:t>Intra</w:t>
      </w:r>
      <w:r w:rsidR="0069354C" w:rsidRPr="00200642">
        <w:rPr>
          <w:rStyle w:val="normaltextrun1"/>
        </w:rPr>
        <w:t>-</w:t>
      </w:r>
      <w:r w:rsidRPr="00200642">
        <w:rPr>
          <w:rStyle w:val="normaltextrun1"/>
        </w:rPr>
        <w:t xml:space="preserve"> and </w:t>
      </w:r>
      <w:r w:rsidRPr="00200642">
        <w:rPr>
          <w:rStyle w:val="spellingerror"/>
        </w:rPr>
        <w:t>inter</w:t>
      </w:r>
      <w:r w:rsidR="00FE067A" w:rsidRPr="00200642">
        <w:rPr>
          <w:rStyle w:val="spellingerror"/>
        </w:rPr>
        <w:t>-</w:t>
      </w:r>
      <w:r w:rsidRPr="00200642">
        <w:rPr>
          <w:rStyle w:val="spellingerror"/>
        </w:rPr>
        <w:t>basin</w:t>
      </w:r>
      <w:r w:rsidRPr="00200642">
        <w:rPr>
          <w:rStyle w:val="normaltextrun1"/>
        </w:rPr>
        <w:t xml:space="preserve"> groundwater connectivity</w:t>
      </w:r>
    </w:p>
    <w:p w14:paraId="4BA592F3" w14:textId="77777777" w:rsidR="00675EBC" w:rsidRPr="000423B0" w:rsidRDefault="00675EBC" w:rsidP="000423B0">
      <w:pPr>
        <w:pStyle w:val="BodyText"/>
        <w:rPr>
          <w:rStyle w:val="Bold"/>
        </w:rPr>
      </w:pPr>
      <w:r w:rsidRPr="000423B0">
        <w:rPr>
          <w:rStyle w:val="Bold"/>
        </w:rPr>
        <w:t>Identified data gaps:</w:t>
      </w:r>
    </w:p>
    <w:p w14:paraId="2A034E1E" w14:textId="0A89C74B" w:rsidR="00675EBC" w:rsidRPr="0028256A" w:rsidRDefault="00675EBC" w:rsidP="00675EBC">
      <w:pPr>
        <w:pStyle w:val="ListBullet"/>
      </w:pPr>
      <w:r>
        <w:t>There is a lack of d</w:t>
      </w:r>
      <w:r w:rsidRPr="0028256A">
        <w:t xml:space="preserve">etailed information on the thickness and structure of the Antrim Plateau Volcanics and Bukalara Sandstone and equivalents in </w:t>
      </w:r>
      <w:r w:rsidR="00F75B7F">
        <w:t xml:space="preserve">the </w:t>
      </w:r>
      <w:r w:rsidRPr="0028256A">
        <w:t>Beetaloo GBA region</w:t>
      </w:r>
      <w:r>
        <w:t>.</w:t>
      </w:r>
      <w:r w:rsidRPr="0028256A">
        <w:t xml:space="preserve"> </w:t>
      </w:r>
    </w:p>
    <w:p w14:paraId="5BD8A692" w14:textId="77777777" w:rsidR="00675EBC" w:rsidRPr="0028256A" w:rsidRDefault="00675EBC" w:rsidP="00675EBC">
      <w:pPr>
        <w:pStyle w:val="ListBullet"/>
      </w:pPr>
      <w:r>
        <w:t>T</w:t>
      </w:r>
      <w:r w:rsidRPr="0028256A">
        <w:t xml:space="preserve">hickness and hydraulic properties of Carpentaria Basin units </w:t>
      </w:r>
      <w:r>
        <w:t xml:space="preserve">are needed </w:t>
      </w:r>
      <w:r w:rsidRPr="0028256A">
        <w:t>to better understand recharge to the CLA.</w:t>
      </w:r>
    </w:p>
    <w:p w14:paraId="217B086E" w14:textId="77777777" w:rsidR="00675EBC" w:rsidRPr="0028256A" w:rsidRDefault="00675EBC" w:rsidP="00675EBC">
      <w:pPr>
        <w:pStyle w:val="ListBullet"/>
      </w:pPr>
      <w:r>
        <w:t>There is poor understanding of the di</w:t>
      </w:r>
      <w:r w:rsidRPr="0028256A">
        <w:t>stribution of near</w:t>
      </w:r>
      <w:r>
        <w:t>-</w:t>
      </w:r>
      <w:r w:rsidRPr="0028256A">
        <w:t xml:space="preserve">surface karst in the CLA and its role in preferential flow. </w:t>
      </w:r>
    </w:p>
    <w:p w14:paraId="07FF3231" w14:textId="77777777" w:rsidR="00675EBC" w:rsidRPr="0028256A" w:rsidRDefault="00675EBC" w:rsidP="00675EBC">
      <w:pPr>
        <w:pStyle w:val="ListBullet"/>
      </w:pPr>
      <w:r>
        <w:t>There is limited understanding</w:t>
      </w:r>
      <w:r w:rsidRPr="0028256A">
        <w:t xml:space="preserve"> of structural and stratigraphic connectivity between the Roper Group and overlying aquifers. </w:t>
      </w:r>
    </w:p>
    <w:p w14:paraId="64352730" w14:textId="77777777" w:rsidR="00675EBC" w:rsidRPr="000423B0" w:rsidRDefault="00675EBC" w:rsidP="000423B0">
      <w:pPr>
        <w:pStyle w:val="BodyText"/>
        <w:rPr>
          <w:rStyle w:val="Bold"/>
        </w:rPr>
      </w:pPr>
      <w:r w:rsidRPr="000423B0">
        <w:rPr>
          <w:rStyle w:val="Bold"/>
        </w:rPr>
        <w:t>Stage 3 work:</w:t>
      </w:r>
    </w:p>
    <w:p w14:paraId="662D4EC7" w14:textId="0D6FF7D9" w:rsidR="00675EBC" w:rsidRPr="00C56044" w:rsidRDefault="00545A12" w:rsidP="00675EBC">
      <w:pPr>
        <w:pStyle w:val="ListBullet"/>
      </w:pPr>
      <w:r>
        <w:t>Identify</w:t>
      </w:r>
      <w:r w:rsidR="50BA1442">
        <w:t xml:space="preserve"> areas where sinkholes are likely to be present near surface (consult with industry where appropriate) and </w:t>
      </w:r>
      <w:r w:rsidR="00F75B7F">
        <w:t xml:space="preserve">map the </w:t>
      </w:r>
      <w:r w:rsidR="50BA1442">
        <w:t xml:space="preserve">occurrence </w:t>
      </w:r>
      <w:r w:rsidR="00F75B7F">
        <w:t xml:space="preserve">of </w:t>
      </w:r>
      <w:r w:rsidR="50BA1442">
        <w:t xml:space="preserve">preferential recharge in </w:t>
      </w:r>
      <w:r w:rsidR="00F75B7F">
        <w:t xml:space="preserve">the </w:t>
      </w:r>
      <w:r w:rsidR="50BA1442">
        <w:t>Beetaloo GBA region.</w:t>
      </w:r>
    </w:p>
    <w:p w14:paraId="7334092C" w14:textId="77777777" w:rsidR="00675EBC" w:rsidRDefault="00675EBC" w:rsidP="00675EBC">
      <w:pPr>
        <w:pStyle w:val="ListBullet"/>
      </w:pPr>
      <w:r>
        <w:t>Indicate thickness of cover (i.e. Carpentaria Basin above the Cambrian Limestone Aquifer) across the Beetaloo GBA region including identification of major lithological packages (e.g. the sandstone near the base of the Carpentaria).</w:t>
      </w:r>
    </w:p>
    <w:p w14:paraId="2E50D7DE" w14:textId="44570055" w:rsidR="00675EBC" w:rsidRPr="0028256A" w:rsidRDefault="00675EBC" w:rsidP="00675EBC">
      <w:pPr>
        <w:pStyle w:val="ListBullet"/>
      </w:pPr>
      <w:r>
        <w:t>Sampling</w:t>
      </w:r>
      <w:r w:rsidRPr="0028256A">
        <w:t xml:space="preserve"> and environmental tracer studies to investigate groundwater flow patterns both within and between aquifer systems and to identify flow paths.</w:t>
      </w:r>
    </w:p>
    <w:p w14:paraId="6E76354A" w14:textId="77777777" w:rsidR="00675EBC" w:rsidRPr="000423B0" w:rsidRDefault="00675EBC" w:rsidP="000423B0">
      <w:pPr>
        <w:pStyle w:val="BodyText"/>
        <w:rPr>
          <w:rStyle w:val="Bold"/>
        </w:rPr>
      </w:pPr>
      <w:r w:rsidRPr="000423B0">
        <w:rPr>
          <w:rStyle w:val="Bold"/>
        </w:rPr>
        <w:t>Suggested future work:</w:t>
      </w:r>
    </w:p>
    <w:p w14:paraId="47E74953" w14:textId="77777777" w:rsidR="00675EBC" w:rsidRPr="0028256A" w:rsidRDefault="00675EBC" w:rsidP="00675EBC">
      <w:pPr>
        <w:pStyle w:val="ListBullet"/>
      </w:pPr>
      <w:r w:rsidRPr="0028256A">
        <w:t>Update the regional structural and stratigraphic framework using geophysical data such as seismic surveys and ground</w:t>
      </w:r>
      <w:r>
        <w:t>-</w:t>
      </w:r>
      <w:r w:rsidRPr="0028256A">
        <w:t xml:space="preserve">calibrated aerial electromagnetic induction. </w:t>
      </w:r>
    </w:p>
    <w:p w14:paraId="0EF4CF4B" w14:textId="77777777" w:rsidR="00675EBC" w:rsidRPr="0028256A" w:rsidRDefault="00675EBC" w:rsidP="00675EBC">
      <w:pPr>
        <w:pStyle w:val="ListBullet"/>
      </w:pPr>
      <w:r w:rsidRPr="0028256A">
        <w:t xml:space="preserve">Refine the stratigraphy of the Carpentaria Basin </w:t>
      </w:r>
      <w:r>
        <w:t xml:space="preserve">in the Beetaloo GBA </w:t>
      </w:r>
      <w:r w:rsidRPr="0028256A">
        <w:t xml:space="preserve">by surface mapping, lithological logs and downhole geophysics.  Consider drilling monitoring bores targeted into Carpentaria Basin aquifers to better establish hydrogeological characteristics. </w:t>
      </w:r>
    </w:p>
    <w:p w14:paraId="60C1376D" w14:textId="77777777" w:rsidR="00675EBC" w:rsidRPr="0028256A" w:rsidRDefault="00675EBC" w:rsidP="00675EBC">
      <w:pPr>
        <w:pStyle w:val="ListBullet"/>
      </w:pPr>
      <w:r>
        <w:t>Conduct g</w:t>
      </w:r>
      <w:r w:rsidRPr="0028256A">
        <w:t>roundwater sampling and environmental tracer studies to investigate groundwater flow patterns both within and between aquifer systems and to identify flow paths.</w:t>
      </w:r>
    </w:p>
    <w:p w14:paraId="6F783FDD" w14:textId="01B8D80F" w:rsidR="00675EBC" w:rsidRPr="0028256A" w:rsidRDefault="00675EBC" w:rsidP="00675EBC">
      <w:pPr>
        <w:pStyle w:val="ListBullet"/>
      </w:pPr>
      <w:r>
        <w:t>Undertake future work activities as outlined under the ‘Baseline data’ in Section</w:t>
      </w:r>
      <w:r w:rsidR="00D67885">
        <w:t xml:space="preserve"> </w:t>
      </w:r>
      <w:r w:rsidR="00D67885">
        <w:fldChar w:fldCharType="begin"/>
      </w:r>
      <w:r w:rsidR="00D67885">
        <w:instrText xml:space="preserve"> REF _Ref21961061 \r \h </w:instrText>
      </w:r>
      <w:r w:rsidR="00D67885">
        <w:fldChar w:fldCharType="separate"/>
      </w:r>
      <w:r w:rsidR="00B177F5">
        <w:t>5.4.1</w:t>
      </w:r>
      <w:r w:rsidR="00D67885">
        <w:fldChar w:fldCharType="end"/>
      </w:r>
      <w:r>
        <w:t>.</w:t>
      </w:r>
    </w:p>
    <w:p w14:paraId="4F7EA3A9" w14:textId="16BC92EC" w:rsidR="00001437" w:rsidRPr="00200642" w:rsidRDefault="00C30378" w:rsidP="00200642">
      <w:pPr>
        <w:pStyle w:val="Heading4"/>
      </w:pPr>
      <w:r w:rsidRPr="00200642">
        <w:t>Surface water – groundwater</w:t>
      </w:r>
      <w:r w:rsidR="00001437" w:rsidRPr="00200642">
        <w:rPr>
          <w:rStyle w:val="normaltextrun1"/>
        </w:rPr>
        <w:t xml:space="preserve"> interactions</w:t>
      </w:r>
    </w:p>
    <w:p w14:paraId="48597312" w14:textId="56DB6FF7" w:rsidR="00001437" w:rsidRPr="000423B0" w:rsidRDefault="00001437" w:rsidP="000423B0">
      <w:pPr>
        <w:pStyle w:val="BodyText"/>
        <w:rPr>
          <w:rStyle w:val="Bold"/>
        </w:rPr>
      </w:pPr>
      <w:r w:rsidRPr="000423B0">
        <w:rPr>
          <w:rStyle w:val="Bold"/>
        </w:rPr>
        <w:t>Identified data gaps:</w:t>
      </w:r>
    </w:p>
    <w:p w14:paraId="2AA049DD" w14:textId="64B89D35" w:rsidR="00FB5E64" w:rsidRPr="003E1F1E" w:rsidRDefault="50BA1442" w:rsidP="00FB5E64">
      <w:pPr>
        <w:pStyle w:val="ListBullet"/>
      </w:pPr>
      <w:r w:rsidRPr="50BA1442">
        <w:rPr>
          <w:rStyle w:val="normaltextrun1"/>
        </w:rPr>
        <w:t>The source of many of the springs associated with Proterozoic units located</w:t>
      </w:r>
      <w:r w:rsidRPr="50BA1442">
        <w:rPr>
          <w:rStyle w:val="BodyTextChar"/>
        </w:rPr>
        <w:t xml:space="preserve"> proximal to </w:t>
      </w:r>
      <w:r>
        <w:t xml:space="preserve">the Beetaloo GBA region, such as Beauty Creek springs, </w:t>
      </w:r>
      <w:r w:rsidR="00F75B7F">
        <w:t xml:space="preserve">which </w:t>
      </w:r>
      <w:r>
        <w:t>remain largely speculative.</w:t>
      </w:r>
    </w:p>
    <w:p w14:paraId="7C9FA529" w14:textId="0AB246C5" w:rsidR="00FB5E64" w:rsidRPr="00B056BF" w:rsidRDefault="6058173B" w:rsidP="00FB5E64">
      <w:pPr>
        <w:pStyle w:val="ListBullet"/>
      </w:pPr>
      <w:r>
        <w:t xml:space="preserve">Groundwater discharge to the Mataranka Thermal Pools and nearby streams </w:t>
      </w:r>
      <w:r w:rsidR="00F75B7F">
        <w:t xml:space="preserve">that </w:t>
      </w:r>
      <w:r>
        <w:t>underpin dry</w:t>
      </w:r>
      <w:r w:rsidR="00F264A9">
        <w:t>-</w:t>
      </w:r>
      <w:r>
        <w:t xml:space="preserve">season flows in the Roper River. This water is sourced from the </w:t>
      </w:r>
      <w:r w:rsidR="002B26D5">
        <w:t>CL</w:t>
      </w:r>
      <w:r w:rsidR="00833CAB">
        <w:t>A</w:t>
      </w:r>
      <w:r>
        <w:t>, but it is not known if there is a minor component from deeper sources.</w:t>
      </w:r>
    </w:p>
    <w:p w14:paraId="1390131A" w14:textId="796110CF" w:rsidR="00FB5E64" w:rsidRPr="000423B0" w:rsidRDefault="00FB5E64" w:rsidP="000423B0">
      <w:pPr>
        <w:pStyle w:val="BodyText"/>
        <w:rPr>
          <w:rStyle w:val="Bold"/>
        </w:rPr>
      </w:pPr>
      <w:r w:rsidRPr="000423B0">
        <w:rPr>
          <w:rStyle w:val="Bold"/>
        </w:rPr>
        <w:t>Stage 3</w:t>
      </w:r>
      <w:r w:rsidR="000423B0">
        <w:rPr>
          <w:rStyle w:val="Bold"/>
        </w:rPr>
        <w:t xml:space="preserve"> work:</w:t>
      </w:r>
    </w:p>
    <w:p w14:paraId="19399401" w14:textId="223015E0" w:rsidR="00FB5E64" w:rsidRDefault="00FB5E64" w:rsidP="00FB5E64">
      <w:pPr>
        <w:pStyle w:val="ListBullet"/>
      </w:pPr>
      <w:r>
        <w:t xml:space="preserve">A field study will be conducted in Stage 3 to investigate the potential of any deeper water sources discharging at Mataranka and whether this potential causal pathway presents a risk to Mataranka </w:t>
      </w:r>
      <w:r w:rsidR="00525209">
        <w:t>Thermal Pools</w:t>
      </w:r>
      <w:r>
        <w:t xml:space="preserve"> from the development of petroleum resources.</w:t>
      </w:r>
    </w:p>
    <w:p w14:paraId="584571D8" w14:textId="1FED65BE" w:rsidR="00D67885" w:rsidRDefault="00F92960" w:rsidP="00453132">
      <w:pPr>
        <w:pStyle w:val="BodyText"/>
        <w:rPr>
          <w:rStyle w:val="normaltextrun1"/>
        </w:rPr>
      </w:pPr>
      <w:r>
        <w:rPr>
          <w:rStyle w:val="normaltextrun1"/>
        </w:rPr>
        <w:t xml:space="preserve">Further work to understand recharge sources and processes as outlined in Section </w:t>
      </w:r>
      <w:r w:rsidR="00D67885">
        <w:rPr>
          <w:rStyle w:val="normaltextrun1"/>
        </w:rPr>
        <w:fldChar w:fldCharType="begin"/>
      </w:r>
      <w:r w:rsidR="00D67885">
        <w:rPr>
          <w:rStyle w:val="normaltextrun1"/>
        </w:rPr>
        <w:instrText xml:space="preserve"> REF _Ref5187386 \r \h </w:instrText>
      </w:r>
      <w:r w:rsidR="00453132">
        <w:rPr>
          <w:rStyle w:val="normaltextrun1"/>
        </w:rPr>
        <w:instrText xml:space="preserve"> \* MERGEFORMAT </w:instrText>
      </w:r>
      <w:r w:rsidR="00D67885">
        <w:rPr>
          <w:rStyle w:val="normaltextrun1"/>
        </w:rPr>
      </w:r>
      <w:r w:rsidR="00D67885">
        <w:rPr>
          <w:rStyle w:val="normaltextrun1"/>
        </w:rPr>
        <w:fldChar w:fldCharType="separate"/>
      </w:r>
      <w:r w:rsidR="00B177F5">
        <w:rPr>
          <w:rStyle w:val="normaltextrun1"/>
        </w:rPr>
        <w:t>3.2.3.2</w:t>
      </w:r>
      <w:r w:rsidR="00D67885">
        <w:rPr>
          <w:rStyle w:val="normaltextrun1"/>
        </w:rPr>
        <w:fldChar w:fldCharType="end"/>
      </w:r>
      <w:r w:rsidR="00D67885">
        <w:rPr>
          <w:rStyle w:val="normaltextrun1"/>
        </w:rPr>
        <w:t>.</w:t>
      </w:r>
    </w:p>
    <w:p w14:paraId="4B86E175" w14:textId="77777777" w:rsidR="00F92960" w:rsidRPr="000423B0" w:rsidRDefault="00F92960" w:rsidP="00673186">
      <w:pPr>
        <w:pStyle w:val="BodyText"/>
        <w:keepNext/>
        <w:keepLines/>
        <w:rPr>
          <w:rStyle w:val="Bold"/>
        </w:rPr>
      </w:pPr>
      <w:r w:rsidRPr="000423B0">
        <w:rPr>
          <w:rStyle w:val="Bold"/>
        </w:rPr>
        <w:t>Suggested future work:</w:t>
      </w:r>
    </w:p>
    <w:p w14:paraId="43325774" w14:textId="77777777" w:rsidR="0005578E" w:rsidRDefault="00F92960" w:rsidP="00673186">
      <w:pPr>
        <w:pStyle w:val="ListBullet"/>
        <w:keepNext/>
        <w:keepLines/>
        <w:sectPr w:rsidR="0005578E" w:rsidSect="000E743C">
          <w:headerReference w:type="even" r:id="rId116"/>
          <w:headerReference w:type="default" r:id="rId117"/>
          <w:pgSz w:w="11906" w:h="16838" w:code="9"/>
          <w:pgMar w:top="1247" w:right="1134" w:bottom="1134" w:left="1134" w:header="510" w:footer="624" w:gutter="0"/>
          <w:cols w:space="284"/>
          <w:docGrid w:linePitch="360"/>
        </w:sectPr>
      </w:pPr>
      <w:r>
        <w:t xml:space="preserve">Hydrochemistry to determine source aquifers and pathways for springs on Proterozoic outcrop </w:t>
      </w:r>
      <w:r w:rsidR="00A15FBC">
        <w:t xml:space="preserve">near the margin of the Beetaloo GBA region </w:t>
      </w:r>
      <w:r>
        <w:t xml:space="preserve">(e.g. Beauty Creek Springs). </w:t>
      </w:r>
    </w:p>
    <w:p w14:paraId="790C187D" w14:textId="4166C471" w:rsidR="000C77F5" w:rsidRPr="00AC418C" w:rsidRDefault="7AD8E2CC" w:rsidP="000C7C95">
      <w:pPr>
        <w:pStyle w:val="Heading2notnumbered"/>
      </w:pPr>
      <w:bookmarkStart w:id="1132" w:name="_Toc5895071"/>
      <w:bookmarkStart w:id="1133" w:name="_Toc6327623"/>
      <w:bookmarkStart w:id="1134" w:name="_Toc38990453"/>
      <w:bookmarkStart w:id="1135" w:name="_Toc369079396"/>
      <w:bookmarkStart w:id="1136" w:name="_Toc4072477"/>
      <w:bookmarkStart w:id="1137" w:name="_Toc5020807"/>
      <w:bookmarkStart w:id="1138" w:name="_Toc5021614"/>
      <w:bookmarkStart w:id="1139" w:name="_Toc5808377"/>
      <w:bookmarkStart w:id="1140" w:name="_Toc6308959"/>
      <w:bookmarkStart w:id="1141" w:name="_Hlk22820705"/>
      <w:r>
        <w:t>References</w:t>
      </w:r>
      <w:bookmarkEnd w:id="1132"/>
      <w:bookmarkEnd w:id="1133"/>
      <w:bookmarkEnd w:id="1134"/>
      <w:r>
        <w:t xml:space="preserve"> </w:t>
      </w:r>
      <w:bookmarkEnd w:id="35"/>
      <w:bookmarkEnd w:id="1135"/>
      <w:bookmarkEnd w:id="1136"/>
      <w:bookmarkEnd w:id="1137"/>
      <w:bookmarkEnd w:id="1138"/>
      <w:bookmarkEnd w:id="1139"/>
      <w:bookmarkEnd w:id="1140"/>
    </w:p>
    <w:p w14:paraId="5BE51706" w14:textId="18DD9DEE" w:rsidR="007D476E" w:rsidRPr="007D476E" w:rsidRDefault="000C77F5" w:rsidP="007D476E">
      <w:pPr>
        <w:pStyle w:val="EndNoteBibliography"/>
        <w:spacing w:after="0"/>
        <w:ind w:left="720" w:hanging="720"/>
      </w:pPr>
      <w:r>
        <w:fldChar w:fldCharType="begin"/>
      </w:r>
      <w:r>
        <w:rPr>
          <w:rStyle w:val="Glossaryhyperlink"/>
        </w:rPr>
        <w:instrText xml:space="preserve"> ADDIN EN.REFLIST </w:instrText>
      </w:r>
      <w:r>
        <w:rPr>
          <w:rStyle w:val="Glossaryhyperlink"/>
        </w:rPr>
        <w:fldChar w:fldCharType="separate"/>
      </w:r>
      <w:r w:rsidR="007D476E" w:rsidRPr="007D476E">
        <w:t xml:space="preserve">Abbott ST, Sweet IP, Plumb KA, Young DN, Cutovinos A, Ferenczi PA, Brakel AT and Pietsch BA (2001) Roper Region – Urapunga and Roper River Special, Northern Territory (Second Edition) combined explanatory notes. SD 53-10, 11. Northern Territory Geological Survey and Geoscience Australia (National Geoscience Mapping Accord), Darwin. Viewed 29 November 2019, </w:t>
      </w:r>
      <w:hyperlink r:id="rId118" w:history="1">
        <w:r w:rsidR="007D476E" w:rsidRPr="007D476E">
          <w:rPr>
            <w:rStyle w:val="Hyperlink"/>
            <w:rFonts w:cs="Calibri"/>
          </w:rPr>
          <w:t>https://geoscience.nt.gov.au/gemis/ntgsjspui/handle/1/81859</w:t>
        </w:r>
      </w:hyperlink>
      <w:r w:rsidR="007D476E" w:rsidRPr="007D476E">
        <w:t>.</w:t>
      </w:r>
    </w:p>
    <w:p w14:paraId="7AF68792" w14:textId="77777777" w:rsidR="007D476E" w:rsidRPr="007D476E" w:rsidRDefault="007D476E" w:rsidP="007D476E">
      <w:pPr>
        <w:pStyle w:val="EndNoteBibliography"/>
        <w:spacing w:after="0"/>
        <w:ind w:left="720" w:hanging="720"/>
      </w:pPr>
      <w:r w:rsidRPr="007D476E">
        <w:t xml:space="preserve">Ahmad M, Dunster JN and Munson TJ (2013) Chapter 15: McArthur Basin. In Ahmad M and Munson TJ (eds). Geology and mineral resources of the Northern Territory. Geology and mineral resources of the Northern Territory. Special Publication 5. Northern Territory Geological Survey, Darwin, NT, Australia, 73. </w:t>
      </w:r>
    </w:p>
    <w:p w14:paraId="04DB490D" w14:textId="77777777" w:rsidR="007D476E" w:rsidRPr="007D476E" w:rsidRDefault="007D476E" w:rsidP="007D476E">
      <w:pPr>
        <w:pStyle w:val="EndNoteBibliography"/>
        <w:spacing w:after="0"/>
        <w:ind w:left="720" w:hanging="720"/>
      </w:pPr>
      <w:r w:rsidRPr="007D476E">
        <w:t>Ahmed M and Munson TJ (2013) Geology and mineral resources of the Northern Territory. Northern Territory Geological Survey.</w:t>
      </w:r>
    </w:p>
    <w:p w14:paraId="468F670C" w14:textId="77777777" w:rsidR="007D476E" w:rsidRPr="007D476E" w:rsidRDefault="007D476E" w:rsidP="007D476E">
      <w:pPr>
        <w:pStyle w:val="EndNoteBibliography"/>
        <w:spacing w:after="0"/>
        <w:ind w:left="720" w:hanging="720"/>
      </w:pPr>
      <w:r w:rsidRPr="007D476E">
        <w:t xml:space="preserve">Bense VF, Gleeson T, Loveless SE, Bour O and Scibek J (2013) Fault zone hydrogeology. Earth-Science Reviews 127, 171-192. Doi: </w:t>
      </w:r>
      <w:r w:rsidRPr="007D476E">
        <w:rPr>
          <w:u w:val="single"/>
        </w:rPr>
        <w:t>10.1016/j.earscirev.2013.09.008</w:t>
      </w:r>
      <w:r w:rsidRPr="007D476E">
        <w:t>.</w:t>
      </w:r>
    </w:p>
    <w:p w14:paraId="203D5622" w14:textId="45134553" w:rsidR="007D476E" w:rsidRPr="007D476E" w:rsidRDefault="007D476E" w:rsidP="007D476E">
      <w:pPr>
        <w:pStyle w:val="EndNoteBibliography"/>
        <w:spacing w:after="0"/>
        <w:ind w:left="720" w:hanging="720"/>
      </w:pPr>
      <w:r w:rsidRPr="007D476E">
        <w:t xml:space="preserve">Betts P, Armit R and Ailleres L (2015) Potential-field interpretation mapping of the greater McArthur Basin. PGN Geoscience Report 15/2014. Northern Territory Geological Survey, Darwin. Viewed 24 October 2019, </w:t>
      </w:r>
      <w:hyperlink r:id="rId119" w:history="1">
        <w:r w:rsidRPr="007D476E">
          <w:rPr>
            <w:rStyle w:val="Hyperlink"/>
            <w:rFonts w:cs="Calibri"/>
          </w:rPr>
          <w:t>https://geoscience.nt.gov.au/gemis/ntgsjspui/handle/1/81754</w:t>
        </w:r>
      </w:hyperlink>
      <w:r w:rsidRPr="007D476E">
        <w:t>.</w:t>
      </w:r>
    </w:p>
    <w:p w14:paraId="59FB3E33" w14:textId="2D202E5E" w:rsidR="007D476E" w:rsidRPr="007D476E" w:rsidRDefault="007D476E" w:rsidP="007D476E">
      <w:pPr>
        <w:pStyle w:val="EndNoteBibliography"/>
        <w:spacing w:after="0"/>
        <w:ind w:left="720" w:hanging="720"/>
      </w:pPr>
      <w:r w:rsidRPr="007D476E">
        <w:t xml:space="preserve">Brown MC and Randall MA (1969) Explanatory Notes, 1:250 000 SE 53-06 Geological series-Explanatory Notes, Beetaloo, Northern Territory. Canberra. Viewed 20 March 2020, </w:t>
      </w:r>
      <w:hyperlink r:id="rId120" w:history="1">
        <w:r w:rsidRPr="007D476E">
          <w:rPr>
            <w:rStyle w:val="Hyperlink"/>
            <w:rFonts w:cs="Calibri"/>
          </w:rPr>
          <w:t>https://geoscience.nt.gov.au/gemis/ntgsjspui/handle/1/81756</w:t>
        </w:r>
      </w:hyperlink>
      <w:r w:rsidRPr="007D476E">
        <w:t>.</w:t>
      </w:r>
    </w:p>
    <w:p w14:paraId="431B44B0" w14:textId="77777777" w:rsidR="007D476E" w:rsidRPr="007D476E" w:rsidRDefault="007D476E" w:rsidP="007D476E">
      <w:pPr>
        <w:pStyle w:val="EndNoteBibliography"/>
        <w:spacing w:after="0"/>
        <w:ind w:left="720" w:hanging="720"/>
      </w:pPr>
      <w:r w:rsidRPr="007D476E">
        <w:t>Brown MC (1986) Early Cambrian aeolian dune sandstones in the Northern Territory. In: Sediments Down-Under. 12th International Sedimentological Congress - Abstracts International Sedimentological Congress, Canberra, 46</w:t>
      </w:r>
    </w:p>
    <w:p w14:paraId="4631F014" w14:textId="77777777" w:rsidR="007D476E" w:rsidRPr="007D476E" w:rsidRDefault="007D476E" w:rsidP="007D476E">
      <w:pPr>
        <w:pStyle w:val="EndNoteBibliography"/>
        <w:spacing w:after="0"/>
        <w:ind w:left="720" w:hanging="720"/>
      </w:pPr>
      <w:r w:rsidRPr="007D476E">
        <w:t xml:space="preserve">Bultitude RJ (1976) Flood basalts of probable early Cambrian age in northern Australia. In: Johnson RW (ed), Volcanism in Australia. Elsevier, Amsterdam, 1–20. </w:t>
      </w:r>
    </w:p>
    <w:p w14:paraId="349E9FC9" w14:textId="466F75B7" w:rsidR="007D476E" w:rsidRPr="007D476E" w:rsidRDefault="007D476E" w:rsidP="007D476E">
      <w:pPr>
        <w:pStyle w:val="EndNoteBibliography"/>
        <w:spacing w:after="0"/>
        <w:ind w:left="720" w:hanging="720"/>
      </w:pPr>
      <w:r w:rsidRPr="007D476E">
        <w:t xml:space="preserve">Bureau of Meteorology (2012) Geofabric Surface Cartography. [spatial]. Viewed 29 January 2018, </w:t>
      </w:r>
      <w:hyperlink r:id="rId121" w:history="1">
        <w:r w:rsidRPr="007D476E">
          <w:rPr>
            <w:rStyle w:val="Hyperlink"/>
            <w:rFonts w:cs="Calibri"/>
          </w:rPr>
          <w:t>http://www.bom.gov.au/water/geofabric/documents/v2_1/ahgf_dps_surface_cartography_V2_1_release.pdf</w:t>
        </w:r>
      </w:hyperlink>
      <w:r w:rsidRPr="007D476E">
        <w:t>. GBA data repository GUID: 319C8AAA-4EBD-438F-BD11-968DFA030CF5.</w:t>
      </w:r>
    </w:p>
    <w:p w14:paraId="46FBE028" w14:textId="7C88BAF2" w:rsidR="007D476E" w:rsidRPr="007D476E" w:rsidRDefault="007D476E" w:rsidP="007D476E">
      <w:pPr>
        <w:pStyle w:val="EndNoteBibliography"/>
        <w:spacing w:after="0"/>
        <w:ind w:left="720" w:hanging="720"/>
      </w:pPr>
      <w:r w:rsidRPr="007D476E">
        <w:t xml:space="preserve">Bureau of Meteorology (2017) Groundwater Dependent Ecosystems Atlas. [spatial]. Viewed 04 October 2018, </w:t>
      </w:r>
      <w:hyperlink r:id="rId122" w:history="1">
        <w:r w:rsidRPr="007D476E">
          <w:rPr>
            <w:rStyle w:val="Hyperlink"/>
            <w:rFonts w:cs="Calibri"/>
          </w:rPr>
          <w:t>http://www.bom.gov.au/water/groundwater/gde/index.shtml</w:t>
        </w:r>
      </w:hyperlink>
      <w:r w:rsidRPr="007D476E">
        <w:t>. GBA data repository GUID: 25207635-859C-4170-BEE1-21A456DB9754.</w:t>
      </w:r>
    </w:p>
    <w:p w14:paraId="63ACDB28" w14:textId="77777777" w:rsidR="007D476E" w:rsidRPr="007D476E" w:rsidRDefault="007D476E" w:rsidP="007D476E">
      <w:pPr>
        <w:pStyle w:val="EndNoteBibliography"/>
        <w:spacing w:after="0"/>
        <w:ind w:left="720" w:hanging="720"/>
      </w:pPr>
      <w:r w:rsidRPr="007D476E">
        <w:t>Cartwright I, Weaver T, Cendon D and Swane I (2010) Environmental isotopes as indicators of inter-aquifer mixing, Wimmera region, Murray Basin, Southeast Australia. Chemical Geology 277(3–4), 214–226. Doi: 10.1016/j.chemgeo.2010.08.002.</w:t>
      </w:r>
    </w:p>
    <w:p w14:paraId="00CB7FEF" w14:textId="77777777" w:rsidR="007D476E" w:rsidRPr="007D476E" w:rsidRDefault="007D476E" w:rsidP="007D476E">
      <w:pPr>
        <w:pStyle w:val="EndNoteBibliography"/>
        <w:spacing w:after="0"/>
        <w:ind w:left="720" w:hanging="720"/>
      </w:pPr>
      <w:r w:rsidRPr="007D476E">
        <w:t xml:space="preserve">Chapman S (2019) Borehole gamma log stratigraphy of the northern Georgina Basin. Technical Report 3/2019, Northern Territory Department of Environment and Natural Resources. Northern Territory Government, Australia. </w:t>
      </w:r>
    </w:p>
    <w:p w14:paraId="4E023052" w14:textId="5B07CAB0" w:rsidR="007D476E" w:rsidRPr="007D476E" w:rsidRDefault="007D476E" w:rsidP="007D476E">
      <w:pPr>
        <w:pStyle w:val="EndNoteBibliography"/>
        <w:spacing w:after="0"/>
        <w:ind w:left="720" w:hanging="720"/>
      </w:pPr>
      <w:r w:rsidRPr="007D476E">
        <w:t xml:space="preserve">Clifton R (2008) Magnetic map of the Northern Territory. Northern Territory Geological Survey, Darwin. Viewed 24 October 2019, </w:t>
      </w:r>
      <w:hyperlink r:id="rId123" w:history="1">
        <w:r w:rsidRPr="007D476E">
          <w:rPr>
            <w:rStyle w:val="Hyperlink"/>
            <w:rFonts w:cs="Calibri"/>
          </w:rPr>
          <w:t>https://geoscience.nt.gov.au/gemis/ntgsjspui/handle/1/82589</w:t>
        </w:r>
      </w:hyperlink>
      <w:r w:rsidRPr="007D476E">
        <w:t>.</w:t>
      </w:r>
    </w:p>
    <w:p w14:paraId="36F5CFD6" w14:textId="1400EFFF" w:rsidR="007D476E" w:rsidRPr="007D476E" w:rsidRDefault="007D476E" w:rsidP="007D476E">
      <w:pPr>
        <w:pStyle w:val="EndNoteBibliography"/>
        <w:spacing w:after="0"/>
        <w:ind w:left="720" w:hanging="720"/>
      </w:pPr>
      <w:r w:rsidRPr="007D476E">
        <w:t xml:space="preserve">Collins A, Farkas J, Glorie S, Cox G, Blades M, Yang B, Nixon A, Bullen M, Foden J, Dosseto A, Payne J, Denyszyn S, J Edgoose C, Close D, Munson T, Menpes S, Spagnuolo S, Gusterhuber J, Sheridan M and Close D (2018) Orogens to oil: government–industry–academia collaboration to better understand the greater McArthur Basin. In: Annual Geoscience Exploration Seminar (AGES) 2018 Proceedings. Northern Territory Geological Survey. Viewed 29 November 2019, </w:t>
      </w:r>
      <w:hyperlink r:id="rId124" w:history="1">
        <w:r w:rsidRPr="007D476E">
          <w:rPr>
            <w:rStyle w:val="Hyperlink"/>
            <w:rFonts w:cs="Calibri"/>
          </w:rPr>
          <w:t>https://www.researchgate.net/publication/324000194</w:t>
        </w:r>
      </w:hyperlink>
      <w:r w:rsidRPr="007D476E">
        <w:t>.</w:t>
      </w:r>
    </w:p>
    <w:p w14:paraId="2350C2F7" w14:textId="77777777" w:rsidR="007D476E" w:rsidRPr="007D476E" w:rsidRDefault="007D476E" w:rsidP="007D476E">
      <w:pPr>
        <w:pStyle w:val="EndNoteBibliography"/>
        <w:spacing w:after="0"/>
        <w:ind w:left="720" w:hanging="720"/>
      </w:pPr>
      <w:r w:rsidRPr="007D476E">
        <w:t>Cook S, Dixon-Jain P, Hocking M, Sundaram B, Morgan LK, Ivkovic K, Werner A, Norman R, Caruana L and Garlapati N (2013) A national-scale vulnerability assessment of SWI intrusion: Vulnerability Factor Analysis. Geoscience Australia, Canberra and National Centre for Groundwater Research and Training, Adelaide.</w:t>
      </w:r>
    </w:p>
    <w:p w14:paraId="18695545" w14:textId="77777777" w:rsidR="007D476E" w:rsidRPr="007D476E" w:rsidRDefault="007D476E" w:rsidP="007D476E">
      <w:pPr>
        <w:pStyle w:val="EndNoteBibliography"/>
        <w:spacing w:after="0"/>
        <w:ind w:left="720" w:hanging="720"/>
      </w:pPr>
      <w:r w:rsidRPr="007D476E">
        <w:t>de Caritat P, Bastrakov E, Jaireth S, English P, Clarke J, Mernagh T, Wygralak A, Dulfer H and Trafford J (2019) Groundwater geochemistry, hydrogeology and potash mineral potential of the Lake Woods region, Northern Territory, Australia. Australian Journal of Earth Sciences, 1-20. Doi: 10.1080/08120099.2018.1543208.</w:t>
      </w:r>
    </w:p>
    <w:p w14:paraId="40E0A7A3" w14:textId="60AFD32B" w:rsidR="007D476E" w:rsidRPr="007D476E" w:rsidRDefault="007D476E" w:rsidP="007D476E">
      <w:pPr>
        <w:pStyle w:val="EndNoteBibliography"/>
        <w:spacing w:after="0"/>
        <w:ind w:left="720" w:hanging="720"/>
      </w:pPr>
      <w:r w:rsidRPr="007D476E">
        <w:t xml:space="preserve">Department of Environment and Natural Resources (NT) (2008) Northern Territory Groundwater Aquifers 2M. [spatial]. Viewed 28 April 2020, </w:t>
      </w:r>
      <w:hyperlink r:id="rId125" w:history="1">
        <w:r w:rsidRPr="007D476E">
          <w:rPr>
            <w:rStyle w:val="Hyperlink"/>
            <w:rFonts w:cs="Calibri"/>
          </w:rPr>
          <w:t>http://www.ntlis.nt.gov.au/metadata/export_data?type=html&amp;metadata_id=535D1EECEB0F528AE040CD9B21446C20</w:t>
        </w:r>
      </w:hyperlink>
      <w:r w:rsidRPr="007D476E">
        <w:t>. GBA data repository GUID: 81355DDF-AB96-40A3-8E7E-DFBC88199762.</w:t>
      </w:r>
    </w:p>
    <w:p w14:paraId="433C8CF2" w14:textId="407BB3A6" w:rsidR="007D476E" w:rsidRPr="007D476E" w:rsidRDefault="007D476E" w:rsidP="007D476E">
      <w:pPr>
        <w:pStyle w:val="EndNoteBibliography"/>
        <w:spacing w:after="0"/>
        <w:ind w:left="720" w:hanging="720"/>
      </w:pPr>
      <w:r w:rsidRPr="007D476E">
        <w:t xml:space="preserve">Department of Environment and Natural Resources (NT) (2013) Springs of the Northern Territory. [spatial]. Viewed 20 March 2019, </w:t>
      </w:r>
      <w:hyperlink r:id="rId126" w:history="1">
        <w:r w:rsidRPr="007D476E">
          <w:rPr>
            <w:rStyle w:val="Hyperlink"/>
            <w:rFonts w:cs="Calibri"/>
          </w:rPr>
          <w:t>http://www.ntlis.nt.gov.au/metadata/export_data?type=html&amp;metadata_id=E9D78F668FC02B33E040CD9B214403C3</w:t>
        </w:r>
      </w:hyperlink>
      <w:r w:rsidRPr="007D476E">
        <w:t>. GBA data repository GUID: 1D351848-02FB-4E90-9390-4E2F895B9F89.</w:t>
      </w:r>
    </w:p>
    <w:p w14:paraId="132B16C2" w14:textId="31065CEF" w:rsidR="007D476E" w:rsidRPr="007D476E" w:rsidRDefault="007D476E" w:rsidP="007D476E">
      <w:pPr>
        <w:pStyle w:val="EndNoteBibliography"/>
        <w:spacing w:after="0"/>
        <w:ind w:left="720" w:hanging="720"/>
      </w:pPr>
      <w:r w:rsidRPr="007D476E">
        <w:t xml:space="preserve">Department of Environment and Natural Resources (NT) (2015) NT Groundwater Aquifers 2M. [spatial]. Viewed 25 March 2020, </w:t>
      </w:r>
      <w:hyperlink r:id="rId127" w:history="1">
        <w:r w:rsidRPr="007D476E">
          <w:rPr>
            <w:rStyle w:val="Hyperlink"/>
            <w:rFonts w:cs="Calibri"/>
          </w:rPr>
          <w:t>http://www.ntlis.nt.gov.au/metadata/export_data?type=html&amp;metadata_id=535D1EECEB0F528AE040CD9B21446C20</w:t>
        </w:r>
      </w:hyperlink>
      <w:r w:rsidRPr="007D476E">
        <w:t>. GBA data repository GUID: 528B8454-9C18-412A-AD0E-8FD9076FDFA4.</w:t>
      </w:r>
    </w:p>
    <w:p w14:paraId="207C3435" w14:textId="7C935BC9" w:rsidR="007D476E" w:rsidRPr="007D476E" w:rsidRDefault="007D476E" w:rsidP="007D476E">
      <w:pPr>
        <w:pStyle w:val="EndNoteBibliography"/>
        <w:spacing w:after="0"/>
        <w:ind w:left="720" w:hanging="720"/>
      </w:pPr>
      <w:r w:rsidRPr="007D476E">
        <w:t xml:space="preserve">Department of Environment and Natural Resources (NT) (2018a) NT Groundwater Monitoring Bores Database. [spatial]. Viewed 28 April 2020, </w:t>
      </w:r>
      <w:hyperlink r:id="rId128" w:history="1">
        <w:r w:rsidRPr="007D476E">
          <w:rPr>
            <w:rStyle w:val="Hyperlink"/>
            <w:rFonts w:cs="Calibri"/>
          </w:rPr>
          <w:t>https://denr.nt.gov.au/</w:t>
        </w:r>
      </w:hyperlink>
      <w:r w:rsidRPr="007D476E">
        <w:t>. GBA data repository GUID: 527F422D-52CD-4D50-A5FA-923CBBB36C60.</w:t>
      </w:r>
    </w:p>
    <w:p w14:paraId="16CC3EBF" w14:textId="47F9A026" w:rsidR="007D476E" w:rsidRPr="007D476E" w:rsidRDefault="007D476E" w:rsidP="007D476E">
      <w:pPr>
        <w:pStyle w:val="EndNoteBibliography"/>
        <w:spacing w:after="0"/>
        <w:ind w:left="720" w:hanging="720"/>
      </w:pPr>
      <w:r w:rsidRPr="007D476E">
        <w:t xml:space="preserve">Department of Environment and Natural Resources (NT) (2018b) Waterlevels from monitoring bores in Beetaloo GBA region. [spatial]. Viewed 27 April 2020, </w:t>
      </w:r>
      <w:hyperlink r:id="rId129" w:history="1">
        <w:r w:rsidRPr="007D476E">
          <w:rPr>
            <w:rStyle w:val="Hyperlink"/>
            <w:rFonts w:cs="Calibri"/>
          </w:rPr>
          <w:t>https://denr.nt.gov.au/</w:t>
        </w:r>
      </w:hyperlink>
      <w:r w:rsidRPr="007D476E">
        <w:t>. GBA data repository GUID: F2B1B357-6F0E-4E33-8DFA-6F6FD1A95DEF.</w:t>
      </w:r>
    </w:p>
    <w:p w14:paraId="5581EE84" w14:textId="678B71D5" w:rsidR="007D476E" w:rsidRPr="007D476E" w:rsidRDefault="007D476E" w:rsidP="007D476E">
      <w:pPr>
        <w:pStyle w:val="EndNoteBibliography"/>
        <w:spacing w:after="0"/>
        <w:ind w:left="720" w:hanging="720"/>
      </w:pPr>
      <w:r w:rsidRPr="007D476E">
        <w:t xml:space="preserve">Department of Environment and Natural Resources (NT) (2018c) Base of the Jinduckin and Tindall Formations. [ArcGIS shape file]. Viewed 27 March 2020, </w:t>
      </w:r>
      <w:hyperlink r:id="rId130" w:history="1">
        <w:r w:rsidRPr="007D476E">
          <w:rPr>
            <w:rStyle w:val="Hyperlink"/>
            <w:rFonts w:cs="Calibri"/>
          </w:rPr>
          <w:t>https://denr.nt.gov.au/land-resource-management/info-systems/natural-resource-maps/spatial-data-requests</w:t>
        </w:r>
      </w:hyperlink>
      <w:r w:rsidRPr="007D476E">
        <w:t>. GBA data repository GUID: F44AB442-944E-40B8-8EEE-06991E0D1184.</w:t>
      </w:r>
    </w:p>
    <w:p w14:paraId="646D64E8" w14:textId="547F9F89" w:rsidR="007D476E" w:rsidRPr="007D476E" w:rsidRDefault="007D476E" w:rsidP="007D476E">
      <w:pPr>
        <w:pStyle w:val="EndNoteBibliography"/>
        <w:spacing w:after="0"/>
        <w:ind w:left="720" w:hanging="720"/>
      </w:pPr>
      <w:r w:rsidRPr="007D476E">
        <w:t xml:space="preserve">Department of Environment and Natural Resources (NT) (2020) Cretaceous extent in the Beetaloo GBA region. [spatial]. Viewed 27 March 2020, </w:t>
      </w:r>
      <w:hyperlink r:id="rId131" w:history="1">
        <w:r w:rsidRPr="007D476E">
          <w:rPr>
            <w:rStyle w:val="Hyperlink"/>
            <w:rFonts w:cs="Calibri"/>
          </w:rPr>
          <w:t>https://denr.nt.gov.au/</w:t>
        </w:r>
      </w:hyperlink>
      <w:r w:rsidRPr="007D476E">
        <w:t>. GBA data repository GUID: D1AD3D5A-FA13-4F6C-AD1C-5BCDE9167F73.</w:t>
      </w:r>
    </w:p>
    <w:p w14:paraId="2CCF3B2F" w14:textId="62A9D41A" w:rsidR="007D476E" w:rsidRPr="007D476E" w:rsidRDefault="007D476E" w:rsidP="007D476E">
      <w:pPr>
        <w:pStyle w:val="EndNoteBibliography"/>
        <w:spacing w:after="0"/>
        <w:ind w:left="720" w:hanging="720"/>
      </w:pPr>
      <w:r w:rsidRPr="007D476E">
        <w:t xml:space="preserve">Department of Environment and Science (Qld) (2018) Climate data for rainfall stations in the Beetaloo GBA area from the Queensland Government’s Scientific Information for Land Owners website. [Space delimited txt file]. Viewed 24 October 2018, </w:t>
      </w:r>
      <w:hyperlink r:id="rId132" w:history="1">
        <w:r w:rsidRPr="007D476E">
          <w:rPr>
            <w:rStyle w:val="Hyperlink"/>
            <w:rFonts w:cs="Calibri"/>
          </w:rPr>
          <w:t>https://data.qld.gov.au/dataset/silo-climate-api</w:t>
        </w:r>
      </w:hyperlink>
      <w:r w:rsidRPr="007D476E">
        <w:t>. GBA data repository GUID: E808103C-7DA8-4173-8027-C94AAA8CCBCE.</w:t>
      </w:r>
    </w:p>
    <w:p w14:paraId="2212E729" w14:textId="443CFA70" w:rsidR="007D476E" w:rsidRPr="007D476E" w:rsidRDefault="007D476E" w:rsidP="007D476E">
      <w:pPr>
        <w:pStyle w:val="EndNoteBibliography"/>
        <w:spacing w:after="0"/>
        <w:ind w:left="720" w:hanging="720"/>
      </w:pPr>
      <w:r w:rsidRPr="007D476E">
        <w:t xml:space="preserve">Department of Primary Industry and Resources (NT) (2017) Submission 479 to the Scientific Inquiry into Hydraulic Fracturing in the Northern Territory. Northern Territory Government. Viewed 11 January 2019, </w:t>
      </w:r>
      <w:hyperlink r:id="rId133" w:history="1">
        <w:r w:rsidRPr="007D476E">
          <w:rPr>
            <w:rStyle w:val="Hyperlink"/>
            <w:rFonts w:cs="Calibri"/>
          </w:rPr>
          <w:t>https://frackinginquiry.nt.gov.au/?a=464723</w:t>
        </w:r>
      </w:hyperlink>
      <w:r w:rsidRPr="007D476E">
        <w:t>.</w:t>
      </w:r>
    </w:p>
    <w:p w14:paraId="4E31A4FB" w14:textId="77777777" w:rsidR="007D476E" w:rsidRPr="007D476E" w:rsidRDefault="007D476E" w:rsidP="007D476E">
      <w:pPr>
        <w:pStyle w:val="EndNoteBibliography"/>
        <w:spacing w:after="0"/>
        <w:ind w:left="720" w:hanging="720"/>
      </w:pPr>
      <w:r w:rsidRPr="007D476E">
        <w:t xml:space="preserve">Department of Primary Industry and Resources (NT) (2018) Northern Territory Geological Regions 2500K. ANZLIC Identifier: FA83D24C788060ABE040CD9B2144317B. </w:t>
      </w:r>
    </w:p>
    <w:p w14:paraId="54BA8323" w14:textId="6F2C97D7" w:rsidR="007D476E" w:rsidRPr="007D476E" w:rsidRDefault="007D476E" w:rsidP="007D476E">
      <w:pPr>
        <w:pStyle w:val="EndNoteBibliography"/>
        <w:spacing w:after="0"/>
        <w:ind w:left="720" w:hanging="720"/>
      </w:pPr>
      <w:r w:rsidRPr="007D476E">
        <w:t xml:space="preserve">EcOz Environmental Consultants (2015) Surface and groundwater characterisation report – Sturt Plateau Region NT. Report prepared for Pangaea Resources for submission to the NT fracking inquiry. Darwin. Viewed 28 November 2019, </w:t>
      </w:r>
      <w:hyperlink r:id="rId134" w:history="1">
        <w:r w:rsidRPr="007D476E">
          <w:rPr>
            <w:rStyle w:val="Hyperlink"/>
            <w:rFonts w:cs="Calibri"/>
          </w:rPr>
          <w:t>https://frackinginquiry.nt.gov.au/?a=424269</w:t>
        </w:r>
      </w:hyperlink>
      <w:r w:rsidRPr="007D476E">
        <w:t>.</w:t>
      </w:r>
    </w:p>
    <w:p w14:paraId="7BCBB70C" w14:textId="77777777" w:rsidR="007D476E" w:rsidRPr="007D476E" w:rsidRDefault="007D476E" w:rsidP="007D476E">
      <w:pPr>
        <w:pStyle w:val="EndNoteBibliography"/>
        <w:spacing w:after="0"/>
        <w:ind w:left="720" w:hanging="720"/>
      </w:pPr>
      <w:r w:rsidRPr="007D476E">
        <w:t xml:space="preserve">Edgoose CJ and Ahmad M (2013) Chapter 42: Cenozoic geology and regolith. In: Ahmad M and Munson TJ (compilers). Geology and mineral resources of the Northern Territory. Special Publication 5. Northern Territory Geological Survey, Darwin, 44. </w:t>
      </w:r>
    </w:p>
    <w:p w14:paraId="208A2C55" w14:textId="42C9413D" w:rsidR="007D476E" w:rsidRPr="007D476E" w:rsidRDefault="007D476E" w:rsidP="007D476E">
      <w:pPr>
        <w:pStyle w:val="EndNoteBibliography"/>
        <w:spacing w:after="0"/>
        <w:ind w:left="720" w:hanging="720"/>
      </w:pPr>
      <w:r w:rsidRPr="007D476E">
        <w:t xml:space="preserve">FAO (1992) The use of saline waters for crop production - FAO irrigation and drainage paper 48. Rome: FAO. Food and Agriculture Organization of the United Nations, Rome. Viewed 24 October 2019, </w:t>
      </w:r>
      <w:hyperlink r:id="rId135" w:history="1">
        <w:r w:rsidRPr="007D476E">
          <w:rPr>
            <w:rStyle w:val="Hyperlink"/>
            <w:rFonts w:cs="Calibri"/>
          </w:rPr>
          <w:t>http://www.fao.org/docrep/T0667E/T0667E00.htm</w:t>
        </w:r>
      </w:hyperlink>
      <w:r w:rsidRPr="007D476E">
        <w:t>.</w:t>
      </w:r>
    </w:p>
    <w:p w14:paraId="0555D44B" w14:textId="77777777" w:rsidR="007D476E" w:rsidRPr="007D476E" w:rsidRDefault="007D476E" w:rsidP="007D476E">
      <w:pPr>
        <w:pStyle w:val="EndNoteBibliography"/>
        <w:spacing w:after="0"/>
        <w:ind w:left="720" w:hanging="720"/>
      </w:pPr>
      <w:r w:rsidRPr="007D476E">
        <w:t>Foss C and Dhu T (2016) The bark without a dog; magnetic anomalies over holes in a volcanic sheet in the greater McArthur Basin, NT. In: ASEG-PESA-AIG 2016; 25th geophysical conference and exhibition; interpreting the past, discovering the future. CSIRO Publishing for the Australian Society of Exploration Geophysicists: Collingwood, Victoria, Australia, Collingwood, Victoria</w:t>
      </w:r>
    </w:p>
    <w:p w14:paraId="341613E3" w14:textId="2453C2EF" w:rsidR="007D476E" w:rsidRPr="007D476E" w:rsidRDefault="007D476E" w:rsidP="007D476E">
      <w:pPr>
        <w:pStyle w:val="EndNoteBibliography"/>
        <w:spacing w:after="0"/>
        <w:ind w:left="720" w:hanging="720"/>
      </w:pPr>
      <w:r w:rsidRPr="007D476E">
        <w:t xml:space="preserve">Frogtech Geoscience (2018a) SEEBASE study and GIS for Greater McArthur Basin. Northern Territory Geological Survey, Digital Information Package DIP 017 (ESRI file format, March 2018). Viewed 25 May 2018, </w:t>
      </w:r>
      <w:hyperlink r:id="rId136" w:history="1">
        <w:r w:rsidRPr="007D476E">
          <w:rPr>
            <w:rStyle w:val="Hyperlink"/>
            <w:rFonts w:cs="Calibri"/>
          </w:rPr>
          <w:t>https://geoscience.nt.gov.au/gemis/ntgsjspui/handle/1/87064</w:t>
        </w:r>
      </w:hyperlink>
      <w:r w:rsidRPr="007D476E">
        <w:t>. GBA data repository GUID: 563A5349-DC7F-42B8-B6CC-892B3B4C3C3F.</w:t>
      </w:r>
    </w:p>
    <w:p w14:paraId="49FB5FCF" w14:textId="398D8AC6" w:rsidR="007D476E" w:rsidRPr="007D476E" w:rsidRDefault="007D476E" w:rsidP="007D476E">
      <w:pPr>
        <w:pStyle w:val="EndNoteBibliography"/>
        <w:spacing w:after="0"/>
        <w:ind w:left="720" w:hanging="720"/>
      </w:pPr>
      <w:r w:rsidRPr="007D476E">
        <w:t xml:space="preserve">Frogtech Geoscience (2018b) SEEBASE® study and GIS for greater McArthur Basin: Supplementary Data. Northern Territory Geological Survey, Digital Information Package DIP 018. Viewed 18 February 2019, </w:t>
      </w:r>
      <w:hyperlink r:id="rId137" w:history="1">
        <w:r w:rsidRPr="007D476E">
          <w:rPr>
            <w:rStyle w:val="Hyperlink"/>
            <w:rFonts w:cs="Calibri"/>
          </w:rPr>
          <w:t>https://geoscience.nt.gov.au/gemis/ntgsjspui/handle/1/87062</w:t>
        </w:r>
      </w:hyperlink>
      <w:r w:rsidRPr="007D476E">
        <w:t>. GBA data repository GUID: EC6D7486-30C9-4D19-92C6-57879C00A363.</w:t>
      </w:r>
    </w:p>
    <w:p w14:paraId="2F2CC131" w14:textId="7CCFA29E" w:rsidR="007D476E" w:rsidRPr="007D476E" w:rsidRDefault="007D476E" w:rsidP="007D476E">
      <w:pPr>
        <w:pStyle w:val="EndNoteBibliography"/>
        <w:spacing w:after="0"/>
        <w:ind w:left="720" w:hanging="720"/>
      </w:pPr>
      <w:r w:rsidRPr="007D476E">
        <w:t xml:space="preserve">Fulton S and Zaar U (2009) Gulf water study : Dunmarra and Hodgson River Region. Darwin. Viewed 28 November 2019, </w:t>
      </w:r>
      <w:hyperlink r:id="rId138" w:history="1">
        <w:r w:rsidRPr="007D476E">
          <w:rPr>
            <w:rStyle w:val="Hyperlink"/>
            <w:rFonts w:cs="Calibri"/>
          </w:rPr>
          <w:t>http://www.territorystories.nt.gov.au/jspui/handle/10070/241906</w:t>
        </w:r>
      </w:hyperlink>
      <w:r w:rsidRPr="007D476E">
        <w:t>.</w:t>
      </w:r>
    </w:p>
    <w:p w14:paraId="73C344ED" w14:textId="53E54391" w:rsidR="007D476E" w:rsidRPr="007D476E" w:rsidRDefault="007D476E" w:rsidP="007D476E">
      <w:pPr>
        <w:pStyle w:val="EndNoteBibliography"/>
        <w:spacing w:after="0"/>
        <w:ind w:left="720" w:hanging="720"/>
      </w:pPr>
      <w:r w:rsidRPr="007D476E">
        <w:t xml:space="preserve">Fulton S and Knapton A (2015a) Water table contours and flow direction arrows from water table mapping for the cambrian limestone aquifer used in Beetaloo hydrogeological assessment report. Viewed 24 April 2020, </w:t>
      </w:r>
      <w:hyperlink r:id="rId139" w:history="1">
        <w:r w:rsidRPr="007D476E">
          <w:rPr>
            <w:rStyle w:val="Hyperlink"/>
            <w:rFonts w:cs="Calibri"/>
          </w:rPr>
          <w:t>https://repo.bioregionalassessments.gov.au/metadata/4BCBE081-EE77-474D-9451-0CF52A6BEFA4</w:t>
        </w:r>
      </w:hyperlink>
      <w:r w:rsidRPr="007D476E">
        <w:t>. GBA data repository GUID: 4BCBE081-EE77-474D-9451-0CF52A6BEFA4.</w:t>
      </w:r>
    </w:p>
    <w:p w14:paraId="2886000F" w14:textId="032E3EFA" w:rsidR="007D476E" w:rsidRPr="007D476E" w:rsidRDefault="007D476E" w:rsidP="007D476E">
      <w:pPr>
        <w:pStyle w:val="EndNoteBibliography"/>
        <w:spacing w:after="0"/>
        <w:ind w:left="720" w:hanging="720"/>
      </w:pPr>
      <w:r w:rsidRPr="007D476E">
        <w:t xml:space="preserve">Fulton S and Knapton A (2015b) Beetaloo Basin hydrogeological assessment. Cloud GMS. Origin Energy Report 1 for Fracking Enquiry NT. Viewed 28 November 2019, </w:t>
      </w:r>
      <w:hyperlink r:id="rId140" w:history="1">
        <w:r w:rsidRPr="007D476E">
          <w:rPr>
            <w:rStyle w:val="Hyperlink"/>
            <w:rFonts w:cs="Calibri"/>
          </w:rPr>
          <w:t>https://frackinginquiry.nt.gov.au/?a=410609</w:t>
        </w:r>
      </w:hyperlink>
      <w:r w:rsidRPr="007D476E">
        <w:t>.</w:t>
      </w:r>
    </w:p>
    <w:p w14:paraId="71ADACE8" w14:textId="7AFC475D" w:rsidR="007D476E" w:rsidRPr="007D476E" w:rsidRDefault="007D476E" w:rsidP="007D476E">
      <w:pPr>
        <w:pStyle w:val="EndNoteBibliography"/>
        <w:spacing w:after="0"/>
        <w:ind w:left="720" w:hanging="720"/>
      </w:pPr>
      <w:r w:rsidRPr="007D476E">
        <w:t xml:space="preserve">Geological and Bioregional Assessment Program (2019a) Impact Modes and Effects Analysis: Shale gas, tight gas and shale oil Beetaloo Sub-basin. [tabular]. Viewed 05 April 2019, </w:t>
      </w:r>
      <w:hyperlink r:id="rId141" w:history="1">
        <w:r w:rsidRPr="007D476E">
          <w:rPr>
            <w:rStyle w:val="Hyperlink"/>
            <w:rFonts w:cs="Calibri"/>
          </w:rPr>
          <w:t>https://repo.bioregionalassessments.gov.au/metadata/B7C9EE99-5A13-4312-89DA-794C082F8345</w:t>
        </w:r>
      </w:hyperlink>
      <w:r w:rsidRPr="007D476E">
        <w:t>. GBA data repository GUID: B7C9EE99-5A13-4312-89DA-794C082F8345.</w:t>
      </w:r>
    </w:p>
    <w:p w14:paraId="3AC04B1F" w14:textId="37A5AAFC" w:rsidR="007D476E" w:rsidRPr="007D476E" w:rsidRDefault="007D476E" w:rsidP="007D476E">
      <w:pPr>
        <w:pStyle w:val="EndNoteBibliography"/>
        <w:spacing w:after="0"/>
        <w:ind w:left="720" w:hanging="720"/>
      </w:pPr>
      <w:r w:rsidRPr="007D476E">
        <w:t xml:space="preserve">Geological and Bioregional Assessment Program (2019b) Unconventional gas plays footprint within the Beetaloo GBA region. [spatial]. Viewed 27 September 2019, </w:t>
      </w:r>
      <w:hyperlink r:id="rId142" w:history="1">
        <w:r w:rsidRPr="007D476E">
          <w:rPr>
            <w:rStyle w:val="Hyperlink"/>
            <w:rFonts w:cs="Calibri"/>
          </w:rPr>
          <w:t>https://repo.bioregionalassessments.gov.au/metadata/8AFD2AA4-8361-4D6D-B64B-125C58F14EC6</w:t>
        </w:r>
      </w:hyperlink>
      <w:r w:rsidRPr="007D476E">
        <w:t>. GBA data repository GUID: 8AFD2AA4-8361-4D6D-B64B-125C58F14EC6.</w:t>
      </w:r>
    </w:p>
    <w:p w14:paraId="640B2B5E" w14:textId="20CB18D4" w:rsidR="007D476E" w:rsidRPr="007D476E" w:rsidRDefault="007D476E" w:rsidP="007D476E">
      <w:pPr>
        <w:pStyle w:val="EndNoteBibliography"/>
        <w:spacing w:after="0"/>
        <w:ind w:left="720" w:hanging="720"/>
      </w:pPr>
      <w:r w:rsidRPr="007D476E">
        <w:t xml:space="preserve">Geological and Bioregional Assessment Program (2019c) Tasseled Cap Index wetness Index - Beetaloo GBA region. Viewed 19 April 2019, </w:t>
      </w:r>
      <w:hyperlink r:id="rId143" w:history="1">
        <w:r w:rsidRPr="007D476E">
          <w:rPr>
            <w:rStyle w:val="Hyperlink"/>
            <w:rFonts w:cs="Calibri"/>
          </w:rPr>
          <w:t>https://repo.bioregionalassessments.gov.au/metadata/FE2AAF5B-9204-4771-998E-9F002FEDE3BA</w:t>
        </w:r>
      </w:hyperlink>
      <w:r w:rsidRPr="007D476E">
        <w:t>. GBA data repository GUID: FE2AAF5B-9204-4771-998E-9F002FEDE3BA.</w:t>
      </w:r>
    </w:p>
    <w:p w14:paraId="595ECED3" w14:textId="2B1085CB" w:rsidR="007D476E" w:rsidRPr="007D476E" w:rsidRDefault="007D476E" w:rsidP="007D476E">
      <w:pPr>
        <w:pStyle w:val="EndNoteBibliography"/>
        <w:spacing w:after="0"/>
        <w:ind w:left="720" w:hanging="720"/>
      </w:pPr>
      <w:r w:rsidRPr="007D476E">
        <w:t xml:space="preserve">Geological and Bioregional Assessment Program (2019d) Beetaloo GBA Groundwater and surface water sample locations included in hydrochemical cluster analysis by CSIRO. [tabular]. Viewed 28 February 2020, </w:t>
      </w:r>
      <w:hyperlink r:id="rId144" w:history="1">
        <w:r w:rsidRPr="007D476E">
          <w:rPr>
            <w:rStyle w:val="Hyperlink"/>
            <w:rFonts w:cs="Calibri"/>
          </w:rPr>
          <w:t>https://repo.bioregionalassessments.gov.au/metadata/52556C6B-A44C-4AD4-8FB4-F9F609B1E228</w:t>
        </w:r>
      </w:hyperlink>
      <w:r w:rsidRPr="007D476E">
        <w:t>. GBA data repository GUID: 52556C6B-A44C-4AD4-8FB4-F9F609B1E228.</w:t>
      </w:r>
    </w:p>
    <w:p w14:paraId="221EF354" w14:textId="4CB9DAC4" w:rsidR="007D476E" w:rsidRPr="007D476E" w:rsidRDefault="007D476E" w:rsidP="007D476E">
      <w:pPr>
        <w:pStyle w:val="EndNoteBibliography"/>
        <w:spacing w:after="0"/>
        <w:ind w:left="720" w:hanging="720"/>
      </w:pPr>
      <w:r w:rsidRPr="007D476E">
        <w:t xml:space="preserve">Geological and Bioregional Assessment Program (2019e) Beetaloo GBA region - Total Magnetic Intensity (TMI)  georeferenced image. Viewed 19 May 2019, </w:t>
      </w:r>
      <w:hyperlink r:id="rId145" w:history="1">
        <w:r w:rsidRPr="007D476E">
          <w:rPr>
            <w:rStyle w:val="Hyperlink"/>
            <w:rFonts w:cs="Calibri"/>
          </w:rPr>
          <w:t>http://www.ga.gov.au/news-events/news/latest-news/latest-editions-of-magnetic-anomaly-grid-and-radiometric-map-released</w:t>
        </w:r>
      </w:hyperlink>
      <w:r w:rsidRPr="007D476E">
        <w:t>. GBA data repository GUID: 47E424DC-7489-42AA-ADB2-E3BAEC3E36EB.</w:t>
      </w:r>
    </w:p>
    <w:p w14:paraId="23D96223" w14:textId="0A71087D" w:rsidR="007D476E" w:rsidRPr="007D476E" w:rsidRDefault="007D476E" w:rsidP="007D476E">
      <w:pPr>
        <w:pStyle w:val="EndNoteBibliography"/>
        <w:spacing w:after="0"/>
        <w:ind w:left="720" w:hanging="720"/>
      </w:pPr>
      <w:r w:rsidRPr="007D476E">
        <w:t xml:space="preserve">Geological and Bioregional Assessment Program (2019f) Beetaloo formation pressure and temperature data compiled from petroleum well completion reports. Viewed 08 March 2019, </w:t>
      </w:r>
      <w:hyperlink r:id="rId146" w:history="1">
        <w:r w:rsidRPr="007D476E">
          <w:rPr>
            <w:rStyle w:val="Hyperlink"/>
            <w:rFonts w:cs="Calibri"/>
          </w:rPr>
          <w:t>https://repo.bioregionalassessments.gov.au/metadata/65CF9145-483A-45E5-9349-CC66647731F1</w:t>
        </w:r>
      </w:hyperlink>
      <w:r w:rsidRPr="007D476E">
        <w:t>. GBA data repository GUID: 65CF9145-483A-45E5-9349-CC66647731F1.</w:t>
      </w:r>
    </w:p>
    <w:p w14:paraId="555C0673" w14:textId="44E1299E" w:rsidR="007D476E" w:rsidRPr="007D476E" w:rsidRDefault="007D476E" w:rsidP="007D476E">
      <w:pPr>
        <w:pStyle w:val="EndNoteBibliography"/>
        <w:spacing w:after="0"/>
        <w:ind w:left="720" w:hanging="720"/>
      </w:pPr>
      <w:r w:rsidRPr="007D476E">
        <w:t xml:space="preserve">Geological and Bioregional Assessment Program (2019g) Standing water levels in the Beetaloo GBA groundwater bore data extraction area. [ArcGIS shapefile]. Viewed 10 October 2018, </w:t>
      </w:r>
      <w:hyperlink r:id="rId147" w:history="1">
        <w:r w:rsidRPr="007D476E">
          <w:rPr>
            <w:rStyle w:val="Hyperlink"/>
            <w:rFonts w:cs="Calibri"/>
          </w:rPr>
          <w:t>https://repo.bioregionalassessments.gov.au/metadata/EB77B337-F46B-4B30-AC44-88357E8061FB</w:t>
        </w:r>
      </w:hyperlink>
      <w:r w:rsidRPr="007D476E">
        <w:t>. GBA data repository GUID: EB77B337-F46B-4B30-AC44-88357E8061FB.</w:t>
      </w:r>
    </w:p>
    <w:p w14:paraId="5ED2BF5D" w14:textId="4BA76480" w:rsidR="007D476E" w:rsidRPr="007D476E" w:rsidRDefault="007D476E" w:rsidP="007D476E">
      <w:pPr>
        <w:pStyle w:val="EndNoteBibliography"/>
        <w:spacing w:after="0"/>
        <w:ind w:left="720" w:hanging="720"/>
      </w:pPr>
      <w:r w:rsidRPr="007D476E">
        <w:t xml:space="preserve">Geological and Bioregional Assessment Program (2019h) Groundwater chemistry in the Beetaloo GBA groundwater bore data extraction area. Viewed 03 April 2019, </w:t>
      </w:r>
      <w:hyperlink r:id="rId148" w:history="1">
        <w:r w:rsidRPr="007D476E">
          <w:rPr>
            <w:rStyle w:val="Hyperlink"/>
            <w:rFonts w:cs="Calibri"/>
          </w:rPr>
          <w:t>https://repo.bioregionalassessments.gov.au/metadata/A0654187-3282-4DB6-B5A4-668A897D4D79</w:t>
        </w:r>
      </w:hyperlink>
      <w:r w:rsidRPr="007D476E">
        <w:t>. GBA data repository GUID: A0654187-3282-4DB6-B5A4-668A897D4D79.</w:t>
      </w:r>
    </w:p>
    <w:p w14:paraId="04898C92" w14:textId="25DEAA28" w:rsidR="007D476E" w:rsidRPr="007D476E" w:rsidRDefault="007D476E" w:rsidP="007D476E">
      <w:pPr>
        <w:pStyle w:val="EndNoteBibliography"/>
        <w:spacing w:after="0"/>
        <w:ind w:left="720" w:hanging="720"/>
      </w:pPr>
      <w:r w:rsidRPr="007D476E">
        <w:t xml:space="preserve">Geological and Bioregional Assessment Program (2019i) Beetaloo basin GDE. [spatial]. Viewed 12 October 2018, </w:t>
      </w:r>
      <w:hyperlink r:id="rId149" w:history="1">
        <w:r w:rsidRPr="007D476E">
          <w:rPr>
            <w:rStyle w:val="Hyperlink"/>
            <w:rFonts w:cs="Calibri"/>
          </w:rPr>
          <w:t>https://repo.bioregionalassessments.gov.au/metadata/E4C2B147-8338-4821-BC5E-DE300E9B6362</w:t>
        </w:r>
      </w:hyperlink>
      <w:r w:rsidRPr="007D476E">
        <w:t>. GBA data repository GUID: E4C2B147-8338-4821-BC5E-DE300E9B6362.</w:t>
      </w:r>
    </w:p>
    <w:p w14:paraId="0234CD69" w14:textId="5E94E261" w:rsidR="007D476E" w:rsidRPr="007D476E" w:rsidRDefault="007D476E" w:rsidP="007D476E">
      <w:pPr>
        <w:pStyle w:val="EndNoteBibliography"/>
        <w:spacing w:after="0"/>
        <w:ind w:left="720" w:hanging="720"/>
      </w:pPr>
      <w:r w:rsidRPr="007D476E">
        <w:t xml:space="preserve">Geological and Bioregional Assessment Program (2019j) Regional groundwater model boundary for the Cambrian Limestone Aquifer, Model describe in Knapton (2006) and Knapton (2009). See stage 2 Beetaloo technical report for further detail. Viewed 6 November 2019, </w:t>
      </w:r>
      <w:hyperlink r:id="rId150" w:history="1">
        <w:r w:rsidRPr="007D476E">
          <w:rPr>
            <w:rStyle w:val="Hyperlink"/>
            <w:rFonts w:cs="Calibri"/>
          </w:rPr>
          <w:t>https://repo.bioregionalassessments.gov.au/metadata/1AB02C99-D8E9-48C5-8629-E049F85FF2AB</w:t>
        </w:r>
      </w:hyperlink>
      <w:r w:rsidRPr="007D476E">
        <w:t>. GBA data repository GUID: 1AB02C99-D8E9-48C5-8629-E049F85FF2AB.</w:t>
      </w:r>
    </w:p>
    <w:p w14:paraId="1F6AF3EE" w14:textId="475A5820" w:rsidR="007D476E" w:rsidRPr="007D476E" w:rsidRDefault="007D476E" w:rsidP="007D476E">
      <w:pPr>
        <w:pStyle w:val="EndNoteBibliography"/>
        <w:spacing w:after="0"/>
        <w:ind w:left="720" w:hanging="720"/>
      </w:pPr>
      <w:r w:rsidRPr="007D476E">
        <w:t xml:space="preserve">Geoscience Australia (2012) Surface geology of Australia 1:1 million. [spatial]. Viewed 27 March 2018, </w:t>
      </w:r>
      <w:hyperlink r:id="rId151" w:history="1">
        <w:r w:rsidRPr="007D476E">
          <w:rPr>
            <w:rStyle w:val="Hyperlink"/>
            <w:rFonts w:cs="Calibri"/>
          </w:rPr>
          <w:t>http://pid.geoscience.gov.au/dataset/ga/74619</w:t>
        </w:r>
      </w:hyperlink>
      <w:r w:rsidRPr="007D476E">
        <w:t>. GBA data repository GUID: A74CCABD-CB40-4741-A301-DAC9F53CEAE1.</w:t>
      </w:r>
    </w:p>
    <w:p w14:paraId="31E6D498" w14:textId="3D6F992B" w:rsidR="007D476E" w:rsidRPr="007D476E" w:rsidRDefault="007D476E" w:rsidP="007D476E">
      <w:pPr>
        <w:pStyle w:val="EndNoteBibliography"/>
        <w:spacing w:after="0"/>
        <w:ind w:left="720" w:hanging="720"/>
      </w:pPr>
      <w:r w:rsidRPr="007D476E">
        <w:t xml:space="preserve">Geoscience Australia (2018) Water Observations from Space (WOfS) summary statistic classified as percentages. [spatial]. Viewed 18 December 2018, </w:t>
      </w:r>
      <w:hyperlink r:id="rId152" w:history="1">
        <w:r w:rsidRPr="007D476E">
          <w:rPr>
            <w:rStyle w:val="Hyperlink"/>
            <w:rFonts w:cs="Calibri"/>
          </w:rPr>
          <w:t>http://pid.geoscience.gov.au/dataset/ga/121054</w:t>
        </w:r>
      </w:hyperlink>
      <w:r w:rsidRPr="007D476E">
        <w:t>. GBA data repository GUID: 756F0C06-3794-46D0-ABC0-608F9578D45B.</w:t>
      </w:r>
    </w:p>
    <w:p w14:paraId="11251014" w14:textId="77777777" w:rsidR="007D476E" w:rsidRPr="007D476E" w:rsidRDefault="007D476E" w:rsidP="007D476E">
      <w:pPr>
        <w:pStyle w:val="EndNoteBibliography"/>
        <w:spacing w:after="0"/>
        <w:ind w:left="720" w:hanging="720"/>
      </w:pPr>
      <w:r w:rsidRPr="007D476E">
        <w:t xml:space="preserve">Glass L, Ahmad M and Dunster J (2013) Chapter 30: Kalkarindji Province. In: Ahmad M and Munson T (eds), Geology and mineral resources of the Northern Territory. Northern Territory Geological Survey, Darwin, NT, Australia. </w:t>
      </w:r>
    </w:p>
    <w:p w14:paraId="06A0024C" w14:textId="77777777" w:rsidR="007D476E" w:rsidRPr="007D476E" w:rsidRDefault="007D476E" w:rsidP="007D476E">
      <w:pPr>
        <w:pStyle w:val="EndNoteBibliography"/>
        <w:spacing w:after="0"/>
        <w:ind w:left="720" w:hanging="720"/>
      </w:pPr>
      <w:r w:rsidRPr="007D476E">
        <w:t xml:space="preserve">Güler C, Thyne GD, McCray JE and Turner AK (2002) Evaluation of graphical and multivariate statistical methods for classification of water chemistry data. Hydrogeology Journal 4, 455-474. </w:t>
      </w:r>
    </w:p>
    <w:p w14:paraId="4D6D78F5" w14:textId="77777777" w:rsidR="007D476E" w:rsidRPr="007D476E" w:rsidRDefault="007D476E" w:rsidP="007D476E">
      <w:pPr>
        <w:pStyle w:val="EndNoteBibliography"/>
        <w:spacing w:after="0"/>
        <w:ind w:left="720" w:hanging="720"/>
      </w:pPr>
      <w:r w:rsidRPr="007D476E">
        <w:t>Haines SS, Diffendorfer JE, Balistrieri L, Berger B, Cook T, DeAngelis D, Doremus H, Gautier DL, Gallegos T, Gerritsen M, Graffy E, Hawkins S, Johnson KM, Macknick J, McMahon P, Modde T, Pierce B, Schuenemeyer JH, Semmens D, Simon B, Taylor J and Walton-Day K (2013) A Framework for Quantitative Assessment of Impacts Related to Energy and Mineral Resource Development. Natural Resources Research 23(1), 3-17. Doi: 10.1007/s11053-013-9208-6.</w:t>
      </w:r>
    </w:p>
    <w:p w14:paraId="0A94D337" w14:textId="77777777" w:rsidR="007D476E" w:rsidRPr="007D476E" w:rsidRDefault="007D476E" w:rsidP="007D476E">
      <w:pPr>
        <w:pStyle w:val="EndNoteBibliography"/>
        <w:spacing w:after="0"/>
        <w:ind w:left="720" w:hanging="720"/>
      </w:pPr>
      <w:r w:rsidRPr="007D476E">
        <w:t>Hall LS, Wang L, Bailey AHE, Orr ML, Owens R, Jarrett AJM, Lech ME, Skeers N, Reese B and Woods M (2020) Petroleum prospectivity of the Beetaloo Sub-basin. Technical appendix for the Geological and Bioregional Assessment: Stage 2. Department of the Environment and Energy, Bureau of Meteorology, CSIRO and Geoscience Australia, Australia.</w:t>
      </w:r>
    </w:p>
    <w:p w14:paraId="2A262669" w14:textId="77777777" w:rsidR="007D476E" w:rsidRPr="007D476E" w:rsidRDefault="007D476E" w:rsidP="007D476E">
      <w:pPr>
        <w:pStyle w:val="EndNoteBibliography"/>
        <w:spacing w:after="0"/>
        <w:ind w:left="720" w:hanging="720"/>
      </w:pPr>
      <w:r w:rsidRPr="007D476E">
        <w:t>Healy RW (2010) Estimating Groundwater Recharge. Cambridge University Press, Cambridge.</w:t>
      </w:r>
    </w:p>
    <w:p w14:paraId="72E9CDCE" w14:textId="77777777" w:rsidR="007D476E" w:rsidRPr="007D476E" w:rsidRDefault="007D476E" w:rsidP="007D476E">
      <w:pPr>
        <w:pStyle w:val="EndNoteBibliography"/>
        <w:spacing w:after="0"/>
        <w:ind w:left="720" w:hanging="720"/>
      </w:pPr>
      <w:r w:rsidRPr="007D476E">
        <w:t>Holland KL, Brandon C, Crosbie RS, Davies P, Evans T, Golding L, Gonzalez D, Gunning ME, Hall LS, Henderson B, Kasperczyk D, Kear J, Kirby J, Lech ME, Macfarlane C, Martinez J, Marvanek S, Merrin LE, O’Grady A, Owens R, Pavey C, Post D, Rachakonda P, Raiber M, Sander R, Stewart S, Sundaram B, Tetreault-Campbell S, Williams M, Zhang Y and Zheng H (2020) Geological and environmental baseline assessment for the Cooper GBA region. Geological and Bioregional Assessment Program: Stage 2. Department of the Environment and Energy, Bureau of Meteorology, CSIRO, Geoscience Australia, Australia.</w:t>
      </w:r>
    </w:p>
    <w:p w14:paraId="40970D9C" w14:textId="77777777" w:rsidR="007D476E" w:rsidRPr="007D476E" w:rsidRDefault="007D476E" w:rsidP="007D476E">
      <w:pPr>
        <w:pStyle w:val="EndNoteBibliography"/>
        <w:spacing w:after="0"/>
        <w:ind w:left="720" w:hanging="720"/>
      </w:pPr>
      <w:r w:rsidRPr="007D476E">
        <w:t>Hortle A, Otto C and Underschultz J (2013) A Quality Control System to Reduce Uncertainty in Interpreting Formation Pressures for Reservoir and Basin Pressure System Analysis. Journal of Petroleum Geology 36(2), 163-177. Doi: doi:10.1111/jpg.12549.</w:t>
      </w:r>
    </w:p>
    <w:p w14:paraId="0BAD77EB" w14:textId="77777777" w:rsidR="007D476E" w:rsidRPr="007D476E" w:rsidRDefault="007D476E" w:rsidP="007D476E">
      <w:pPr>
        <w:pStyle w:val="EndNoteBibliography"/>
        <w:spacing w:after="0"/>
        <w:ind w:left="720" w:hanging="720"/>
      </w:pPr>
      <w:r w:rsidRPr="007D476E">
        <w:t>Huddlestone-Holmes CR, Frery E, Wilkes P, Bailey AHE, Bernadel G, Brandon C, Buchanan S, Cook SB, Crosbie RS, Evans T, Golding L, Gonzalez D, Gunning ME, Hall LS, Henderson B, Herr A, Holland KL, Jarrett A, Kear J, Kirby J, Lech ME, Lewis S, Macfarlane C, Martinez J, Murray J, Northover S, O'Grady A, Orr ML, Owens R, Pavey C, Post D, Sundaram B, Rachakonda P, Raiber M, Ransley TR, Tetreault-Campbell S and Wang L (2020) Geological and environmental baseline assessment for the Beetaloo GBA region. Geological and Bioregional Assessment Program: Stage 2. Department of the Environment and Energy, Bureau of Meteorology, CSIRO and Geoscience Australia, Australia.</w:t>
      </w:r>
    </w:p>
    <w:p w14:paraId="1C64B2C2" w14:textId="77777777" w:rsidR="007D476E" w:rsidRPr="007D476E" w:rsidRDefault="007D476E" w:rsidP="007D476E">
      <w:pPr>
        <w:pStyle w:val="EndNoteBibliography"/>
        <w:spacing w:after="0"/>
        <w:ind w:left="720" w:hanging="720"/>
      </w:pPr>
      <w:r w:rsidRPr="007D476E">
        <w:t>Karp D (2005) Evaluation of groundwater flow by dye tracing Katherine region. Department of Natural Resources, Environment, the Arts and Sport (NT).</w:t>
      </w:r>
    </w:p>
    <w:p w14:paraId="0DE252C2" w14:textId="77777777" w:rsidR="007D476E" w:rsidRPr="007D476E" w:rsidRDefault="007D476E" w:rsidP="007D476E">
      <w:pPr>
        <w:pStyle w:val="EndNoteBibliography"/>
        <w:spacing w:after="0"/>
        <w:ind w:left="720" w:hanging="720"/>
      </w:pPr>
      <w:r w:rsidRPr="007D476E">
        <w:t>Karp D (2008) Surface and groundwater interaction the Mataranka area. Department of Natural Resources, Environment, the Arts and Sport (NT).</w:t>
      </w:r>
    </w:p>
    <w:p w14:paraId="1D037AE6" w14:textId="77777777" w:rsidR="007D476E" w:rsidRPr="007D476E" w:rsidRDefault="007D476E" w:rsidP="007D476E">
      <w:pPr>
        <w:pStyle w:val="EndNoteBibliography"/>
        <w:spacing w:after="0"/>
        <w:ind w:left="720" w:hanging="720"/>
      </w:pPr>
      <w:r w:rsidRPr="007D476E">
        <w:t xml:space="preserve">Kauth RJ and Thomas G (1976) The tasselled cap-a graphic description of the spectral-temporal development of agricultural crops as seen by Landsat. LARS Symposia, 159. </w:t>
      </w:r>
    </w:p>
    <w:p w14:paraId="5D702A45" w14:textId="77777777" w:rsidR="007D476E" w:rsidRPr="007D476E" w:rsidRDefault="007D476E" w:rsidP="007D476E">
      <w:pPr>
        <w:pStyle w:val="EndNoteBibliography"/>
        <w:spacing w:after="0"/>
        <w:ind w:left="720" w:hanging="720"/>
      </w:pPr>
      <w:r w:rsidRPr="007D476E">
        <w:t xml:space="preserve">Kennewell PJ and Huleatt MB (1980) Geology of the Wiso Basin, Northern Territory. Bureau of Mineral Resources, Australia, Bulletin 205. </w:t>
      </w:r>
    </w:p>
    <w:p w14:paraId="587C45F7" w14:textId="77777777" w:rsidR="007D476E" w:rsidRPr="007D476E" w:rsidRDefault="007D476E" w:rsidP="007D476E">
      <w:pPr>
        <w:pStyle w:val="EndNoteBibliography"/>
        <w:spacing w:after="0"/>
        <w:ind w:left="720" w:hanging="720"/>
      </w:pPr>
      <w:r w:rsidRPr="007D476E">
        <w:t>King A, Raiber M and Cox M (2014) Multivariate statistical analysis of hydrochemical data to assess alluvial aquifer–stream connectivity during drought and flood: Cressbrook Creek, southeast Queensland, Australia. Hydrogeology Journal 22, 481–500. Doi: 10.1007/s10040-013-1057-1.</w:t>
      </w:r>
    </w:p>
    <w:p w14:paraId="12ED4F13" w14:textId="485FFE3B" w:rsidR="007D476E" w:rsidRPr="007D476E" w:rsidRDefault="007D476E" w:rsidP="007D476E">
      <w:pPr>
        <w:pStyle w:val="EndNoteBibliography"/>
        <w:spacing w:after="0"/>
        <w:ind w:left="720" w:hanging="720"/>
      </w:pPr>
      <w:r w:rsidRPr="007D476E">
        <w:t xml:space="preserve">Knapton A (2000) Water Resource Assessment of the Sturt Plateau - Geophysical Investigations. Department of Infrastructure, Planning and Environment, Department of Infrastructure, Planning and Environment. Viewed 28 November 2019, </w:t>
      </w:r>
      <w:hyperlink r:id="rId153" w:history="1">
        <w:r w:rsidRPr="007D476E">
          <w:rPr>
            <w:rStyle w:val="Hyperlink"/>
            <w:rFonts w:cs="Calibri"/>
          </w:rPr>
          <w:t>https://frackinginquiry.nt.gov.au/submission-library?a=433159</w:t>
        </w:r>
      </w:hyperlink>
      <w:r w:rsidRPr="007D476E">
        <w:t>.</w:t>
      </w:r>
    </w:p>
    <w:p w14:paraId="5461F51F" w14:textId="404B1EDD" w:rsidR="007D476E" w:rsidRPr="007D476E" w:rsidRDefault="007D476E" w:rsidP="007D476E">
      <w:pPr>
        <w:pStyle w:val="EndNoteBibliography"/>
        <w:spacing w:after="0"/>
        <w:ind w:left="720" w:hanging="720"/>
      </w:pPr>
      <w:r w:rsidRPr="007D476E">
        <w:t xml:space="preserve">Knapton A (2006) Regional Groundwater Modelling of the Cambrian Limestone Aquifer System of the Wiso Basin, Georgina Basin and Daly Basin. Department of Natural Resources, Environment and the Arts (Northern Territory), Alice Springs. Viewed 28 November 2019, </w:t>
      </w:r>
      <w:hyperlink r:id="rId154" w:history="1">
        <w:r w:rsidRPr="007D476E">
          <w:rPr>
            <w:rStyle w:val="Hyperlink"/>
            <w:rFonts w:cs="Calibri"/>
          </w:rPr>
          <w:t>http://www.territorystories.nt.gov.au/jspui/bitstream/10070/228069/1/WRA06029.pdf</w:t>
        </w:r>
      </w:hyperlink>
      <w:r w:rsidRPr="007D476E">
        <w:t>.</w:t>
      </w:r>
    </w:p>
    <w:p w14:paraId="7BF91DC1" w14:textId="3E5357A3" w:rsidR="007D476E" w:rsidRPr="007D476E" w:rsidRDefault="007D476E" w:rsidP="007D476E">
      <w:pPr>
        <w:pStyle w:val="EndNoteBibliography"/>
        <w:spacing w:after="0"/>
        <w:ind w:left="720" w:hanging="720"/>
      </w:pPr>
      <w:r w:rsidRPr="007D476E">
        <w:t xml:space="preserve">Knapton A (2009) Gulf water study. An integrated surface - groundwater model of the Roper River Catchment, Northern Territory. Part C - Feflow groundwater model. Department of Natural Resources, Environment, the Arts and Sport (NT). Viewed 28 November 2019, </w:t>
      </w:r>
      <w:hyperlink r:id="rId155" w:history="1">
        <w:r w:rsidRPr="007D476E">
          <w:rPr>
            <w:rStyle w:val="Hyperlink"/>
            <w:rFonts w:cs="Calibri"/>
          </w:rPr>
          <w:t>http://dev.territorystories.nt.gov.au/jspui/handle/10070/246988?mode=full</w:t>
        </w:r>
      </w:hyperlink>
      <w:r w:rsidRPr="007D476E">
        <w:t>.</w:t>
      </w:r>
    </w:p>
    <w:p w14:paraId="56D00D81" w14:textId="77777777" w:rsidR="007D476E" w:rsidRPr="007D476E" w:rsidRDefault="007D476E" w:rsidP="007D476E">
      <w:pPr>
        <w:pStyle w:val="EndNoteBibliography"/>
        <w:spacing w:after="0"/>
        <w:ind w:left="720" w:hanging="720"/>
      </w:pPr>
      <w:r w:rsidRPr="007D476E">
        <w:t xml:space="preserve">Kruse PD and Munson TJ (2013a) Chapter 32: Wiso Basin. In: Ahmad M and Munson TJ (eds). Geology and mineral resources of the Northern Territory. Northern Territory Geological Survey, Special Publication 5, Darwin, 12. </w:t>
      </w:r>
    </w:p>
    <w:p w14:paraId="13F684B0" w14:textId="77777777" w:rsidR="007D476E" w:rsidRPr="007D476E" w:rsidRDefault="007D476E" w:rsidP="007D476E">
      <w:pPr>
        <w:pStyle w:val="EndNoteBibliography"/>
        <w:spacing w:after="0"/>
        <w:ind w:left="720" w:hanging="720"/>
      </w:pPr>
      <w:r w:rsidRPr="007D476E">
        <w:t xml:space="preserve">Kruse PD and Munson TJ (2013b) Chapter 31: Daly Basin. In: Ahmad M and Munson TJ (eds). Geology and mineral resources of the Northern Territory. Northern Territory Geological Survey, Special Publication 5, Darwin, 14. </w:t>
      </w:r>
    </w:p>
    <w:p w14:paraId="4A17F179" w14:textId="77777777" w:rsidR="007D476E" w:rsidRPr="007D476E" w:rsidRDefault="007D476E" w:rsidP="007D476E">
      <w:pPr>
        <w:pStyle w:val="EndNoteBibliography"/>
        <w:spacing w:after="0"/>
        <w:ind w:left="720" w:hanging="720"/>
      </w:pPr>
      <w:r w:rsidRPr="007D476E">
        <w:t xml:space="preserve">Kruse PD, Dunster JN and Munson TJ (2013) Chapter 28: Georgina Basin. In: Ahmad M and Munson TJ (eds). Geology and mineral resources of the Northern Territory. Northern Territory Geological Survey, Special Publication 5. </w:t>
      </w:r>
    </w:p>
    <w:p w14:paraId="358AA140" w14:textId="77777777" w:rsidR="007D476E" w:rsidRPr="007D476E" w:rsidRDefault="007D476E" w:rsidP="007D476E">
      <w:pPr>
        <w:pStyle w:val="EndNoteBibliography"/>
        <w:spacing w:after="0"/>
        <w:ind w:left="720" w:hanging="720"/>
      </w:pPr>
      <w:r w:rsidRPr="007D476E">
        <w:t xml:space="preserve">Lanigan K, Hibbird S, Menpes S and Torkington J (1994) Petroleum exploration in the Proterozoic Beetaloo Sub-basin, Northern Territory. The APEA Journal 34, 674–691. </w:t>
      </w:r>
    </w:p>
    <w:p w14:paraId="1D740766" w14:textId="77777777" w:rsidR="007D476E" w:rsidRPr="007D476E" w:rsidRDefault="007D476E" w:rsidP="007D476E">
      <w:pPr>
        <w:pStyle w:val="EndNoteBibliography"/>
        <w:spacing w:after="0"/>
        <w:ind w:left="720" w:hanging="720"/>
      </w:pPr>
      <w:r w:rsidRPr="007D476E">
        <w:t>Lewis A, Oliver S, Lymburner L, Evans B, Wyborn L, Mueller N, Raevksi G, Hooke J, Woodcock R, Sixsmith J, Wu W, Tan P, Li F, Killough B, Minchin S, Roberts D, Ayers D, Bala B, Dwyer J, Dekker A, Dhu T, Hicks A, Ip A, Purss M, Richards C, Sagar S, Trenham C, Wang P and Wang L-W (2017) The Australian Geoscience Data Cube — Foundations and lessons learned. Remote Sensing of Environment 202, 276-292. Doi: 10.1016/j.rse.2017.03.015.</w:t>
      </w:r>
    </w:p>
    <w:p w14:paraId="5D92A95E" w14:textId="437BE388" w:rsidR="007D476E" w:rsidRPr="007D476E" w:rsidRDefault="007D476E" w:rsidP="007D476E">
      <w:pPr>
        <w:pStyle w:val="EndNoteBibliography"/>
        <w:spacing w:after="0"/>
        <w:ind w:left="720" w:hanging="720"/>
      </w:pPr>
      <w:r w:rsidRPr="007D476E">
        <w:t xml:space="preserve">Lewis S, Evans T, Pavey C, Holland K, Henderson B, Kilgour P, Dehelean A, Karim F, Viney N, Post D, Schmidt R, Sudholz C, Brandon C, Zhang Y, Lymburner L, Dunn B, Mount R, Gonzalez D, Peeters L, O’Grady A, Dunne R, Ickowicz A, Hosack G, Hayes K, Dambacher J and Barry S (2018) Impact and risk analysis for the Galilee subregion. Product 3-4 for the Galilee subregion from the Lake Eyre Basin Bioregional Assessment. Department of the Environment and Energy, Bureau of Meteorology, CSIRO and Geoscience Australia, Australia. Viewed 10 May 2019, </w:t>
      </w:r>
      <w:hyperlink r:id="rId156" w:history="1">
        <w:r w:rsidRPr="007D476E">
          <w:rPr>
            <w:rStyle w:val="Hyperlink"/>
            <w:rFonts w:cs="Calibri"/>
          </w:rPr>
          <w:t>https://www.bioregionalassessments.gov.au/assessments/3-4-impact-and-risk-analysis-galilee-subregion</w:t>
        </w:r>
      </w:hyperlink>
      <w:r w:rsidRPr="007D476E">
        <w:t>.</w:t>
      </w:r>
    </w:p>
    <w:p w14:paraId="1550CAB5" w14:textId="77777777" w:rsidR="007D476E" w:rsidRPr="007D476E" w:rsidRDefault="007D476E" w:rsidP="007D476E">
      <w:pPr>
        <w:pStyle w:val="EndNoteBibliography"/>
        <w:spacing w:after="0"/>
        <w:ind w:left="720" w:hanging="720"/>
      </w:pPr>
      <w:r w:rsidRPr="007D476E">
        <w:t xml:space="preserve">Magoon L and Dow W (1994) The petroleum system. In: Magoon L and Dow W (eds), The petroleum system - from source to trap. AAPG Memoir 60. American Association of Petroleum Geologists, Boulder, Tulsa, OK, USA, 3-24. </w:t>
      </w:r>
    </w:p>
    <w:p w14:paraId="5072E203" w14:textId="77777777" w:rsidR="007D476E" w:rsidRPr="007D476E" w:rsidRDefault="007D476E" w:rsidP="007D476E">
      <w:pPr>
        <w:pStyle w:val="EndNoteBibliography"/>
        <w:spacing w:after="0"/>
        <w:ind w:left="720" w:hanging="720"/>
      </w:pPr>
      <w:r w:rsidRPr="007D476E">
        <w:t>Mallants D, Raiber M and Davies P (2016) Decision support system for investigating gas in water bores and links to coal seam gas development. Project report prepared by the Commonwealth Scientific and Industrial Research Organisation (CSIRO) for the Queensland Department of Natural Resources and Mines.</w:t>
      </w:r>
    </w:p>
    <w:p w14:paraId="3461B31C" w14:textId="77777777" w:rsidR="007D476E" w:rsidRPr="007D476E" w:rsidRDefault="007D476E" w:rsidP="007D476E">
      <w:pPr>
        <w:pStyle w:val="EndNoteBibliography"/>
        <w:spacing w:after="0"/>
        <w:ind w:left="720" w:hanging="720"/>
      </w:pPr>
      <w:r w:rsidRPr="007D476E">
        <w:t>Martinez JL, Raiber M and Cendón DI (2017) Using 3D geological modelling and geochemical mixing models to characterise alluvial aquifer recharge sources in the upper Condamine River catchment, Queensland, Australia. Science of The Total Environment 574, 1-18. Doi: 10.1016/j.scitotenv.2016.09.029.</w:t>
      </w:r>
    </w:p>
    <w:p w14:paraId="45453E62" w14:textId="77777777" w:rsidR="007D476E" w:rsidRPr="007D476E" w:rsidRDefault="007D476E" w:rsidP="007D476E">
      <w:pPr>
        <w:pStyle w:val="EndNoteBibliography"/>
        <w:spacing w:after="0"/>
        <w:ind w:left="720" w:hanging="720"/>
      </w:pPr>
      <w:r w:rsidRPr="007D476E">
        <w:t xml:space="preserve">McCutcheon SC, Martin JL and Barnwell TO, Jr (1993) Chapter 11: Water Quality. In: Maidment DR (ed), Handbook of Hydrology. McGraw-Hill, New York. </w:t>
      </w:r>
    </w:p>
    <w:p w14:paraId="0C61E404" w14:textId="77777777" w:rsidR="007D476E" w:rsidRPr="007D476E" w:rsidRDefault="007D476E" w:rsidP="007D476E">
      <w:pPr>
        <w:pStyle w:val="EndNoteBibliography"/>
        <w:spacing w:after="0"/>
        <w:ind w:left="720" w:hanging="720"/>
      </w:pPr>
      <w:r w:rsidRPr="007D476E">
        <w:t>Mueller N, Lewis A, Roberts D, Ring S, Melrose R, Sixsmith J, Lymburner L, McIntyre A, Tan P, Curnow S and Ip A (2016) Water observations from space: mapping surface water from 25 years of Landsat imagery across Australia. Remote Sensing of Environment 174, 341–352. Doi: 10.1016/j.rse.2015.11.003.</w:t>
      </w:r>
    </w:p>
    <w:p w14:paraId="343364BA" w14:textId="77777777" w:rsidR="007D476E" w:rsidRPr="007D476E" w:rsidRDefault="007D476E" w:rsidP="007D476E">
      <w:pPr>
        <w:pStyle w:val="EndNoteBibliography"/>
        <w:spacing w:after="0"/>
        <w:ind w:left="720" w:hanging="720"/>
      </w:pPr>
      <w:r w:rsidRPr="007D476E">
        <w:t xml:space="preserve">Munson TJ, Kruse PD and Ahmad M (2013a) Chapter 22: Centralian Superbasin. In: Ahmad M and Munson TJ (eds). Geology and mineral resources of the Northern Territory. Northern Territory Geological Survey, Special Publication 5, Darwin, 639–657. </w:t>
      </w:r>
    </w:p>
    <w:p w14:paraId="6260DA88" w14:textId="77777777" w:rsidR="007D476E" w:rsidRPr="007D476E" w:rsidRDefault="007D476E" w:rsidP="007D476E">
      <w:pPr>
        <w:pStyle w:val="EndNoteBibliography"/>
        <w:spacing w:after="0"/>
        <w:ind w:left="720" w:hanging="720"/>
      </w:pPr>
      <w:r w:rsidRPr="007D476E">
        <w:t xml:space="preserve">Munson TJ, Ahmad M and Dunster JN (2013b) Chapter 39: Carpentaria Basin: in Ahmad M and Munson TJ (eds). Geology and mineral resources of the Northern Territory. Northern Territory Geological Survey, Special Publication 5., Geology and Mineral Resources of the Northern Territory. Northern Territory Geological Survey, Darwin, 18. </w:t>
      </w:r>
    </w:p>
    <w:p w14:paraId="377EC4E3" w14:textId="663585C8" w:rsidR="007D476E" w:rsidRPr="007D476E" w:rsidRDefault="007D476E" w:rsidP="007D476E">
      <w:pPr>
        <w:pStyle w:val="EndNoteBibliography"/>
        <w:spacing w:after="0"/>
        <w:ind w:left="720" w:hanging="720"/>
      </w:pPr>
      <w:r w:rsidRPr="007D476E">
        <w:t xml:space="preserve">Munson TJ (2014) Petroleum geology and potential of the onshore Northern Territory, 2014. Northern Territory Geological Survey, Report 22. Northern Territory Geological Survey, Darwin. Viewed 31 August 2018, </w:t>
      </w:r>
      <w:hyperlink r:id="rId157" w:history="1">
        <w:r w:rsidRPr="007D476E">
          <w:rPr>
            <w:rStyle w:val="Hyperlink"/>
            <w:rFonts w:cs="Calibri"/>
          </w:rPr>
          <w:t>https://geoscience.nt.gov.au/gemis/ntgsjspui/handle/1/81558</w:t>
        </w:r>
      </w:hyperlink>
      <w:r w:rsidRPr="007D476E">
        <w:t>.</w:t>
      </w:r>
    </w:p>
    <w:p w14:paraId="4B0A0DCC" w14:textId="5B0099A3" w:rsidR="007D476E" w:rsidRPr="007D476E" w:rsidRDefault="007D476E" w:rsidP="007D476E">
      <w:pPr>
        <w:pStyle w:val="EndNoteBibliography"/>
        <w:spacing w:after="0"/>
        <w:ind w:left="720" w:hanging="720"/>
      </w:pPr>
      <w:r w:rsidRPr="007D476E">
        <w:t xml:space="preserve">Munson TJ (2016) Sedimentary characterisation of the Wilton package, greater McArthur Basin, Northern Territory. NTGS Record 2016-003. Northern Territory Geological Survey. Viewed 28 November 2019, </w:t>
      </w:r>
      <w:hyperlink r:id="rId158" w:history="1">
        <w:r w:rsidRPr="007D476E">
          <w:rPr>
            <w:rStyle w:val="Hyperlink"/>
            <w:rFonts w:cs="Calibri"/>
          </w:rPr>
          <w:t>https://geoscience.nt.gov.au/gemis/ntgsjspui/handle/1/83806</w:t>
        </w:r>
      </w:hyperlink>
      <w:r w:rsidRPr="007D476E">
        <w:t>.</w:t>
      </w:r>
    </w:p>
    <w:p w14:paraId="30BF240F" w14:textId="13BAD645" w:rsidR="007D476E" w:rsidRPr="007D476E" w:rsidRDefault="007D476E" w:rsidP="007D476E">
      <w:pPr>
        <w:pStyle w:val="EndNoteBibliography"/>
        <w:spacing w:after="0"/>
        <w:ind w:left="720" w:hanging="720"/>
      </w:pPr>
      <w:r w:rsidRPr="007D476E">
        <w:t xml:space="preserve">Munson TJ and Revie D (2018) Stratigraphic subdivision of the Velkerri Formation, Roper Group, McArthur Basin, Northern Territory. NTGS Record 2018-006. Northern Territory Geological Survey, Darwin. Viewed 29 November 2019, </w:t>
      </w:r>
      <w:hyperlink r:id="rId159" w:history="1">
        <w:r w:rsidRPr="007D476E">
          <w:rPr>
            <w:rStyle w:val="Hyperlink"/>
            <w:rFonts w:cs="Calibri"/>
          </w:rPr>
          <w:t>https://geoscience.nt.gov.au/gemis/ntgsjspui/handle/1/87322</w:t>
        </w:r>
      </w:hyperlink>
      <w:r w:rsidRPr="007D476E">
        <w:t>.</w:t>
      </w:r>
    </w:p>
    <w:p w14:paraId="51B557A6" w14:textId="77777777" w:rsidR="007D476E" w:rsidRPr="007D476E" w:rsidRDefault="007D476E" w:rsidP="007D476E">
      <w:pPr>
        <w:pStyle w:val="EndNoteBibliography"/>
        <w:spacing w:after="0"/>
        <w:ind w:left="720" w:hanging="720"/>
      </w:pPr>
      <w:r w:rsidRPr="007D476E">
        <w:t>Munson TJ (2019) Detrital zircon geochronology investigations of the Glyde and Favenc packages: Implications for the geological framework of the greater McArthur Basin, Northern Territory: in Annual Geoscience Exploration Seminar (AGES) Proceedings, Alice Springs, Northern Territory, 19–20 March 2019. Northern Territory Geological Survey, Darwin.</w:t>
      </w:r>
    </w:p>
    <w:p w14:paraId="2416BB55" w14:textId="61212E41" w:rsidR="007D476E" w:rsidRPr="007D476E" w:rsidRDefault="007D476E" w:rsidP="007D476E">
      <w:pPr>
        <w:pStyle w:val="EndNoteBibliography"/>
        <w:spacing w:after="0"/>
        <w:ind w:left="720" w:hanging="720"/>
      </w:pPr>
      <w:r w:rsidRPr="007D476E">
        <w:t xml:space="preserve">Northern Territory Government (2018) Geoscience Exploration and Mining Information System (GEMIS) – Petroleum Wells (PEX Wells). Viewed 16 November 2018, </w:t>
      </w:r>
      <w:hyperlink r:id="rId160" w:history="1">
        <w:r w:rsidRPr="007D476E">
          <w:rPr>
            <w:rStyle w:val="Hyperlink"/>
            <w:rFonts w:cs="Calibri"/>
          </w:rPr>
          <w:t>https://geoscience.nt.gov.au/gemis/ntgsjspui/handle/1/79187</w:t>
        </w:r>
      </w:hyperlink>
      <w:r w:rsidRPr="007D476E">
        <w:t>.</w:t>
      </w:r>
    </w:p>
    <w:p w14:paraId="778A363B" w14:textId="766522C7" w:rsidR="007D476E" w:rsidRPr="007D476E" w:rsidRDefault="007D476E" w:rsidP="007D476E">
      <w:pPr>
        <w:pStyle w:val="EndNoteBibliography"/>
        <w:spacing w:after="0"/>
        <w:ind w:left="720" w:hanging="720"/>
      </w:pPr>
      <w:r w:rsidRPr="007D476E">
        <w:t xml:space="preserve">Origin Energy (2019) Origin Data Package. [tabular]. Viewed 24 April 2020, </w:t>
      </w:r>
      <w:hyperlink r:id="rId161" w:history="1">
        <w:r w:rsidRPr="007D476E">
          <w:rPr>
            <w:rStyle w:val="Hyperlink"/>
            <w:rFonts w:cs="Calibri"/>
          </w:rPr>
          <w:t>https://www.originenergy.com.au/</w:t>
        </w:r>
      </w:hyperlink>
      <w:r w:rsidRPr="007D476E">
        <w:t>. GBA data repository GUID: 0BE0A3FE-7C2E-48EF-B890-F42C38EEF24F.</w:t>
      </w:r>
    </w:p>
    <w:p w14:paraId="2E032712" w14:textId="77777777" w:rsidR="007D476E" w:rsidRPr="007D476E" w:rsidRDefault="007D476E" w:rsidP="007D476E">
      <w:pPr>
        <w:pStyle w:val="EndNoteBibliography"/>
        <w:spacing w:after="0"/>
        <w:ind w:left="720" w:hanging="720"/>
      </w:pPr>
      <w:r w:rsidRPr="007D476E">
        <w:t>Orr ML, Bernardel G, Owens R, Hall LS, Skeers N, Reese B and Woods M (2020) Geology of the Beetaloo GBA region. Technical appendix for the Geological and Bioregional Assessment: Stage 2. Department of the Environment and Energy, Bureau of Meteorology, CSIRO and Geoscience Australia, Australia.</w:t>
      </w:r>
    </w:p>
    <w:p w14:paraId="03B7A070" w14:textId="77777777" w:rsidR="007D476E" w:rsidRPr="007D476E" w:rsidRDefault="007D476E" w:rsidP="007D476E">
      <w:pPr>
        <w:pStyle w:val="EndNoteBibliography"/>
        <w:spacing w:after="0"/>
        <w:ind w:left="720" w:hanging="720"/>
      </w:pPr>
      <w:r w:rsidRPr="007D476E">
        <w:t>Page RW, Jackson MJ and Krassay AA (2000) Constraining sequence stratigraphy in north Australian basins: SHRIMP U-Pb zircon geochronology between Mt Isa and McArthur River. Australian Journal of Earth Sciences 47(3), 431-459. Doi: 10.1046/j.1440-0952.2000.00797.x.</w:t>
      </w:r>
    </w:p>
    <w:p w14:paraId="2C4907D4" w14:textId="77777777" w:rsidR="007D476E" w:rsidRPr="007D476E" w:rsidRDefault="007D476E" w:rsidP="007D476E">
      <w:pPr>
        <w:pStyle w:val="EndNoteBibliography"/>
        <w:spacing w:after="0"/>
        <w:ind w:left="720" w:hanging="720"/>
      </w:pPr>
      <w:r w:rsidRPr="007D476E">
        <w:t xml:space="preserve">Paine A (1963) Tanumbirini, Northern Territory (First Edition). 1:250 000 geological map series explanatory notes, SE 53-02. Bureau of Mineral Resources, Australia, Canberra. </w:t>
      </w:r>
    </w:p>
    <w:p w14:paraId="00D199D3" w14:textId="3C7B76A3" w:rsidR="007D476E" w:rsidRPr="007D476E" w:rsidRDefault="007D476E" w:rsidP="007D476E">
      <w:pPr>
        <w:pStyle w:val="EndNoteBibliography"/>
        <w:spacing w:after="0"/>
        <w:ind w:left="720" w:hanging="720"/>
      </w:pPr>
      <w:r w:rsidRPr="007D476E">
        <w:t xml:space="preserve">Pangaea Resources (2019) Pangaea Resources Groundwater Quality Dataset. [tabular]. Viewed 24 April 2020, </w:t>
      </w:r>
      <w:hyperlink r:id="rId162" w:history="1">
        <w:r w:rsidRPr="007D476E">
          <w:rPr>
            <w:rStyle w:val="Hyperlink"/>
            <w:rFonts w:cs="Calibri"/>
          </w:rPr>
          <w:t>https://www.pangaea.net.au/</w:t>
        </w:r>
      </w:hyperlink>
      <w:r w:rsidRPr="007D476E">
        <w:t>. GBA data repository GUID: FE6B6C2F-B2AA-40EB-9EEB-5DA12ECDFAAC.</w:t>
      </w:r>
    </w:p>
    <w:p w14:paraId="35650BA3" w14:textId="0D36EB4F" w:rsidR="007D476E" w:rsidRPr="007D476E" w:rsidRDefault="007D476E" w:rsidP="007D476E">
      <w:pPr>
        <w:pStyle w:val="EndNoteBibliography"/>
        <w:spacing w:after="0"/>
        <w:ind w:left="720" w:hanging="720"/>
      </w:pPr>
      <w:r w:rsidRPr="007D476E">
        <w:t xml:space="preserve">Paul RJ (2003) Helen Springs Groundwater Investigation, 2000. Department of Infrastructure, Planning and Environment (Northern Territory), Alice Springs. Viewed 28 November 2019, </w:t>
      </w:r>
      <w:hyperlink r:id="rId163" w:history="1">
        <w:r w:rsidRPr="007D476E">
          <w:rPr>
            <w:rStyle w:val="Hyperlink"/>
            <w:rFonts w:cs="Calibri"/>
          </w:rPr>
          <w:t>http://www.territorystories.nt.gov.au/bitstream/10070/246897/1/Helen_Springs_Groundwater_Investigation_2000.pdf</w:t>
        </w:r>
      </w:hyperlink>
      <w:r w:rsidRPr="007D476E">
        <w:t>.</w:t>
      </w:r>
    </w:p>
    <w:p w14:paraId="3995A466" w14:textId="77777777" w:rsidR="007D476E" w:rsidRPr="007D476E" w:rsidRDefault="007D476E" w:rsidP="007D476E">
      <w:pPr>
        <w:pStyle w:val="EndNoteBibliography"/>
        <w:spacing w:after="0"/>
        <w:ind w:left="720" w:hanging="720"/>
      </w:pPr>
      <w:r w:rsidRPr="007D476E">
        <w:t>Peeters L (2014) A background color scheme for Piper plots to spatially visualize hydrochemical patterns. Groundwater 52(1), 2–6. Doi: doi:10.1111/gwat.12118.</w:t>
      </w:r>
    </w:p>
    <w:p w14:paraId="4BE53721" w14:textId="77777777" w:rsidR="007D476E" w:rsidRPr="007D476E" w:rsidRDefault="007D476E" w:rsidP="007D476E">
      <w:pPr>
        <w:pStyle w:val="EndNoteBibliography"/>
        <w:spacing w:after="0"/>
        <w:ind w:left="720" w:hanging="720"/>
      </w:pPr>
      <w:r w:rsidRPr="007D476E">
        <w:t xml:space="preserve">Plumb KA and Wellman P (1987) McArthur Basin, Northern Territory: mapping of deep troughs using gravity and magnetic anomalies. BMR Journal of Australian Geology &amp; Geophysics 10(3), 243–251. </w:t>
      </w:r>
    </w:p>
    <w:p w14:paraId="155E2AEF" w14:textId="77777777" w:rsidR="007D476E" w:rsidRPr="007D476E" w:rsidRDefault="007D476E" w:rsidP="007D476E">
      <w:pPr>
        <w:pStyle w:val="EndNoteBibliography"/>
        <w:spacing w:after="0"/>
        <w:ind w:left="720" w:hanging="720"/>
      </w:pPr>
      <w:r w:rsidRPr="007D476E">
        <w:t>Post V, Kooi H and Simmons C (2007) Using Hydraulic Head Measurements in Variable-Density Ground Water Flow Analyses. Groundwater 45(6), 664-671. Doi: doi:10.1111/j.1745-6584.2007.00339.x.</w:t>
      </w:r>
    </w:p>
    <w:p w14:paraId="2302C927" w14:textId="77777777" w:rsidR="007D476E" w:rsidRPr="007D476E" w:rsidRDefault="007D476E" w:rsidP="007D476E">
      <w:pPr>
        <w:pStyle w:val="EndNoteBibliography"/>
        <w:spacing w:after="0"/>
        <w:ind w:left="720" w:hanging="720"/>
      </w:pPr>
      <w:r w:rsidRPr="007D476E">
        <w:t xml:space="preserve">Queresi H and Noller BN (1994) Assessment of naturally occurring radionuclides in groundwater at Katherine, Northern Territory Australia. Water down under; Volume 2; Part A,. Groundwater papers. Preprints of papers.from 25th congress of the International Association of Hydrogeologists; Management to sustain shallow groundwater systems; pp 209-214. </w:t>
      </w:r>
    </w:p>
    <w:p w14:paraId="13EE1683" w14:textId="77777777" w:rsidR="007D476E" w:rsidRPr="007D476E" w:rsidRDefault="007D476E" w:rsidP="007D476E">
      <w:pPr>
        <w:pStyle w:val="EndNoteBibliography"/>
        <w:spacing w:after="0"/>
        <w:ind w:left="720" w:hanging="720"/>
      </w:pPr>
      <w:r w:rsidRPr="007D476E">
        <w:t>Raiber M, White PA, Daughney CJ, Tschritter C, Davidson P and Bainbridge SE (2012) Three-dimensional geological modelling and multivariate statistical analysis of water chemistry data to analyse and visualise aquifer structure and groundwater composition in the Wairau Plain, Marlborough District, New Zealand. Journal of Hydrology 436–437, 13–34. Doi: 10.1016/j.jhydrol.2012.01.045.</w:t>
      </w:r>
    </w:p>
    <w:p w14:paraId="1C60AD5C" w14:textId="6A1760C7" w:rsidR="007D476E" w:rsidRPr="007D476E" w:rsidRDefault="007D476E" w:rsidP="007D476E">
      <w:pPr>
        <w:pStyle w:val="EndNoteBibliography"/>
        <w:spacing w:after="0"/>
        <w:ind w:left="720" w:hanging="720"/>
      </w:pPr>
      <w:r w:rsidRPr="007D476E">
        <w:t xml:space="preserve">Raiber M, Cui T, Pagendam D, Rassam D, Gilfedder M, Crosbie R, Marvanek S and Hartcher M (2016) Observations analysis, statistical analysis and interpolation for the Clarence-Moreton bioregion. Product 2.1-2.2 from the Clarence-Moreton Bioregional Assessment. Department of the Environment and Energy, Bureau of Meteorology, CSIRO and Geoscience Australia, Australia. Viewed 19 May 2019, </w:t>
      </w:r>
      <w:hyperlink r:id="rId164" w:history="1">
        <w:r w:rsidRPr="007D476E">
          <w:rPr>
            <w:rStyle w:val="Hyperlink"/>
            <w:rFonts w:cs="Calibri"/>
          </w:rPr>
          <w:t>http://data.bioregionalassessments.gov.au/product/CLM/CLM/2.1-2.2</w:t>
        </w:r>
      </w:hyperlink>
      <w:r w:rsidRPr="007D476E">
        <w:t>.</w:t>
      </w:r>
    </w:p>
    <w:p w14:paraId="48FC1D34" w14:textId="77777777" w:rsidR="007D476E" w:rsidRPr="007D476E" w:rsidRDefault="007D476E" w:rsidP="007D476E">
      <w:pPr>
        <w:pStyle w:val="EndNoteBibliography"/>
        <w:spacing w:after="0"/>
        <w:ind w:left="720" w:hanging="720"/>
      </w:pPr>
      <w:r w:rsidRPr="007D476E">
        <w:t>Raiber M, Lewis S, Cendón D, Cui T, ME C, Gilfedder M and Rassam D (2019) Significance of the connection between bedrock, alluvium and streams: a spatial and temporal hydrogeological and hydrogeochemical assessment from Queensland, Australia. Journal of Hydrology 569, 666–684. Doi: 10.1016/j.jhydrol.2018.12.020.</w:t>
      </w:r>
    </w:p>
    <w:p w14:paraId="14988DE4" w14:textId="77777777" w:rsidR="007D476E" w:rsidRPr="007D476E" w:rsidRDefault="007D476E" w:rsidP="007D476E">
      <w:pPr>
        <w:pStyle w:val="EndNoteBibliography"/>
        <w:spacing w:after="0"/>
        <w:ind w:left="720" w:hanging="720"/>
      </w:pPr>
      <w:r w:rsidRPr="007D476E">
        <w:t xml:space="preserve">Randal MA, Brown MC, Smith KG, Perry WJ and Skwarko SK (1969) Larrimah 1:250 000 Sheet SD 53-13. Bureau of Minearl Resources, Geology and Geophysics. </w:t>
      </w:r>
    </w:p>
    <w:p w14:paraId="7F3A8C1C" w14:textId="1E52A943" w:rsidR="007D476E" w:rsidRPr="007D476E" w:rsidRDefault="007D476E" w:rsidP="007D476E">
      <w:pPr>
        <w:pStyle w:val="EndNoteBibliography"/>
        <w:spacing w:after="0"/>
        <w:ind w:left="720" w:hanging="720"/>
      </w:pPr>
      <w:r w:rsidRPr="007D476E">
        <w:t xml:space="preserve">Randal MA (1973) Groundwater in the Northern Wiso Basin and environs, Northern Territory. Bureau of Mineral Resources, Canberra. Viewed 25 October 2019, </w:t>
      </w:r>
      <w:hyperlink r:id="rId165" w:history="1">
        <w:r w:rsidRPr="007D476E">
          <w:rPr>
            <w:rStyle w:val="Hyperlink"/>
            <w:rFonts w:cs="Calibri"/>
          </w:rPr>
          <w:t>http://www.ga.gov.au/metadata-gateway/metadata/record/100/</w:t>
        </w:r>
      </w:hyperlink>
      <w:r w:rsidRPr="007D476E">
        <w:t>.</w:t>
      </w:r>
    </w:p>
    <w:p w14:paraId="1E49B201" w14:textId="77777777" w:rsidR="007D476E" w:rsidRPr="007D476E" w:rsidRDefault="007D476E" w:rsidP="007D476E">
      <w:pPr>
        <w:pStyle w:val="EndNoteBibliography"/>
        <w:spacing w:after="0"/>
        <w:ind w:left="720" w:hanging="720"/>
      </w:pPr>
      <w:r w:rsidRPr="007D476E">
        <w:t>Rawlings DJ (1999) Stratigraphic resolution of a multiphase intracratonic basin system: The McArthur Basin, northern Australia. Australian Journal of Earth Sciences 46(5), 703-723. Doi: 10.1046/j.1440-0952.1999.00739.x.</w:t>
      </w:r>
    </w:p>
    <w:p w14:paraId="578DC72B" w14:textId="77777777" w:rsidR="007D476E" w:rsidRPr="007D476E" w:rsidRDefault="007D476E" w:rsidP="007D476E">
      <w:pPr>
        <w:pStyle w:val="EndNoteBibliography"/>
        <w:spacing w:after="0"/>
        <w:ind w:left="720" w:hanging="720"/>
      </w:pPr>
      <w:r w:rsidRPr="007D476E">
        <w:t>Revie D (2017) Unconventional petroleum resources of the Roper Group, McArthur Basin. Record 2017-002. Northern Territory Geological Survey.</w:t>
      </w:r>
    </w:p>
    <w:p w14:paraId="7530056F" w14:textId="77777777" w:rsidR="007D476E" w:rsidRPr="007D476E" w:rsidRDefault="007D476E" w:rsidP="007D476E">
      <w:pPr>
        <w:pStyle w:val="EndNoteBibliography"/>
        <w:spacing w:after="0"/>
        <w:ind w:left="720" w:hanging="720"/>
      </w:pPr>
      <w:r w:rsidRPr="007D476E">
        <w:t xml:space="preserve">Roberts D, Dunn B and Mueller N (2018) Open Data Cube Products Using High-Dimensional Statistics of Time Series. International Geoscience and Remote Sensing Symposium. Valencia, Spain: IEEE Geoscience and Remote Sensing Society. </w:t>
      </w:r>
    </w:p>
    <w:p w14:paraId="14FE75F8" w14:textId="77777777" w:rsidR="007D476E" w:rsidRPr="007D476E" w:rsidRDefault="007D476E" w:rsidP="007D476E">
      <w:pPr>
        <w:pStyle w:val="EndNoteBibliography"/>
        <w:spacing w:after="0"/>
        <w:ind w:left="720" w:hanging="720"/>
      </w:pPr>
      <w:r w:rsidRPr="007D476E">
        <w:t>RobSearch (1997) Technical review of EP 18 and EP(A) 70, Beetaloo Basin, Northern Territory, Australia, prepared for Mataranks Oil NL. Robsearch Project No. 3972.</w:t>
      </w:r>
    </w:p>
    <w:p w14:paraId="0736794A" w14:textId="74B4B7ED" w:rsidR="007D476E" w:rsidRPr="007D476E" w:rsidRDefault="007D476E" w:rsidP="007D476E">
      <w:pPr>
        <w:pStyle w:val="EndNoteBibliography"/>
        <w:spacing w:after="0"/>
        <w:ind w:left="720" w:hanging="720"/>
      </w:pPr>
      <w:r w:rsidRPr="007D476E">
        <w:t xml:space="preserve">Schult J (2016) Pesticide and nutrient monitoring in the Roper River region during the 2015 dry season. Northern Territory Department of Environment and Natural Resources, Palmerston, NT. Viewed 25 October 2019, </w:t>
      </w:r>
      <w:hyperlink r:id="rId166" w:history="1">
        <w:r w:rsidRPr="007D476E">
          <w:rPr>
            <w:rStyle w:val="Hyperlink"/>
            <w:rFonts w:cs="Calibri"/>
          </w:rPr>
          <w:t>https://denr.nt.gov.au/__data/assets/pdf_file/0011/384392/Schult_2016_pesticides_Roper.pdf</w:t>
        </w:r>
      </w:hyperlink>
      <w:r w:rsidRPr="007D476E">
        <w:t>.</w:t>
      </w:r>
    </w:p>
    <w:p w14:paraId="5F621191" w14:textId="77777777" w:rsidR="007D476E" w:rsidRPr="007D476E" w:rsidRDefault="007D476E" w:rsidP="007D476E">
      <w:pPr>
        <w:pStyle w:val="EndNoteBibliography"/>
        <w:spacing w:after="0"/>
        <w:ind w:left="720" w:hanging="720"/>
      </w:pPr>
      <w:r w:rsidRPr="007D476E">
        <w:t>Silverman MR, Landon SM, Leaver JS, Mather TJ and Berg E (2007) No fuel like an old fuel: proterozoic oil and gas potential in the Beetaloo Basin, Northern Territory, Australia. In: Proceedings of the Central Australian Basins Symposium (CABS), Northern Territory Geological Survey (NTGS) Special Publication 2, 205–215</w:t>
      </w:r>
    </w:p>
    <w:p w14:paraId="787913C9" w14:textId="0001CC28" w:rsidR="007D476E" w:rsidRPr="007D476E" w:rsidRDefault="007D476E" w:rsidP="007D476E">
      <w:pPr>
        <w:pStyle w:val="EndNoteBibliography"/>
        <w:spacing w:after="0"/>
        <w:ind w:left="720" w:hanging="720"/>
      </w:pPr>
      <w:r w:rsidRPr="007D476E">
        <w:t xml:space="preserve">Silverman MR and Ahlbrandt T (2011) Mesoproterozoic unconventional plays in the Beetaloo Basin, Australia: the world’s oldest petroleum systems. In: AAPG International Conference and Exhibition Viewed 12 November 2018, </w:t>
      </w:r>
      <w:hyperlink r:id="rId167" w:history="1">
        <w:r w:rsidRPr="007D476E">
          <w:rPr>
            <w:rStyle w:val="Hyperlink"/>
            <w:rFonts w:cs="Calibri"/>
          </w:rPr>
          <w:t>www.searchanddiscovery.com/pdfz/documents/2011/10295silverman/ndx_silverman.pdf.html</w:t>
        </w:r>
      </w:hyperlink>
      <w:r w:rsidRPr="007D476E">
        <w:t>.</w:t>
      </w:r>
    </w:p>
    <w:p w14:paraId="03BED515" w14:textId="77777777" w:rsidR="007D476E" w:rsidRPr="007D476E" w:rsidRDefault="007D476E" w:rsidP="007D476E">
      <w:pPr>
        <w:pStyle w:val="EndNoteBibliography"/>
        <w:spacing w:after="0"/>
        <w:ind w:left="720" w:hanging="720"/>
      </w:pPr>
      <w:r w:rsidRPr="007D476E">
        <w:t>Suckow A, Deslandes A, Gerber C and Lamontagne S (2018) Environmental tracers in the Beetaloo Sub-basin. CSIRO Land and Water, Australia.</w:t>
      </w:r>
    </w:p>
    <w:p w14:paraId="61A72A3D" w14:textId="77777777" w:rsidR="007D476E" w:rsidRPr="007D476E" w:rsidRDefault="007D476E" w:rsidP="007D476E">
      <w:pPr>
        <w:pStyle w:val="EndNoteBibliography"/>
        <w:spacing w:after="0"/>
        <w:ind w:left="720" w:hanging="720"/>
      </w:pPr>
      <w:r w:rsidRPr="007D476E">
        <w:t>Tickell SJ (2003) Water resource mapping of the Barkly Tablelands. Department of Infrastructure, Planning and Environment (Northern Territory), Darwin.</w:t>
      </w:r>
    </w:p>
    <w:p w14:paraId="22F186D0" w14:textId="77777777" w:rsidR="007D476E" w:rsidRPr="007D476E" w:rsidRDefault="007D476E" w:rsidP="007D476E">
      <w:pPr>
        <w:pStyle w:val="EndNoteBibliography"/>
        <w:spacing w:after="0"/>
        <w:ind w:left="720" w:hanging="720"/>
      </w:pPr>
      <w:r w:rsidRPr="007D476E">
        <w:t>Tickell SJ (2005) Groundwater resources of the Tindall Limestone. Report 34/2005. Department of Natural Resources, The Environment and The Arts Natural Resources Division.</w:t>
      </w:r>
    </w:p>
    <w:p w14:paraId="39DB39B2" w14:textId="77777777" w:rsidR="007D476E" w:rsidRPr="007D476E" w:rsidRDefault="007D476E" w:rsidP="007D476E">
      <w:pPr>
        <w:pStyle w:val="EndNoteBibliography"/>
        <w:spacing w:after="0"/>
        <w:ind w:left="720" w:hanging="720"/>
      </w:pPr>
      <w:r w:rsidRPr="007D476E">
        <w:t xml:space="preserve">Tickell SJ (2009) Daly Basin Drilling, 2009. Northern Territory Government Department of Natural Resources the Environment The Arts and Sport, Technical Report No. 08/2010D. </w:t>
      </w:r>
    </w:p>
    <w:p w14:paraId="0CD62AF3" w14:textId="08842629" w:rsidR="007D476E" w:rsidRPr="007D476E" w:rsidRDefault="007D476E" w:rsidP="007D476E">
      <w:pPr>
        <w:pStyle w:val="EndNoteBibliography"/>
        <w:spacing w:after="0"/>
        <w:ind w:left="720" w:hanging="720"/>
      </w:pPr>
      <w:r w:rsidRPr="007D476E">
        <w:t xml:space="preserve">Tickell SJ and Bruwer Q (2017) Georgina Basin Groundwater Assessment: Daly Waters to Tennant Creek. Northern Territory Department of Environment and Natural Resources. Viewed 20 April 2020, </w:t>
      </w:r>
      <w:hyperlink r:id="rId168" w:history="1">
        <w:r w:rsidRPr="007D476E">
          <w:rPr>
            <w:rStyle w:val="Hyperlink"/>
            <w:rFonts w:cs="Calibri"/>
          </w:rPr>
          <w:t>http://www.territorystories.nt.gov.au/jspui/handle/10070/304921</w:t>
        </w:r>
      </w:hyperlink>
      <w:r w:rsidRPr="007D476E">
        <w:t>.</w:t>
      </w:r>
    </w:p>
    <w:p w14:paraId="4C42BF5A" w14:textId="77777777" w:rsidR="007D476E" w:rsidRPr="007D476E" w:rsidRDefault="007D476E" w:rsidP="007D476E">
      <w:pPr>
        <w:pStyle w:val="EndNoteBibliography"/>
        <w:spacing w:after="0"/>
        <w:ind w:left="720" w:hanging="720"/>
      </w:pPr>
      <w:r w:rsidRPr="007D476E">
        <w:t xml:space="preserve">Tulloch A, Barnes M, Ringma J, Fuller R and Watson J (2015) Understanding the importance of small patches of habitat for conservation. Journal of Applied Ecology 53, 418-429. </w:t>
      </w:r>
    </w:p>
    <w:p w14:paraId="09371C17" w14:textId="148D4BDF" w:rsidR="007D476E" w:rsidRPr="007D476E" w:rsidRDefault="007D476E" w:rsidP="007D476E">
      <w:pPr>
        <w:pStyle w:val="EndNoteBibliography"/>
        <w:spacing w:after="0"/>
        <w:ind w:left="720" w:hanging="720"/>
      </w:pPr>
      <w:r w:rsidRPr="007D476E">
        <w:t xml:space="preserve">UNESCO (1981) Background papers and supporting data on the International Equation of State of Seawater, 1980. Viewed 28 November 2019, </w:t>
      </w:r>
      <w:hyperlink r:id="rId169" w:history="1">
        <w:r w:rsidRPr="007D476E">
          <w:rPr>
            <w:rStyle w:val="Hyperlink"/>
            <w:rFonts w:cs="Calibri"/>
          </w:rPr>
          <w:t>https://unesdoc.unesco.org/ark:/48223/pf0000047363</w:t>
        </w:r>
      </w:hyperlink>
      <w:r w:rsidRPr="007D476E">
        <w:t>.</w:t>
      </w:r>
    </w:p>
    <w:p w14:paraId="4440DD44" w14:textId="4EE4DEC2" w:rsidR="007D476E" w:rsidRPr="007D476E" w:rsidRDefault="007D476E" w:rsidP="007D476E">
      <w:pPr>
        <w:pStyle w:val="EndNoteBibliography"/>
        <w:spacing w:after="0"/>
        <w:ind w:left="720" w:hanging="720"/>
      </w:pPr>
      <w:r w:rsidRPr="007D476E">
        <w:t xml:space="preserve">Wilkes P, Rachakonda PK, Larcher A and Woltering M (2019) Baseline assessment of groundwater characteristics in the Beetaloo Sub-basin, NT. Geochemistry Analysis report to the Gas Industry Social and Environmental Research Alliance (GISERA). CSIRO, Canberra. Viewed 20 November 2019, </w:t>
      </w:r>
      <w:hyperlink r:id="rId170" w:history="1">
        <w:r w:rsidRPr="007D476E">
          <w:rPr>
            <w:rStyle w:val="Hyperlink"/>
            <w:rFonts w:cs="Calibri"/>
          </w:rPr>
          <w:t>https://gisera.csiro.au/wp-content/uploads/2019/09/GISERA-W16-Task-4-Report_.pdf</w:t>
        </w:r>
      </w:hyperlink>
      <w:r w:rsidRPr="007D476E">
        <w:t>.</w:t>
      </w:r>
    </w:p>
    <w:p w14:paraId="0BB1864C" w14:textId="428A010C" w:rsidR="007D476E" w:rsidRPr="007D476E" w:rsidRDefault="007D476E" w:rsidP="007D476E">
      <w:pPr>
        <w:pStyle w:val="EndNoteBibliography"/>
        <w:spacing w:after="0"/>
        <w:ind w:left="720" w:hanging="720"/>
      </w:pPr>
      <w:r w:rsidRPr="007D476E">
        <w:t xml:space="preserve">Wilson D, Cook P, Hutley L, Tickell S and Jolly P (2006) Effect of land use on evapotranspiration and charge in the Daly River catchment. Department of Natural Resources the Environment and the Arts (NT). Viewed 28 November 2019, </w:t>
      </w:r>
      <w:hyperlink r:id="rId171" w:history="1">
        <w:r w:rsidRPr="007D476E">
          <w:rPr>
            <w:rStyle w:val="Hyperlink"/>
            <w:rFonts w:cs="Calibri"/>
          </w:rPr>
          <w:t>http://www.territorystories.nt.gov.au/jspui/bitstream/10070/251081/1/Effect%20of%20Land%20Use%20on%20Evapotranspiration%20and%20Recharge%20in%20the%20Daly%20River%20Catchment%20-%20WRD06017.pdf</w:t>
        </w:r>
      </w:hyperlink>
      <w:r w:rsidRPr="007D476E">
        <w:t>.</w:t>
      </w:r>
    </w:p>
    <w:p w14:paraId="3CB343E0" w14:textId="77777777" w:rsidR="007D476E" w:rsidRPr="007D476E" w:rsidRDefault="007D476E" w:rsidP="007D476E">
      <w:pPr>
        <w:pStyle w:val="EndNoteBibliography"/>
        <w:spacing w:after="0"/>
        <w:ind w:left="720" w:hanging="720"/>
      </w:pPr>
      <w:r w:rsidRPr="007D476E">
        <w:t xml:space="preserve">Woodford JC and Yin Foo D (1995) Borroloola Groundwater Investigations 1995. Power and Water Authority, Water Resources Division, Technical Report No 59/1995D. </w:t>
      </w:r>
    </w:p>
    <w:p w14:paraId="74C01724" w14:textId="77777777" w:rsidR="007D476E" w:rsidRPr="007D476E" w:rsidRDefault="007D476E" w:rsidP="007D476E">
      <w:pPr>
        <w:pStyle w:val="EndNoteBibliography"/>
        <w:spacing w:after="0"/>
        <w:ind w:left="720" w:hanging="720"/>
      </w:pPr>
      <w:r w:rsidRPr="007D476E">
        <w:t>Yin Foo D and Matthews I (2000) Water Resources Assessment of the Sturt Plateau Technical Data Report. Natural Resources Division, Department of Lands Planning and Environment, Darwin. Report No: 31/2000D.</w:t>
      </w:r>
    </w:p>
    <w:p w14:paraId="36BA1A90" w14:textId="71CC91FF" w:rsidR="007D476E" w:rsidRPr="007D476E" w:rsidRDefault="007D476E" w:rsidP="007D476E">
      <w:pPr>
        <w:pStyle w:val="EndNoteBibliography"/>
        <w:spacing w:after="0"/>
        <w:ind w:left="720" w:hanging="720"/>
      </w:pPr>
      <w:r w:rsidRPr="007D476E">
        <w:t xml:space="preserve">Yin Foo D and Matthews I (2001) Hydrogeology of the Sturt plateau 1:250 000 scale map explanatory notes. Department of Infrastructure, Planning and Environment (NT), Darwin. Viewed 28 November 2019, </w:t>
      </w:r>
      <w:hyperlink r:id="rId172" w:history="1">
        <w:r w:rsidRPr="007D476E">
          <w:rPr>
            <w:rStyle w:val="Hyperlink"/>
            <w:rFonts w:cs="Calibri"/>
          </w:rPr>
          <w:t>http://www.territorystories.nt.gov.au/jspui/handle/10070/228887</w:t>
        </w:r>
      </w:hyperlink>
      <w:r w:rsidRPr="007D476E">
        <w:t>.</w:t>
      </w:r>
    </w:p>
    <w:p w14:paraId="2815AC98" w14:textId="2AF41D65" w:rsidR="007D476E" w:rsidRPr="007D476E" w:rsidRDefault="007D476E" w:rsidP="007D476E">
      <w:pPr>
        <w:pStyle w:val="EndNoteBibliography"/>
        <w:spacing w:after="0"/>
        <w:ind w:left="720" w:hanging="720"/>
      </w:pPr>
      <w:r w:rsidRPr="007D476E">
        <w:t xml:space="preserve">Yin Foo D (2002) Water Resources of the Sturt Plateau region, overview report. Department of Infrastructure, Planning and Environment (Northern Territory), Darwin. Viewed 18 October 2019, </w:t>
      </w:r>
      <w:hyperlink r:id="rId173" w:history="1">
        <w:r w:rsidRPr="007D476E">
          <w:rPr>
            <w:rStyle w:val="Hyperlink"/>
            <w:rFonts w:cs="Calibri"/>
          </w:rPr>
          <w:t>http://www.territorystories.nt.gov.au/handle/10070/229643</w:t>
        </w:r>
      </w:hyperlink>
      <w:r w:rsidRPr="007D476E">
        <w:t>.</w:t>
      </w:r>
    </w:p>
    <w:p w14:paraId="5F813A0E" w14:textId="527A5675" w:rsidR="007D476E" w:rsidRPr="007D476E" w:rsidRDefault="007D476E" w:rsidP="007D476E">
      <w:pPr>
        <w:pStyle w:val="EndNoteBibliography"/>
        <w:spacing w:after="0"/>
        <w:ind w:left="720" w:hanging="720"/>
      </w:pPr>
      <w:r w:rsidRPr="007D476E">
        <w:t xml:space="preserve">Zaar U (2009a) Gulf water study: water resources of the Limmen Bight and the Macarthur Rivers region. Department of Natural Resources, Environment the Arts and Sport (NT), Darwin. Viewed 28 November 2019, </w:t>
      </w:r>
      <w:hyperlink r:id="rId174" w:history="1">
        <w:r w:rsidRPr="007D476E">
          <w:rPr>
            <w:rStyle w:val="Hyperlink"/>
            <w:rFonts w:cs="Calibri"/>
          </w:rPr>
          <w:t>http://www.territorystories.nt.gov.au/jspui/handle/10070/243633</w:t>
        </w:r>
      </w:hyperlink>
      <w:r w:rsidRPr="007D476E">
        <w:t>.</w:t>
      </w:r>
    </w:p>
    <w:p w14:paraId="0A191E30" w14:textId="664DFF54" w:rsidR="007D476E" w:rsidRPr="007D476E" w:rsidRDefault="007D476E" w:rsidP="007D476E">
      <w:pPr>
        <w:pStyle w:val="EndNoteBibliography"/>
        <w:ind w:left="720" w:hanging="720"/>
      </w:pPr>
      <w:r w:rsidRPr="007D476E">
        <w:t xml:space="preserve">Zaar U (2009b) Gulf water study - water resources of the Roper River region. Department of Natural Resources, Environment the Arts and Sport (NT). Viewed 10 March 2020, </w:t>
      </w:r>
      <w:hyperlink r:id="rId175" w:history="1">
        <w:r w:rsidRPr="007D476E">
          <w:rPr>
            <w:rStyle w:val="Hyperlink"/>
            <w:rFonts w:cs="Calibri"/>
          </w:rPr>
          <w:t>https://www.territorystories.nt.gov.au/bitstream/10070/235217/1/Roper.pdf</w:t>
        </w:r>
      </w:hyperlink>
      <w:r w:rsidRPr="007D476E">
        <w:t>.</w:t>
      </w:r>
    </w:p>
    <w:p w14:paraId="6A586FCF" w14:textId="568A1374" w:rsidR="00EE23CA" w:rsidRDefault="000C77F5" w:rsidP="00004B9C">
      <w:pPr>
        <w:pStyle w:val="References"/>
        <w:rPr>
          <w:rStyle w:val="Glossaryhyperlink"/>
          <w:rFonts w:cs="Calibri"/>
        </w:rPr>
      </w:pPr>
      <w:r>
        <w:rPr>
          <w:rStyle w:val="Glossaryhyperlink"/>
        </w:rPr>
        <w:fldChar w:fldCharType="end"/>
      </w:r>
      <w:bookmarkEnd w:id="1141"/>
    </w:p>
    <w:p w14:paraId="75A52FE0" w14:textId="714FEBCE" w:rsidR="00A22450" w:rsidRPr="004B2116" w:rsidRDefault="003D6E6D" w:rsidP="003D6E6D">
      <w:pPr>
        <w:pStyle w:val="Heading2notnumbered"/>
        <w:rPr>
          <w:lang w:val="en-US"/>
        </w:rPr>
      </w:pPr>
      <w:bookmarkStart w:id="1142" w:name="_Toc38990454"/>
      <w:r w:rsidRPr="003D6E6D">
        <w:t>Glossary</w:t>
      </w:r>
      <w:bookmarkEnd w:id="1142"/>
    </w:p>
    <w:p w14:paraId="69926AC1" w14:textId="77777777" w:rsidR="00B177F5" w:rsidRPr="00B177F5" w:rsidRDefault="00B177F5" w:rsidP="00B177F5">
      <w:pPr>
        <w:spacing w:after="180"/>
      </w:pPr>
      <w:r w:rsidRPr="00B177F5">
        <w:t xml:space="preserve">The register of terms and definitions used in the Geological and Bioregional Assessment Program is available online at </w:t>
      </w:r>
      <w:hyperlink r:id="rId176" w:history="1">
        <w:r w:rsidRPr="00B177F5">
          <w:rPr>
            <w:color w:val="006D99"/>
          </w:rPr>
          <w:t>https://w3id.org/gba/glossary</w:t>
        </w:r>
      </w:hyperlink>
      <w:r w:rsidRPr="00B177F5">
        <w:t xml:space="preserve"> (note that terms and definitions are respectively listed under the 'Name' and 'Description' columns in this register). This register is a list of terms, which are the preferred descriptors for concepts. Other properties are included for each term, including licence information, source of definition and date of approval. Semantic relationships (such as hierarchical relationships) are formalised for some terms, as well as linkages to other terms in related vocabularies. Many of the definitions for these terms have been sourced from external glossaries – several from international sources; spelling variations have been preserved to maintain authenticity of the source.</w:t>
      </w:r>
    </w:p>
    <w:p w14:paraId="31165AE9" w14:textId="77777777" w:rsidR="00B177F5" w:rsidRPr="00B177F5" w:rsidRDefault="00B177F5" w:rsidP="00B177F5">
      <w:pPr>
        <w:spacing w:after="180"/>
      </w:pPr>
      <w:hyperlink r:id="rId177" w:history="1">
        <w:r w:rsidRPr="00B177F5">
          <w:rPr>
            <w:color w:val="auto"/>
            <w:u w:val="dotted"/>
          </w:rPr>
          <w:t>accumulation</w:t>
        </w:r>
      </w:hyperlink>
      <w:r w:rsidRPr="00B177F5">
        <w:t>: in petroleum geosciences, an ‘accumulation’ is referred to as an individual body of moveable petroleum</w:t>
      </w:r>
    </w:p>
    <w:p w14:paraId="41AA6C98" w14:textId="77777777" w:rsidR="00B177F5" w:rsidRPr="00B177F5" w:rsidRDefault="00B177F5" w:rsidP="00B177F5">
      <w:pPr>
        <w:spacing w:after="180"/>
      </w:pPr>
      <w:hyperlink r:id="rId178" w:history="1">
        <w:r w:rsidRPr="00B177F5">
          <w:rPr>
            <w:color w:val="auto"/>
            <w:u w:val="dotted"/>
          </w:rPr>
          <w:t>activity</w:t>
        </w:r>
      </w:hyperlink>
      <w:r w:rsidRPr="00B177F5">
        <w:t>: for the purposes of Impact Modes and Effects Analysis (IMEA), a planned event associated with unconventional gas resource development. For example, activities during the exploration life-cycle stage include drilling and coring, ground-based geophysics and surface core testing. Activities are grouped into ten major activities, which can occur at different life-cycle stages.</w:t>
      </w:r>
    </w:p>
    <w:p w14:paraId="4214D5CA" w14:textId="77777777" w:rsidR="00B177F5" w:rsidRPr="00B177F5" w:rsidRDefault="00B177F5" w:rsidP="00B177F5">
      <w:pPr>
        <w:spacing w:after="180"/>
      </w:pPr>
      <w:hyperlink r:id="rId179" w:history="1">
        <w:r w:rsidRPr="00B177F5">
          <w:rPr>
            <w:color w:val="auto"/>
            <w:u w:val="dotted"/>
          </w:rPr>
          <w:t>aeolian</w:t>
        </w:r>
      </w:hyperlink>
      <w:r w:rsidRPr="00B177F5">
        <w:t>: relating to or arising from the action of wind</w:t>
      </w:r>
    </w:p>
    <w:p w14:paraId="345A86AB" w14:textId="77777777" w:rsidR="00B177F5" w:rsidRPr="00B177F5" w:rsidRDefault="00B177F5" w:rsidP="00B177F5">
      <w:pPr>
        <w:spacing w:after="180"/>
      </w:pPr>
      <w:hyperlink r:id="rId180" w:history="1">
        <w:r w:rsidRPr="00B177F5">
          <w:rPr>
            <w:color w:val="auto"/>
            <w:u w:val="dotted"/>
          </w:rPr>
          <w:t>anticline</w:t>
        </w:r>
      </w:hyperlink>
      <w:r w:rsidRPr="00B177F5">
        <w:t xml:space="preserve">: an arch-shaped fold in rock in which rock layers are upwardly convex. The oldest rock layers form the core of the fold and, outward from the core, progressively younger rocks occur. </w:t>
      </w:r>
    </w:p>
    <w:p w14:paraId="0FED1143" w14:textId="77777777" w:rsidR="00B177F5" w:rsidRPr="00B177F5" w:rsidRDefault="00B177F5" w:rsidP="00B177F5">
      <w:pPr>
        <w:spacing w:after="180"/>
      </w:pPr>
      <w:hyperlink r:id="rId181" w:history="1">
        <w:r w:rsidRPr="00B177F5">
          <w:rPr>
            <w:color w:val="auto"/>
            <w:u w:val="dotted"/>
          </w:rPr>
          <w:t>API gravity</w:t>
        </w:r>
      </w:hyperlink>
      <w:r w:rsidRPr="00B177F5">
        <w:t>: a specific gravity scale developed by the American Petroleum Institute  for measuring the relative density of various petroleum liquids, expressed in degrees</w:t>
      </w:r>
    </w:p>
    <w:p w14:paraId="14BBE13A" w14:textId="77777777" w:rsidR="00B177F5" w:rsidRPr="00B177F5" w:rsidRDefault="00B177F5" w:rsidP="00B177F5">
      <w:pPr>
        <w:spacing w:after="180"/>
      </w:pPr>
      <w:hyperlink r:id="rId182" w:history="1">
        <w:r w:rsidRPr="00B177F5">
          <w:rPr>
            <w:color w:val="auto"/>
            <w:u w:val="dotted"/>
          </w:rPr>
          <w:t>aquifer</w:t>
        </w:r>
      </w:hyperlink>
      <w:r w:rsidRPr="00B177F5">
        <w:t>: rock or sediment in a formation, group of formations, or part of a formation that is saturated and sufficiently permeable to transmit quantities of water to bores and springs</w:t>
      </w:r>
    </w:p>
    <w:p w14:paraId="06BC3628" w14:textId="77777777" w:rsidR="00B177F5" w:rsidRPr="00B177F5" w:rsidRDefault="00B177F5" w:rsidP="00B177F5">
      <w:pPr>
        <w:spacing w:after="180"/>
      </w:pPr>
      <w:hyperlink r:id="rId183" w:history="1">
        <w:r w:rsidRPr="00B177F5">
          <w:rPr>
            <w:color w:val="auto"/>
            <w:u w:val="dotted"/>
          </w:rPr>
          <w:t>aquitard</w:t>
        </w:r>
      </w:hyperlink>
      <w:r w:rsidRPr="00B177F5">
        <w:t>: a saturated geological unit that is less permeable than an aquifer, and incapable of transmitting useful quantities of water. Aquitards commonly form a confining layer over an artesian aquifer.</w:t>
      </w:r>
    </w:p>
    <w:p w14:paraId="7D7645F7" w14:textId="77777777" w:rsidR="00B177F5" w:rsidRPr="00B177F5" w:rsidRDefault="00B177F5" w:rsidP="00B177F5">
      <w:pPr>
        <w:spacing w:after="180"/>
      </w:pPr>
      <w:hyperlink r:id="rId184" w:history="1">
        <w:r w:rsidRPr="00B177F5">
          <w:rPr>
            <w:color w:val="auto"/>
            <w:u w:val="dotted"/>
          </w:rPr>
          <w:t>artesian aquifer</w:t>
        </w:r>
      </w:hyperlink>
      <w:r w:rsidRPr="00B177F5">
        <w:t>: an aquifer that has enough natural pressure to allow water in a bore to rise to the ground surface</w:t>
      </w:r>
    </w:p>
    <w:p w14:paraId="3D66FFBB" w14:textId="77777777" w:rsidR="00B177F5" w:rsidRPr="00B177F5" w:rsidRDefault="00B177F5" w:rsidP="00B177F5">
      <w:pPr>
        <w:spacing w:after="180"/>
      </w:pPr>
      <w:hyperlink r:id="rId185" w:history="1">
        <w:r w:rsidRPr="00B177F5">
          <w:rPr>
            <w:color w:val="auto"/>
            <w:u w:val="dotted"/>
          </w:rPr>
          <w:t>asset</w:t>
        </w:r>
      </w:hyperlink>
      <w:r w:rsidRPr="00B177F5">
        <w:t>: an entity that has value to the community and, for the purposes of geological and bioregional assessments, is associated with a GBA region. An asset is a store of value and may be managed and/or used to maintain and/or produce further value. An asset may have many values associated with it that can be measured from a range of perspectives; for example, the values of a wetland can be measured from ecological, sociocultural and economic perspectives.</w:t>
      </w:r>
    </w:p>
    <w:p w14:paraId="336D6B19" w14:textId="77777777" w:rsidR="00B177F5" w:rsidRPr="00B177F5" w:rsidRDefault="00B177F5" w:rsidP="00B177F5">
      <w:pPr>
        <w:spacing w:after="180"/>
      </w:pPr>
      <w:hyperlink r:id="rId186" w:history="1">
        <w:r w:rsidRPr="00B177F5">
          <w:rPr>
            <w:color w:val="auto"/>
            <w:u w:val="dotted"/>
          </w:rPr>
          <w:t>barrel</w:t>
        </w:r>
      </w:hyperlink>
      <w:r w:rsidRPr="00B177F5">
        <w:t>: a standard unit of measurement for all production and sales of oil. It has a volume of 42 US gallons [0.16 m</w:t>
      </w:r>
      <w:r w:rsidRPr="00B177F5">
        <w:rPr>
          <w:vertAlign w:val="superscript"/>
        </w:rPr>
        <w:t>3</w:t>
      </w:r>
      <w:r w:rsidRPr="00B177F5">
        <w:t>].</w:t>
      </w:r>
    </w:p>
    <w:p w14:paraId="07B26079" w14:textId="77777777" w:rsidR="00B177F5" w:rsidRPr="00B177F5" w:rsidRDefault="00B177F5" w:rsidP="00B177F5">
      <w:pPr>
        <w:spacing w:after="180"/>
      </w:pPr>
      <w:hyperlink r:id="rId187" w:history="1">
        <w:r w:rsidRPr="00B177F5">
          <w:rPr>
            <w:color w:val="auto"/>
            <w:u w:val="dotted"/>
          </w:rPr>
          <w:t>baseflow</w:t>
        </w:r>
      </w:hyperlink>
      <w:r w:rsidRPr="00B177F5">
        <w:t>: the portion of streamflow that comes from shallow and deep subsurface flow, and is an important part of the groundwater system</w:t>
      </w:r>
    </w:p>
    <w:p w14:paraId="612BB2E2" w14:textId="77777777" w:rsidR="00B177F5" w:rsidRPr="00B177F5" w:rsidRDefault="00B177F5" w:rsidP="00B177F5">
      <w:pPr>
        <w:spacing w:after="180"/>
      </w:pPr>
      <w:hyperlink r:id="rId188" w:history="1">
        <w:r w:rsidRPr="00B177F5">
          <w:rPr>
            <w:color w:val="auto"/>
            <w:u w:val="dotted"/>
          </w:rPr>
          <w:t>basement</w:t>
        </w:r>
      </w:hyperlink>
      <w:r w:rsidRPr="00B177F5">
        <w:t>: the oldest rocks in an area; commonly igneous or metamorphic rocks of Precambrian or Paleozoic age that underlie other sedimentary formations. Basement generally does not contain significant oil or gas, unless it is fractured and in a position to receive these materials from sedimentary strata.</w:t>
      </w:r>
    </w:p>
    <w:p w14:paraId="647A7964" w14:textId="77777777" w:rsidR="00B177F5" w:rsidRPr="00B177F5" w:rsidRDefault="00B177F5" w:rsidP="00B177F5">
      <w:pPr>
        <w:spacing w:after="180"/>
      </w:pPr>
      <w:hyperlink r:id="rId189" w:history="1">
        <w:r w:rsidRPr="00B177F5">
          <w:rPr>
            <w:color w:val="auto"/>
            <w:u w:val="dotted"/>
          </w:rPr>
          <w:t>basin-centred gas</w:t>
        </w:r>
      </w:hyperlink>
      <w:r w:rsidRPr="00B177F5">
        <w:t>: a type of tight gas that occurs in distributed basin-centred gas accumulations, where gas is hosted in low permeability reservoirs which are commonly abnormally overpressured, lack a down dip water contact and are continuously saturated with gas. This is also sometimes referred to as 'continuous' and 'pervasive' gas.</w:t>
      </w:r>
    </w:p>
    <w:p w14:paraId="498FE3BE" w14:textId="77777777" w:rsidR="00B177F5" w:rsidRPr="00B177F5" w:rsidRDefault="00B177F5" w:rsidP="00B177F5">
      <w:pPr>
        <w:spacing w:after="180"/>
      </w:pPr>
      <w:hyperlink r:id="rId190" w:history="1">
        <w:r w:rsidRPr="00B177F5">
          <w:rPr>
            <w:color w:val="auto"/>
            <w:u w:val="dotted"/>
          </w:rPr>
          <w:t>bed</w:t>
        </w:r>
      </w:hyperlink>
      <w:r w:rsidRPr="00B177F5">
        <w:t>: in geosciences, the term 'bed' refers to a layer of sediment or sedimentary rock, or stratum. A bed is the smallest stratigraphic unit, generally a centimetre or more in thickness. To be labeled a bed, the stratum must be distinguishable from adjacent beds.</w:t>
      </w:r>
    </w:p>
    <w:p w14:paraId="3020D7E0" w14:textId="77777777" w:rsidR="00B177F5" w:rsidRPr="00B177F5" w:rsidRDefault="00B177F5" w:rsidP="00B177F5">
      <w:pPr>
        <w:spacing w:after="180"/>
      </w:pPr>
      <w:hyperlink r:id="rId191" w:history="1">
        <w:r w:rsidRPr="00B177F5">
          <w:rPr>
            <w:color w:val="auto"/>
            <w:u w:val="dotted"/>
          </w:rPr>
          <w:t>biogenic gas</w:t>
        </w:r>
      </w:hyperlink>
      <w:r w:rsidRPr="00B177F5">
        <w:t>: hydrocarbon gases (which are overwhelmingly (greater than or equal to 99%) methane) produced as a direct consequence of bacterial activity</w:t>
      </w:r>
    </w:p>
    <w:p w14:paraId="77067CC5" w14:textId="77777777" w:rsidR="00B177F5" w:rsidRPr="00B177F5" w:rsidRDefault="00B177F5" w:rsidP="00B177F5">
      <w:pPr>
        <w:spacing w:after="180"/>
      </w:pPr>
      <w:hyperlink r:id="rId192" w:history="1">
        <w:r w:rsidRPr="00B177F5">
          <w:rPr>
            <w:color w:val="auto"/>
            <w:u w:val="dotted"/>
          </w:rPr>
          <w:t>bore</w:t>
        </w:r>
      </w:hyperlink>
      <w:r w:rsidRPr="00B177F5">
        <w:t>: a narrow, artificially constructed hole or cavity used to intercept, collect or store water from an aquifer, or to passively observe or collect groundwater information. Also known as a borehole or piezometer.</w:t>
      </w:r>
    </w:p>
    <w:p w14:paraId="4EED8DF2" w14:textId="77777777" w:rsidR="00B177F5" w:rsidRPr="00B177F5" w:rsidRDefault="00B177F5" w:rsidP="00B177F5">
      <w:pPr>
        <w:spacing w:after="180"/>
      </w:pPr>
      <w:hyperlink r:id="rId193" w:history="1">
        <w:r w:rsidRPr="00B177F5">
          <w:rPr>
            <w:color w:val="auto"/>
            <w:u w:val="dotted"/>
          </w:rPr>
          <w:t>casing</w:t>
        </w:r>
      </w:hyperlink>
      <w:r w:rsidRPr="00B177F5">
        <w:t>: a pipe placed in a well to prevent the wall of the hole from caving in and to prevent movement of fluids from one formation to another</w:t>
      </w:r>
    </w:p>
    <w:p w14:paraId="0A6B6AD6" w14:textId="77777777" w:rsidR="00B177F5" w:rsidRPr="00B177F5" w:rsidRDefault="00B177F5" w:rsidP="00B177F5">
      <w:pPr>
        <w:spacing w:after="180"/>
      </w:pPr>
      <w:hyperlink r:id="rId194" w:history="1">
        <w:r w:rsidRPr="00B177F5">
          <w:rPr>
            <w:color w:val="auto"/>
            <w:u w:val="dotted"/>
          </w:rPr>
          <w:t>causal pathway</w:t>
        </w:r>
      </w:hyperlink>
      <w:r w:rsidRPr="00B177F5">
        <w:t>: for the purposes of geological and bioregional assessments, the logical chain of events ‒ either planned or unplanned ‒ that link unconventional gas resource development and potential impacts on water and the environment</w:t>
      </w:r>
    </w:p>
    <w:p w14:paraId="55EE5920" w14:textId="77777777" w:rsidR="00B177F5" w:rsidRPr="00B177F5" w:rsidRDefault="00B177F5" w:rsidP="00B177F5">
      <w:pPr>
        <w:spacing w:after="180"/>
      </w:pPr>
      <w:hyperlink r:id="rId195" w:history="1">
        <w:r w:rsidRPr="00B177F5">
          <w:rPr>
            <w:color w:val="auto"/>
            <w:u w:val="dotted"/>
          </w:rPr>
          <w:t>charge</w:t>
        </w:r>
      </w:hyperlink>
      <w:r w:rsidRPr="00B177F5">
        <w:t>: in petroleum geoscience, a 'charge' refers to the volume of expelled petroleum available for entrapment</w:t>
      </w:r>
    </w:p>
    <w:p w14:paraId="33DE021C" w14:textId="77777777" w:rsidR="00B177F5" w:rsidRPr="00B177F5" w:rsidRDefault="00B177F5" w:rsidP="00B177F5">
      <w:pPr>
        <w:spacing w:after="180"/>
      </w:pPr>
      <w:hyperlink r:id="rId196" w:history="1">
        <w:r w:rsidRPr="00B177F5">
          <w:rPr>
            <w:color w:val="auto"/>
            <w:u w:val="dotted"/>
          </w:rPr>
          <w:t>clastic</w:t>
        </w:r>
      </w:hyperlink>
      <w:r w:rsidRPr="00B177F5">
        <w:t>: sedimentary rock that consists of fragments or clasts of pre-existing rock, such as sandstone or shale</w:t>
      </w:r>
    </w:p>
    <w:p w14:paraId="6703ABB6" w14:textId="77777777" w:rsidR="00B177F5" w:rsidRPr="00B177F5" w:rsidRDefault="00B177F5" w:rsidP="00B177F5">
      <w:pPr>
        <w:spacing w:after="180"/>
      </w:pPr>
      <w:hyperlink r:id="rId197" w:history="1">
        <w:r w:rsidRPr="00B177F5">
          <w:rPr>
            <w:color w:val="auto"/>
            <w:u w:val="dotted"/>
          </w:rPr>
          <w:t>cleat</w:t>
        </w:r>
      </w:hyperlink>
      <w:r w:rsidRPr="00B177F5">
        <w:t>: the vertical cleavage of coal seams. The main set of joints along which coal breaks when mined.</w:t>
      </w:r>
    </w:p>
    <w:p w14:paraId="12DF4028" w14:textId="77777777" w:rsidR="00B177F5" w:rsidRPr="00B177F5" w:rsidRDefault="00B177F5" w:rsidP="00B177F5">
      <w:pPr>
        <w:spacing w:after="180"/>
      </w:pPr>
      <w:hyperlink r:id="rId198" w:history="1">
        <w:r w:rsidRPr="00B177F5">
          <w:rPr>
            <w:color w:val="auto"/>
            <w:u w:val="dotted"/>
          </w:rPr>
          <w:t>coal</w:t>
        </w:r>
      </w:hyperlink>
      <w:r w:rsidRPr="00B177F5">
        <w:t>: a rock containing greater than 50 wt.% organic matter</w:t>
      </w:r>
    </w:p>
    <w:p w14:paraId="19AD0C9C" w14:textId="77777777" w:rsidR="00B177F5" w:rsidRPr="00B177F5" w:rsidRDefault="00B177F5" w:rsidP="00B177F5">
      <w:pPr>
        <w:spacing w:after="180"/>
      </w:pPr>
      <w:hyperlink r:id="rId199" w:history="1">
        <w:r w:rsidRPr="00B177F5">
          <w:rPr>
            <w:color w:val="auto"/>
            <w:u w:val="dotted"/>
          </w:rPr>
          <w:t>coal seam gas</w:t>
        </w:r>
      </w:hyperlink>
      <w:r w:rsidRPr="00B177F5">
        <w:t>: coal seam gas (CSG) is a form of natural gas (generally 95% to 97% pure methane, CH</w:t>
      </w:r>
      <w:r w:rsidRPr="00B177F5">
        <w:rPr>
          <w:vertAlign w:val="subscript"/>
        </w:rPr>
        <w:t>4</w:t>
      </w:r>
      <w:r w:rsidRPr="00B177F5">
        <w:t>) extracted from coal seams, typically at depths of 300 to 1000 m. Also called coal seam methane (CSM) or coalbed methane (CBM).</w:t>
      </w:r>
    </w:p>
    <w:p w14:paraId="1EC97A7D" w14:textId="77777777" w:rsidR="00B177F5" w:rsidRPr="00B177F5" w:rsidRDefault="00B177F5" w:rsidP="00B177F5">
      <w:pPr>
        <w:spacing w:after="180"/>
      </w:pPr>
      <w:hyperlink r:id="rId200" w:history="1">
        <w:r w:rsidRPr="00B177F5">
          <w:rPr>
            <w:color w:val="auto"/>
            <w:u w:val="dotted"/>
          </w:rPr>
          <w:t>compression</w:t>
        </w:r>
      </w:hyperlink>
      <w:r w:rsidRPr="00B177F5">
        <w:t>: lateral force or stress (e.g. tectonic) that tends to decrease the volume of, or shorten, a substance</w:t>
      </w:r>
    </w:p>
    <w:p w14:paraId="326CE1A1" w14:textId="77777777" w:rsidR="00B177F5" w:rsidRPr="00B177F5" w:rsidRDefault="00B177F5" w:rsidP="00B177F5">
      <w:pPr>
        <w:keepNext/>
        <w:keepLines/>
        <w:spacing w:after="180"/>
      </w:pPr>
      <w:hyperlink r:id="rId201" w:history="1">
        <w:r w:rsidRPr="00B177F5">
          <w:rPr>
            <w:color w:val="auto"/>
            <w:u w:val="dotted"/>
          </w:rPr>
          <w:t>conceptual model</w:t>
        </w:r>
      </w:hyperlink>
      <w:r w:rsidRPr="00B177F5">
        <w:t>: an abstraction or simplification of reality that describes the most important components and processes of natural and/or anthropogenic systems, and their response to interactions with extrinsic activities or stressors. They provide a transparent and general representation of how complex systems work, and identify gaps or differences in understanding. They are often used as the basis for further modelling, form an important backdrop for assessment and evaluation, and typically have a key role in communication. Conceptual models may take many forms, including descriptive, influence diagrams and pictorial representations.</w:t>
      </w:r>
    </w:p>
    <w:p w14:paraId="1618BDA0" w14:textId="77777777" w:rsidR="00B177F5" w:rsidRPr="00B177F5" w:rsidRDefault="00B177F5" w:rsidP="00B177F5">
      <w:pPr>
        <w:spacing w:after="180"/>
      </w:pPr>
      <w:hyperlink r:id="rId202" w:history="1">
        <w:r w:rsidRPr="00B177F5">
          <w:rPr>
            <w:color w:val="auto"/>
            <w:u w:val="dotted"/>
          </w:rPr>
          <w:t>confined aquifer</w:t>
        </w:r>
      </w:hyperlink>
      <w:r w:rsidRPr="00B177F5">
        <w:t>: an aquifer saturated with confining layers of low-permeability rock or sediment both above and below it. It is under pressure so that when the aquifer is penetrated by a bore, the water will rise above the top of the aquifer.</w:t>
      </w:r>
    </w:p>
    <w:p w14:paraId="4E2F5853" w14:textId="77777777" w:rsidR="00B177F5" w:rsidRPr="00B177F5" w:rsidRDefault="00B177F5" w:rsidP="00B177F5">
      <w:pPr>
        <w:spacing w:after="180"/>
      </w:pPr>
      <w:hyperlink r:id="rId203" w:history="1">
        <w:r w:rsidRPr="00B177F5">
          <w:rPr>
            <w:color w:val="auto"/>
            <w:u w:val="dotted"/>
          </w:rPr>
          <w:t>conglomerate</w:t>
        </w:r>
      </w:hyperlink>
      <w:r w:rsidRPr="00B177F5">
        <w:t>: a sedimentary rock dominated by rounded pebbles, cobbles, or boulders</w:t>
      </w:r>
    </w:p>
    <w:p w14:paraId="095C40A5" w14:textId="77777777" w:rsidR="00B177F5" w:rsidRPr="00B177F5" w:rsidRDefault="00B177F5" w:rsidP="00B177F5">
      <w:pPr>
        <w:spacing w:after="180"/>
      </w:pPr>
      <w:hyperlink r:id="rId204" w:history="1">
        <w:r w:rsidRPr="00B177F5">
          <w:rPr>
            <w:color w:val="auto"/>
            <w:u w:val="dotted"/>
          </w:rPr>
          <w:t>consequence</w:t>
        </w:r>
      </w:hyperlink>
      <w:r w:rsidRPr="00B177F5">
        <w:t>: synonym of impact</w:t>
      </w:r>
    </w:p>
    <w:p w14:paraId="3328C146" w14:textId="77777777" w:rsidR="00B177F5" w:rsidRPr="00B177F5" w:rsidRDefault="00B177F5" w:rsidP="00B177F5">
      <w:pPr>
        <w:spacing w:after="180"/>
      </w:pPr>
      <w:hyperlink r:id="rId205" w:history="1">
        <w:r w:rsidRPr="00B177F5">
          <w:rPr>
            <w:color w:val="auto"/>
            <w:u w:val="dotted"/>
          </w:rPr>
          <w:t>context</w:t>
        </w:r>
      </w:hyperlink>
      <w:r w:rsidRPr="00B177F5">
        <w:t>: the circumstances that form the setting for an event, statement or idea</w:t>
      </w:r>
    </w:p>
    <w:p w14:paraId="3D8B7146" w14:textId="77777777" w:rsidR="00B177F5" w:rsidRPr="00B177F5" w:rsidRDefault="00B177F5" w:rsidP="00B177F5">
      <w:pPr>
        <w:spacing w:after="180"/>
      </w:pPr>
      <w:hyperlink r:id="rId206" w:history="1">
        <w:r w:rsidRPr="00B177F5">
          <w:rPr>
            <w:color w:val="auto"/>
            <w:u w:val="dotted"/>
          </w:rPr>
          <w:t>conventional gas</w:t>
        </w:r>
      </w:hyperlink>
      <w:r w:rsidRPr="00B177F5">
        <w:t>: conventional gas is obtained from reservoirs that largely consist of porous sandstone formations capped by impermeable rock, with the gas trapped by buoyancy. The gas can often move to the surface through the gas wells without the need to pump.</w:t>
      </w:r>
    </w:p>
    <w:p w14:paraId="298551EA" w14:textId="77777777" w:rsidR="00B177F5" w:rsidRPr="00B177F5" w:rsidRDefault="00B177F5" w:rsidP="00B177F5">
      <w:pPr>
        <w:spacing w:after="180"/>
      </w:pPr>
      <w:hyperlink r:id="rId207" w:history="1">
        <w:r w:rsidRPr="00B177F5">
          <w:rPr>
            <w:color w:val="auto"/>
            <w:u w:val="dotted"/>
          </w:rPr>
          <w:t>Cooper Basin</w:t>
        </w:r>
      </w:hyperlink>
      <w:r w:rsidRPr="00B177F5">
        <w:t>: the Cooper Basin geological province is an Upper Carboniferous – Middle Triassic geological sedimentary basin that is up to 2500 m thick and occurs at depths between 1000 and 4400 m. It is overlain completely by the Eromanga and Lake Eyre basins. Most of the Cooper Basin is in south-west Queensland and north-east SA, and includes a small area of NSW at Cameron Corner. It occupies a total area of approximately 130,000 km</w:t>
      </w:r>
      <w:r w:rsidRPr="00B177F5">
        <w:rPr>
          <w:vertAlign w:val="superscript"/>
        </w:rPr>
        <w:t>2</w:t>
      </w:r>
      <w:r w:rsidRPr="00B177F5">
        <w:t>, including 95,740 km</w:t>
      </w:r>
      <w:r w:rsidRPr="00B177F5">
        <w:rPr>
          <w:vertAlign w:val="superscript"/>
        </w:rPr>
        <w:t>2</w:t>
      </w:r>
      <w:r w:rsidRPr="00B177F5">
        <w:t xml:space="preserve"> in Queensland, 34,310 km</w:t>
      </w:r>
      <w:r w:rsidRPr="00B177F5">
        <w:rPr>
          <w:vertAlign w:val="superscript"/>
        </w:rPr>
        <w:t>2</w:t>
      </w:r>
      <w:r w:rsidRPr="00B177F5">
        <w:t xml:space="preserve"> in SA and 8 km</w:t>
      </w:r>
      <w:r w:rsidRPr="00B177F5">
        <w:rPr>
          <w:vertAlign w:val="superscript"/>
        </w:rPr>
        <w:t>2</w:t>
      </w:r>
      <w:r w:rsidRPr="00B177F5">
        <w:t xml:space="preserve"> in NSW.</w:t>
      </w:r>
    </w:p>
    <w:p w14:paraId="7AA43C6B" w14:textId="77777777" w:rsidR="00B177F5" w:rsidRPr="00B177F5" w:rsidRDefault="00B177F5" w:rsidP="00B177F5">
      <w:pPr>
        <w:spacing w:after="180"/>
      </w:pPr>
      <w:hyperlink r:id="rId208" w:history="1">
        <w:r w:rsidRPr="00B177F5">
          <w:rPr>
            <w:color w:val="auto"/>
            <w:u w:val="dotted"/>
          </w:rPr>
          <w:t>craton</w:t>
        </w:r>
      </w:hyperlink>
      <w:r w:rsidRPr="00B177F5">
        <w:t>: the old, geologically stable interior of a continent. Commonly composed of Precambrian rocks at the surface or covered only thinly by younger sedimentary rocks.</w:t>
      </w:r>
    </w:p>
    <w:p w14:paraId="09AEE0D7" w14:textId="77777777" w:rsidR="00B177F5" w:rsidRPr="00B177F5" w:rsidRDefault="00B177F5" w:rsidP="00B177F5">
      <w:pPr>
        <w:spacing w:after="180"/>
      </w:pPr>
      <w:hyperlink r:id="rId209" w:history="1">
        <w:r w:rsidRPr="00B177F5">
          <w:rPr>
            <w:color w:val="auto"/>
            <w:u w:val="dotted"/>
          </w:rPr>
          <w:t>crude oil</w:t>
        </w:r>
      </w:hyperlink>
      <w:r w:rsidRPr="00B177F5">
        <w:t>: the portion of petroleum that exists in the liquid phase in natural underground reservoirs and remains liquid at atmospheric conditions of pressure and temperature. Crude oil may include small amounts of non-hydrocarbons produced with the liquids.</w:t>
      </w:r>
    </w:p>
    <w:p w14:paraId="14F45746" w14:textId="77777777" w:rsidR="00B177F5" w:rsidRPr="00B177F5" w:rsidRDefault="00B177F5" w:rsidP="00B177F5">
      <w:pPr>
        <w:spacing w:after="180"/>
      </w:pPr>
      <w:hyperlink r:id="rId210" w:history="1">
        <w:r w:rsidRPr="00B177F5">
          <w:rPr>
            <w:color w:val="auto"/>
            <w:u w:val="dotted"/>
          </w:rPr>
          <w:t>crust</w:t>
        </w:r>
      </w:hyperlink>
      <w:r w:rsidRPr="00B177F5">
        <w:t>: the outer part of the Earth, from the surface to the Mohorovicic discontinuity (Moho)</w:t>
      </w:r>
    </w:p>
    <w:p w14:paraId="7CC4D09F" w14:textId="77777777" w:rsidR="00B177F5" w:rsidRPr="00B177F5" w:rsidRDefault="00B177F5" w:rsidP="00B177F5">
      <w:pPr>
        <w:spacing w:after="180"/>
      </w:pPr>
      <w:hyperlink r:id="rId211" w:history="1">
        <w:r w:rsidRPr="00B177F5">
          <w:rPr>
            <w:color w:val="auto"/>
            <w:u w:val="dotted"/>
          </w:rPr>
          <w:t>cumulative impact</w:t>
        </w:r>
      </w:hyperlink>
      <w:r w:rsidRPr="00B177F5">
        <w:t>: for the purposes of geological and bioregional assessments, the total environmental change resulting from the development of selected unconventional hydrocarbon resources when all past, present and reasonably foreseeable actions are considered</w:t>
      </w:r>
    </w:p>
    <w:p w14:paraId="25846CCF" w14:textId="77777777" w:rsidR="00B177F5" w:rsidRPr="00B177F5" w:rsidRDefault="00B177F5" w:rsidP="00B177F5">
      <w:pPr>
        <w:spacing w:after="180"/>
      </w:pPr>
      <w:hyperlink r:id="rId212" w:history="1">
        <w:r w:rsidRPr="00B177F5">
          <w:rPr>
            <w:color w:val="auto"/>
            <w:u w:val="dotted"/>
          </w:rPr>
          <w:t>dataset</w:t>
        </w:r>
      </w:hyperlink>
      <w:r w:rsidRPr="00B177F5">
        <w:t>: a collection of data in files, in databases or delivered by services that comprise a related set of information. Datasets may be spatial (e.g. a shape file or geodatabase or a Web Feature Service) or aspatial (e.g. an Access database, a list of people or a model configuration file).</w:t>
      </w:r>
    </w:p>
    <w:p w14:paraId="644EFD37" w14:textId="77777777" w:rsidR="00B177F5" w:rsidRPr="00B177F5" w:rsidRDefault="00B177F5" w:rsidP="00B177F5">
      <w:pPr>
        <w:keepNext/>
        <w:keepLines/>
        <w:spacing w:after="180"/>
      </w:pPr>
      <w:hyperlink r:id="rId213" w:history="1">
        <w:r w:rsidRPr="00B177F5">
          <w:rPr>
            <w:color w:val="auto"/>
            <w:u w:val="dotted"/>
          </w:rPr>
          <w:t>deep coal gas</w:t>
        </w:r>
      </w:hyperlink>
      <w:r w:rsidRPr="00B177F5">
        <w:t>: gas in coal beds at depths usually below 2000 m are often described as ‘deep coal gas’. Due to the loss of cleat connectivity and fracture permeability with depth, hydraulic fracturing is used to release the free gas held within the organic porosity and fracture system of the coal seam. As dewatering is not needed, this makes deep coal gas exploration and development similar to shale gas reservoirs.</w:t>
      </w:r>
    </w:p>
    <w:p w14:paraId="455513C7" w14:textId="77777777" w:rsidR="00B177F5" w:rsidRPr="00B177F5" w:rsidRDefault="00B177F5" w:rsidP="00B177F5">
      <w:pPr>
        <w:spacing w:after="180"/>
      </w:pPr>
      <w:hyperlink r:id="rId214" w:history="1">
        <w:r w:rsidRPr="00B177F5">
          <w:rPr>
            <w:color w:val="auto"/>
            <w:u w:val="dotted"/>
          </w:rPr>
          <w:t>deformation</w:t>
        </w:r>
      </w:hyperlink>
      <w:r w:rsidRPr="00B177F5">
        <w:t>: folding, faulting, shearing, compression or extension of rocks due to the Earth’s forces</w:t>
      </w:r>
    </w:p>
    <w:p w14:paraId="6BE4893D" w14:textId="77777777" w:rsidR="00B177F5" w:rsidRPr="00B177F5" w:rsidRDefault="00B177F5" w:rsidP="00B177F5">
      <w:pPr>
        <w:spacing w:after="180"/>
      </w:pPr>
      <w:hyperlink r:id="rId215" w:history="1">
        <w:r w:rsidRPr="00B177F5">
          <w:rPr>
            <w:color w:val="auto"/>
            <w:u w:val="dotted"/>
          </w:rPr>
          <w:t>depocentre</w:t>
        </w:r>
      </w:hyperlink>
      <w:r w:rsidRPr="00B177F5">
        <w:t>: an area or site of maximum deposition; the thickest part of any specified stratigraphic unit in a depositional basin</w:t>
      </w:r>
    </w:p>
    <w:p w14:paraId="3971E218" w14:textId="77777777" w:rsidR="00B177F5" w:rsidRPr="00B177F5" w:rsidRDefault="00B177F5" w:rsidP="00B177F5">
      <w:pPr>
        <w:spacing w:after="180"/>
      </w:pPr>
      <w:hyperlink r:id="rId216" w:history="1">
        <w:r w:rsidRPr="00B177F5">
          <w:rPr>
            <w:color w:val="auto"/>
            <w:u w:val="dotted"/>
          </w:rPr>
          <w:t>deposition</w:t>
        </w:r>
      </w:hyperlink>
      <w:r w:rsidRPr="00B177F5">
        <w:t>: sedimentation of any material, as in the mechanical settling of sediment from suspension in water, precipitation of mineral matter by evaporation from solution, and accumulation of organic material</w:t>
      </w:r>
    </w:p>
    <w:p w14:paraId="60FB9326" w14:textId="77777777" w:rsidR="00B177F5" w:rsidRPr="00B177F5" w:rsidRDefault="00B177F5" w:rsidP="00B177F5">
      <w:pPr>
        <w:spacing w:after="180"/>
      </w:pPr>
      <w:hyperlink r:id="rId217" w:history="1">
        <w:r w:rsidRPr="00B177F5">
          <w:rPr>
            <w:color w:val="auto"/>
            <w:u w:val="dotted"/>
          </w:rPr>
          <w:t>depositional environment</w:t>
        </w:r>
      </w:hyperlink>
      <w:r w:rsidRPr="00B177F5">
        <w:t>: the area in which, and physical conditions under which, sediments are deposited. This includes sediment source; depositional processes such as deposition by wind, water or ice; and location and climate, such as desert, swamp or river.</w:t>
      </w:r>
    </w:p>
    <w:p w14:paraId="2E49103E" w14:textId="77777777" w:rsidR="00B177F5" w:rsidRPr="00B177F5" w:rsidRDefault="00B177F5" w:rsidP="00B177F5">
      <w:pPr>
        <w:spacing w:after="180"/>
      </w:pPr>
      <w:hyperlink r:id="rId218" w:history="1">
        <w:r w:rsidRPr="00B177F5">
          <w:rPr>
            <w:color w:val="auto"/>
            <w:u w:val="dotted"/>
          </w:rPr>
          <w:t>development</w:t>
        </w:r>
      </w:hyperlink>
      <w:r w:rsidRPr="00B177F5">
        <w:t>: a phase in which newly discovered oil or gas fields are put into production by drilling and completing production wells</w:t>
      </w:r>
    </w:p>
    <w:p w14:paraId="4400E288" w14:textId="77777777" w:rsidR="00B177F5" w:rsidRPr="00B177F5" w:rsidRDefault="00B177F5" w:rsidP="00B177F5">
      <w:pPr>
        <w:spacing w:after="180"/>
      </w:pPr>
      <w:hyperlink r:id="rId219" w:history="1">
        <w:r w:rsidRPr="00B177F5">
          <w:rPr>
            <w:color w:val="auto"/>
            <w:u w:val="dotted"/>
          </w:rPr>
          <w:t>disconformity</w:t>
        </w:r>
      </w:hyperlink>
      <w:r w:rsidRPr="00B177F5">
        <w:t>: see unconformity</w:t>
      </w:r>
    </w:p>
    <w:p w14:paraId="70FF443C" w14:textId="77777777" w:rsidR="00B177F5" w:rsidRPr="00B177F5" w:rsidRDefault="00B177F5" w:rsidP="00B177F5">
      <w:pPr>
        <w:spacing w:after="180"/>
      </w:pPr>
      <w:hyperlink r:id="rId220" w:history="1">
        <w:r w:rsidRPr="00B177F5">
          <w:rPr>
            <w:color w:val="auto"/>
            <w:u w:val="dotted"/>
          </w:rPr>
          <w:t>discovered</w:t>
        </w:r>
      </w:hyperlink>
      <w:r w:rsidRPr="00B177F5">
        <w:t>: the term applied to a petroleum accumulation/reservoir whose existence has been determined by its actual penetration by a well, which has also clearly demonstrated the existence of moveable petroleum by flow to the surface or at least some recovery of a sample of petroleum. Log and/or core data may suffice for proof of existence of moveable petroleum if an analogous reservoir is available for comparison.</w:t>
      </w:r>
    </w:p>
    <w:p w14:paraId="0BE9A0EB" w14:textId="77777777" w:rsidR="00B177F5" w:rsidRPr="00B177F5" w:rsidRDefault="00B177F5" w:rsidP="00B177F5">
      <w:pPr>
        <w:spacing w:after="180"/>
      </w:pPr>
      <w:hyperlink r:id="rId221" w:history="1">
        <w:r w:rsidRPr="00B177F5">
          <w:rPr>
            <w:color w:val="auto"/>
            <w:u w:val="dotted"/>
          </w:rPr>
          <w:t>dolomite</w:t>
        </w:r>
      </w:hyperlink>
      <w:r w:rsidRPr="00B177F5">
        <w:t>: a rhombohedral carbonate mineral with the formula CaMg(CO3)2</w:t>
      </w:r>
    </w:p>
    <w:p w14:paraId="1CCF193C" w14:textId="77777777" w:rsidR="00B177F5" w:rsidRPr="00B177F5" w:rsidRDefault="00B177F5" w:rsidP="00B177F5">
      <w:pPr>
        <w:spacing w:after="180"/>
      </w:pPr>
      <w:hyperlink r:id="rId222" w:history="1">
        <w:r w:rsidRPr="00B177F5">
          <w:rPr>
            <w:color w:val="auto"/>
            <w:u w:val="dotted"/>
          </w:rPr>
          <w:t>dolostone</w:t>
        </w:r>
      </w:hyperlink>
      <w:r w:rsidRPr="00B177F5">
        <w:t>: a carbonate sedimentary rock that contains over 50% of the mineral dolomite [CaMg(CO</w:t>
      </w:r>
      <w:r w:rsidRPr="00B177F5">
        <w:rPr>
          <w:vertAlign w:val="subscript"/>
        </w:rPr>
        <w:t>3</w:t>
      </w:r>
      <w:r w:rsidRPr="00B177F5">
        <w:t>)</w:t>
      </w:r>
      <w:r w:rsidRPr="00B177F5">
        <w:rPr>
          <w:vertAlign w:val="subscript"/>
        </w:rPr>
        <w:t>2</w:t>
      </w:r>
      <w:r w:rsidRPr="00B177F5">
        <w:t>]</w:t>
      </w:r>
    </w:p>
    <w:p w14:paraId="5007DFAC" w14:textId="77777777" w:rsidR="00B177F5" w:rsidRPr="00B177F5" w:rsidRDefault="00B177F5" w:rsidP="00B177F5">
      <w:pPr>
        <w:spacing w:after="180"/>
      </w:pPr>
      <w:hyperlink r:id="rId223" w:history="1">
        <w:r w:rsidRPr="00B177F5">
          <w:rPr>
            <w:color w:val="auto"/>
            <w:u w:val="dotted"/>
          </w:rPr>
          <w:t>dome</w:t>
        </w:r>
      </w:hyperlink>
      <w:r w:rsidRPr="00B177F5">
        <w:t xml:space="preserve">: a type of anticline where rocks are folded into the shape of an inverted bowl. Strata in a dome dip outward and downward in all directions from a central area. </w:t>
      </w:r>
    </w:p>
    <w:p w14:paraId="591CB142" w14:textId="77777777" w:rsidR="00B177F5" w:rsidRPr="00B177F5" w:rsidRDefault="00B177F5" w:rsidP="00B177F5">
      <w:pPr>
        <w:spacing w:after="180"/>
      </w:pPr>
      <w:hyperlink r:id="rId224" w:history="1">
        <w:r w:rsidRPr="00B177F5">
          <w:rPr>
            <w:color w:val="auto"/>
            <w:u w:val="dotted"/>
          </w:rPr>
          <w:t>drawdown</w:t>
        </w:r>
      </w:hyperlink>
      <w:r w:rsidRPr="00B177F5">
        <w:t>: a lowering of the groundwater level (caused, for example, by pumping)</w:t>
      </w:r>
    </w:p>
    <w:p w14:paraId="3CC920C5" w14:textId="77777777" w:rsidR="00B177F5" w:rsidRPr="00B177F5" w:rsidRDefault="00B177F5" w:rsidP="00B177F5">
      <w:pPr>
        <w:spacing w:after="180"/>
      </w:pPr>
      <w:hyperlink r:id="rId225" w:history="1">
        <w:r w:rsidRPr="00B177F5">
          <w:rPr>
            <w:color w:val="auto"/>
            <w:u w:val="dotted"/>
          </w:rPr>
          <w:t>drill bit</w:t>
        </w:r>
      </w:hyperlink>
      <w:r w:rsidRPr="00B177F5">
        <w:t>: a drilling tool that cuts through rock by a combination of crushing and shearing</w:t>
      </w:r>
    </w:p>
    <w:p w14:paraId="0AFAFFB5" w14:textId="77777777" w:rsidR="00B177F5" w:rsidRPr="00B177F5" w:rsidRDefault="00B177F5" w:rsidP="00B177F5">
      <w:pPr>
        <w:spacing w:after="180"/>
      </w:pPr>
      <w:hyperlink r:id="rId226" w:history="1">
        <w:r w:rsidRPr="00B177F5">
          <w:rPr>
            <w:color w:val="auto"/>
            <w:u w:val="dotted"/>
          </w:rPr>
          <w:t>drill stem test</w:t>
        </w:r>
      </w:hyperlink>
      <w:r w:rsidRPr="00B177F5">
        <w:t>: an operation on a well designed to demonstrate the existence of moveable petroleum in a reservoir by establishing flow to the surface and/or to provide an indication of the potential productivity of that reservoir. Drill stem tests (DSTs) are performed in the open hole to obtain reservoir fluid samples, static bottomhole pressure measurements, indications of productivity and short-term flow and pressure buildup tests to estimate permeability and damage extent.</w:t>
      </w:r>
    </w:p>
    <w:p w14:paraId="5A3089EF" w14:textId="77777777" w:rsidR="00B177F5" w:rsidRPr="00B177F5" w:rsidRDefault="00B177F5" w:rsidP="00B177F5">
      <w:pPr>
        <w:spacing w:after="180"/>
      </w:pPr>
      <w:hyperlink r:id="rId227" w:history="1">
        <w:r w:rsidRPr="00B177F5">
          <w:rPr>
            <w:color w:val="auto"/>
            <w:u w:val="dotted"/>
          </w:rPr>
          <w:t>drilling fluid</w:t>
        </w:r>
      </w:hyperlink>
      <w:r w:rsidRPr="00B177F5">
        <w:t>: circulating fluid that lifts rock cuttings from the wellbore to the surface during the drilling operation. Also functions to cool down the drill bit, and is a component of well control.</w:t>
      </w:r>
    </w:p>
    <w:p w14:paraId="13288519" w14:textId="77777777" w:rsidR="00B177F5" w:rsidRPr="00B177F5" w:rsidRDefault="00B177F5" w:rsidP="00B177F5">
      <w:pPr>
        <w:spacing w:after="180"/>
      </w:pPr>
      <w:hyperlink r:id="rId228" w:history="1">
        <w:r w:rsidRPr="00B177F5">
          <w:rPr>
            <w:color w:val="auto"/>
            <w:u w:val="dotted"/>
          </w:rPr>
          <w:t>ecosystem</w:t>
        </w:r>
      </w:hyperlink>
      <w:r w:rsidRPr="00B177F5">
        <w:t>: a dynamic complex of plant, animal, and micro-organism communities and their non-living environment interacting as a functional unit. Note: ecosystems include those that are human-influenced such as rural and urban ecosystems.</w:t>
      </w:r>
    </w:p>
    <w:p w14:paraId="1486B972" w14:textId="77777777" w:rsidR="00B177F5" w:rsidRPr="00B177F5" w:rsidRDefault="00B177F5" w:rsidP="00B177F5">
      <w:pPr>
        <w:spacing w:after="180"/>
      </w:pPr>
      <w:hyperlink r:id="rId229" w:history="1">
        <w:r w:rsidRPr="00B177F5">
          <w:rPr>
            <w:color w:val="auto"/>
            <w:u w:val="dotted"/>
          </w:rPr>
          <w:t>effect</w:t>
        </w:r>
      </w:hyperlink>
      <w:r w:rsidRPr="00B177F5">
        <w:t>: for the purposes of Impact Modes and Effects Analysis (IMEA), a change to water or the environment, such as changes to the quantity and/or quality of surface water or groundwater, or to the availability of suitable habitat. An effect is a specific type of an impact (any change resulting from prior events).</w:t>
      </w:r>
    </w:p>
    <w:p w14:paraId="0F850815" w14:textId="77777777" w:rsidR="00B177F5" w:rsidRPr="00B177F5" w:rsidRDefault="00B177F5" w:rsidP="00B177F5">
      <w:pPr>
        <w:spacing w:after="180"/>
      </w:pPr>
      <w:hyperlink r:id="rId230" w:history="1">
        <w:r w:rsidRPr="00B177F5">
          <w:rPr>
            <w:color w:val="auto"/>
            <w:u w:val="dotted"/>
          </w:rPr>
          <w:t>effective porosity</w:t>
        </w:r>
      </w:hyperlink>
      <w:r w:rsidRPr="00B177F5">
        <w:t>: the interconnected pore volume or void space in a rock that contributes to fluid flow or permeability in a reservoir. Effective porosity excludes isolated pores and pore volume occupied by water adsorbed on clay minerals or other grains. Effective porosity is typically less than total porosity.</w:t>
      </w:r>
    </w:p>
    <w:p w14:paraId="7D93D3E9" w14:textId="77777777" w:rsidR="00B177F5" w:rsidRPr="00B177F5" w:rsidRDefault="00B177F5" w:rsidP="00B177F5">
      <w:pPr>
        <w:spacing w:after="180"/>
      </w:pPr>
      <w:hyperlink r:id="rId231" w:history="1">
        <w:r w:rsidRPr="00B177F5">
          <w:rPr>
            <w:color w:val="auto"/>
            <w:u w:val="dotted"/>
          </w:rPr>
          <w:t>effective water saturation</w:t>
        </w:r>
      </w:hyperlink>
      <w:r w:rsidRPr="00B177F5">
        <w:t>: the fraction of water in the pore space corresponding to the effective porosity. It is expressed in volume/volume, percent or saturation units. Unless otherwise stated, water saturation is the fraction of formation water in the undisturbed zone. The saturation is known as the total water saturation if the pore space is the total porosity, but is called effective water saturation if the pore space is the effective porosity. If used without qualification, the term water saturation usually refers to the effective water saturation.</w:t>
      </w:r>
    </w:p>
    <w:p w14:paraId="2B357A05" w14:textId="77777777" w:rsidR="00B177F5" w:rsidRPr="00B177F5" w:rsidRDefault="00B177F5" w:rsidP="00B177F5">
      <w:pPr>
        <w:spacing w:after="180"/>
      </w:pPr>
      <w:hyperlink r:id="rId232" w:history="1">
        <w:r w:rsidRPr="00B177F5">
          <w:rPr>
            <w:color w:val="auto"/>
            <w:u w:val="dotted"/>
          </w:rPr>
          <w:t>Eromanga Basin</w:t>
        </w:r>
      </w:hyperlink>
      <w:r w:rsidRPr="00B177F5">
        <w:t>: an extensive geologic sedimentary basin formed from the Early Jurassic to the Late Cretaceous that can be over 2500 m thick. It overlies several older geological provinces including the Cooper Basin, and is in part overlain by the younger Cenozoic province, the Lake Eyre Basin. The Eromanga Basin is found across much of Queensland, northern SA, southern NT, as well as north-western NSW. The Eromanga Basin encompasses a significant portion of the Great Artesian Basin.</w:t>
      </w:r>
    </w:p>
    <w:p w14:paraId="3D96ECB4" w14:textId="77777777" w:rsidR="00B177F5" w:rsidRPr="00B177F5" w:rsidRDefault="00B177F5" w:rsidP="00B177F5">
      <w:pPr>
        <w:spacing w:after="180"/>
      </w:pPr>
      <w:hyperlink r:id="rId233" w:history="1">
        <w:r w:rsidRPr="00B177F5">
          <w:rPr>
            <w:color w:val="auto"/>
            <w:u w:val="dotted"/>
          </w:rPr>
          <w:t>erosion</w:t>
        </w:r>
      </w:hyperlink>
      <w:r w:rsidRPr="00B177F5">
        <w:t>: the wearing away of soil and rock by weathering, mass wasting, and the action of streams, glaciers, waves, wind, and underground water</w:t>
      </w:r>
    </w:p>
    <w:p w14:paraId="62039BE4" w14:textId="77777777" w:rsidR="00B177F5" w:rsidRPr="00B177F5" w:rsidRDefault="00B177F5" w:rsidP="00B177F5">
      <w:pPr>
        <w:spacing w:after="180"/>
      </w:pPr>
      <w:hyperlink r:id="rId234" w:history="1">
        <w:r w:rsidRPr="00B177F5">
          <w:rPr>
            <w:color w:val="auto"/>
            <w:u w:val="dotted"/>
          </w:rPr>
          <w:t>exploration</w:t>
        </w:r>
      </w:hyperlink>
      <w:r w:rsidRPr="00B177F5">
        <w:t>: the search for new hydrocarbon resources by improving geological and prospectivity understanding of an area and/or play through data acquisition, data analysis and interpretation. Exploration may include desktop studies, field mapping, seismic or other geophysical surveys, and drilling.</w:t>
      </w:r>
    </w:p>
    <w:p w14:paraId="3F806640" w14:textId="77777777" w:rsidR="00B177F5" w:rsidRPr="00B177F5" w:rsidRDefault="00B177F5" w:rsidP="00B177F5">
      <w:pPr>
        <w:spacing w:after="180"/>
      </w:pPr>
      <w:hyperlink r:id="rId235" w:history="1">
        <w:r w:rsidRPr="00B177F5">
          <w:rPr>
            <w:color w:val="auto"/>
            <w:u w:val="dotted"/>
          </w:rPr>
          <w:t>expulsion</w:t>
        </w:r>
      </w:hyperlink>
      <w:r w:rsidRPr="00B177F5">
        <w:t>: the process of primary migration, whereby oil or gas escapes from the source rock due to increased pressure and temperature. Generally involves short distances (metres to tens of metres).</w:t>
      </w:r>
    </w:p>
    <w:p w14:paraId="3BDF78B8" w14:textId="77777777" w:rsidR="00B177F5" w:rsidRPr="00B177F5" w:rsidRDefault="00B177F5" w:rsidP="00B177F5">
      <w:pPr>
        <w:spacing w:after="180"/>
      </w:pPr>
      <w:hyperlink r:id="rId236" w:history="1">
        <w:r w:rsidRPr="00B177F5">
          <w:rPr>
            <w:color w:val="auto"/>
            <w:u w:val="dotted"/>
          </w:rPr>
          <w:t>extraction</w:t>
        </w:r>
      </w:hyperlink>
      <w:r w:rsidRPr="00B177F5">
        <w:t>: the removal of water for use from waterways or aquifers (including storages) by pumping or gravity channels. In the oil and gas industry, extraction refers to the removal of oil and gas from its reservoir rock.</w:t>
      </w:r>
    </w:p>
    <w:p w14:paraId="07271206" w14:textId="77777777" w:rsidR="00B177F5" w:rsidRPr="00B177F5" w:rsidRDefault="00B177F5" w:rsidP="00B177F5">
      <w:pPr>
        <w:spacing w:after="180"/>
      </w:pPr>
      <w:hyperlink r:id="rId237" w:history="1">
        <w:r w:rsidRPr="00B177F5">
          <w:rPr>
            <w:color w:val="auto"/>
            <w:u w:val="dotted"/>
          </w:rPr>
          <w:t>facies</w:t>
        </w:r>
      </w:hyperlink>
      <w:r w:rsidRPr="00B177F5">
        <w:t>: the characteristics of a rock unit that reflect the conditions of its depositional environment</w:t>
      </w:r>
    </w:p>
    <w:p w14:paraId="00EB283B" w14:textId="77777777" w:rsidR="00B177F5" w:rsidRPr="00B177F5" w:rsidRDefault="00B177F5" w:rsidP="00B177F5">
      <w:pPr>
        <w:spacing w:after="180"/>
      </w:pPr>
      <w:hyperlink r:id="rId238" w:history="1">
        <w:r w:rsidRPr="00B177F5">
          <w:rPr>
            <w:color w:val="auto"/>
            <w:u w:val="dotted"/>
          </w:rPr>
          <w:t>fault</w:t>
        </w:r>
      </w:hyperlink>
      <w:r w:rsidRPr="00B177F5">
        <w:t>: a fracture or zone of fractures in the Earth’s crust along which rocks on one side were displaced relative to those on the other side</w:t>
      </w:r>
    </w:p>
    <w:p w14:paraId="58730DD0" w14:textId="77777777" w:rsidR="00B177F5" w:rsidRPr="00B177F5" w:rsidRDefault="00B177F5" w:rsidP="00B177F5">
      <w:pPr>
        <w:spacing w:after="180"/>
      </w:pPr>
      <w:hyperlink r:id="rId239" w:history="1">
        <w:r w:rsidRPr="00B177F5">
          <w:rPr>
            <w:color w:val="auto"/>
            <w:u w:val="dotted"/>
          </w:rPr>
          <w:t>field</w:t>
        </w:r>
      </w:hyperlink>
      <w:r w:rsidRPr="00B177F5">
        <w:t>: in petroleum geoscience, a 'field' refers to an accumulation, pool, or group of pools of hydrocarbons or other mineral resources in the subsurface. A hydrocarbon field consists of a reservoir with trapped hydrocarbons covered by an impermeable sealing rock, or trapped by hydrostatic pressure.</w:t>
      </w:r>
    </w:p>
    <w:p w14:paraId="50E5CF1C" w14:textId="77777777" w:rsidR="00B177F5" w:rsidRPr="00B177F5" w:rsidRDefault="00B177F5" w:rsidP="00B177F5">
      <w:pPr>
        <w:spacing w:after="180"/>
      </w:pPr>
      <w:hyperlink r:id="rId240" w:history="1">
        <w:r w:rsidRPr="00B177F5">
          <w:rPr>
            <w:color w:val="auto"/>
            <w:u w:val="dotted"/>
          </w:rPr>
          <w:t>floodplain</w:t>
        </w:r>
      </w:hyperlink>
      <w:r w:rsidRPr="00B177F5">
        <w:t>: a flat area of unconsolidated sediment near a stream channel that is submerged during or after high flows</w:t>
      </w:r>
    </w:p>
    <w:p w14:paraId="1B4755B7" w14:textId="77777777" w:rsidR="00B177F5" w:rsidRPr="00B177F5" w:rsidRDefault="00B177F5" w:rsidP="00B177F5">
      <w:pPr>
        <w:spacing w:after="180"/>
      </w:pPr>
      <w:hyperlink r:id="rId241" w:history="1">
        <w:r w:rsidRPr="00B177F5">
          <w:rPr>
            <w:color w:val="auto"/>
            <w:u w:val="dotted"/>
          </w:rPr>
          <w:t>fold</w:t>
        </w:r>
      </w:hyperlink>
      <w:r w:rsidRPr="00B177F5">
        <w:t>: a curve or bend of a formerly planar structure, such as rock strata or bedding planes, that generally results from deformation</w:t>
      </w:r>
    </w:p>
    <w:p w14:paraId="1AB02094" w14:textId="77777777" w:rsidR="00B177F5" w:rsidRPr="00B177F5" w:rsidRDefault="00B177F5" w:rsidP="00B177F5">
      <w:pPr>
        <w:spacing w:after="180"/>
      </w:pPr>
      <w:hyperlink r:id="rId242" w:history="1">
        <w:r w:rsidRPr="00B177F5">
          <w:rPr>
            <w:color w:val="auto"/>
            <w:u w:val="dotted"/>
          </w:rPr>
          <w:t>footwall</w:t>
        </w:r>
      </w:hyperlink>
      <w:r w:rsidRPr="00B177F5">
        <w:t>: the underlying side of a fault, below the hanging wall</w:t>
      </w:r>
    </w:p>
    <w:p w14:paraId="71DE9219" w14:textId="77777777" w:rsidR="00B177F5" w:rsidRPr="00B177F5" w:rsidRDefault="00B177F5" w:rsidP="00B177F5">
      <w:pPr>
        <w:spacing w:after="180"/>
      </w:pPr>
      <w:hyperlink r:id="rId243" w:history="1">
        <w:r w:rsidRPr="00B177F5">
          <w:rPr>
            <w:color w:val="auto"/>
            <w:u w:val="dotted"/>
          </w:rPr>
          <w:t>formation</w:t>
        </w:r>
      </w:hyperlink>
      <w:r w:rsidRPr="00B177F5">
        <w:t>: rock layers that have common physical characteristics (lithology) deposited during a specific period of geological time</w:t>
      </w:r>
    </w:p>
    <w:p w14:paraId="0297BC1A" w14:textId="77777777" w:rsidR="00B177F5" w:rsidRPr="00B177F5" w:rsidRDefault="00B177F5" w:rsidP="00B177F5">
      <w:pPr>
        <w:spacing w:after="180"/>
      </w:pPr>
      <w:hyperlink r:id="rId244" w:history="1">
        <w:r w:rsidRPr="00B177F5">
          <w:rPr>
            <w:color w:val="auto"/>
            <w:u w:val="dotted"/>
          </w:rPr>
          <w:t>formation water</w:t>
        </w:r>
      </w:hyperlink>
      <w:r w:rsidRPr="00B177F5">
        <w:t>: water that occurs naturally in sedimentary rocks</w:t>
      </w:r>
    </w:p>
    <w:p w14:paraId="1217DE08" w14:textId="77777777" w:rsidR="00B177F5" w:rsidRPr="00B177F5" w:rsidRDefault="00B177F5" w:rsidP="00B177F5">
      <w:pPr>
        <w:spacing w:after="180"/>
      </w:pPr>
      <w:hyperlink r:id="rId245" w:history="1">
        <w:r w:rsidRPr="00B177F5">
          <w:rPr>
            <w:color w:val="auto"/>
            <w:u w:val="dotted"/>
          </w:rPr>
          <w:t>fracking</w:t>
        </w:r>
      </w:hyperlink>
      <w:r w:rsidRPr="00B177F5">
        <w:t>: see hydraulic fracturing</w:t>
      </w:r>
    </w:p>
    <w:p w14:paraId="38AD8F4F" w14:textId="77777777" w:rsidR="00B177F5" w:rsidRPr="00B177F5" w:rsidRDefault="00B177F5" w:rsidP="00B177F5">
      <w:pPr>
        <w:spacing w:after="180"/>
      </w:pPr>
      <w:hyperlink r:id="rId246" w:history="1">
        <w:r w:rsidRPr="00B177F5">
          <w:rPr>
            <w:color w:val="auto"/>
            <w:u w:val="dotted"/>
          </w:rPr>
          <w:t>fracture</w:t>
        </w:r>
      </w:hyperlink>
      <w:r w:rsidRPr="00B177F5">
        <w:t>: a crack or surface of breakage within rock not related to foliation or cleavage in metamorphic rock along which there has been no movement. A fracture along which there has been displacement is a fault. When walls of a fracture have moved only normal to each other, the fracture is called a joint. Fractures can enhance permeability of rocks greatly by connecting pores together, and for that reason, fractures are induced mechanically in some reservoirs in order to boost hydrocarbon flow. Fractures may also be referred to as natural fractures to distinguish them from fractures induced as part of a reservoir stimulation or drilling operation. In some shale reservoirs, natural fractures improve production by enhancing effective permeability. In other cases, natural fractures can complicate reservoir stimulation.</w:t>
      </w:r>
    </w:p>
    <w:p w14:paraId="755F8F3B" w14:textId="77777777" w:rsidR="00B177F5" w:rsidRPr="00B177F5" w:rsidRDefault="00B177F5" w:rsidP="00B177F5">
      <w:pPr>
        <w:spacing w:after="180"/>
      </w:pPr>
      <w:hyperlink r:id="rId247" w:history="1">
        <w:r w:rsidRPr="00B177F5">
          <w:rPr>
            <w:color w:val="auto"/>
            <w:u w:val="dotted"/>
          </w:rPr>
          <w:t>free gas</w:t>
        </w:r>
      </w:hyperlink>
      <w:r w:rsidRPr="00B177F5">
        <w:t>: the gaseous phase present in a reservoir or other contained area. Gas may be found either dissolved in reservoir fluids or as free gas that tends to form a gas cap beneath the top seal on the reservoir trap. Both free gas and dissolved gas play important roles in the reservoir-drive mechanism.</w:t>
      </w:r>
    </w:p>
    <w:p w14:paraId="6E06B9D9" w14:textId="77777777" w:rsidR="00B177F5" w:rsidRPr="00B177F5" w:rsidRDefault="00B177F5" w:rsidP="00B177F5">
      <w:pPr>
        <w:spacing w:after="180"/>
      </w:pPr>
      <w:hyperlink r:id="rId248" w:history="1">
        <w:r w:rsidRPr="00B177F5">
          <w:rPr>
            <w:color w:val="auto"/>
            <w:u w:val="dotted"/>
          </w:rPr>
          <w:t>gas cap</w:t>
        </w:r>
      </w:hyperlink>
      <w:r w:rsidRPr="00B177F5">
        <w:t>: part of a petroleum reservoir that contains free gas</w:t>
      </w:r>
    </w:p>
    <w:p w14:paraId="1314BDEF" w14:textId="77777777" w:rsidR="00B177F5" w:rsidRPr="00B177F5" w:rsidRDefault="00B177F5" w:rsidP="00B177F5">
      <w:pPr>
        <w:spacing w:after="180"/>
      </w:pPr>
      <w:hyperlink r:id="rId249" w:history="1">
        <w:r w:rsidRPr="00B177F5">
          <w:rPr>
            <w:color w:val="auto"/>
            <w:u w:val="dotted"/>
          </w:rPr>
          <w:t>gas saturation</w:t>
        </w:r>
      </w:hyperlink>
      <w:r w:rsidRPr="00B177F5">
        <w:t>: the relative amount of gas in the pores of a rock, usually as a percentage of volume</w:t>
      </w:r>
    </w:p>
    <w:p w14:paraId="1DC7364B" w14:textId="77777777" w:rsidR="00B177F5" w:rsidRPr="00B177F5" w:rsidRDefault="00B177F5" w:rsidP="00B177F5">
      <w:pPr>
        <w:spacing w:after="180"/>
      </w:pPr>
      <w:hyperlink r:id="rId250" w:history="1">
        <w:r w:rsidRPr="00B177F5">
          <w:rPr>
            <w:color w:val="auto"/>
            <w:u w:val="dotted"/>
          </w:rPr>
          <w:t>geological architecture</w:t>
        </w:r>
      </w:hyperlink>
      <w:r w:rsidRPr="00B177F5">
        <w:t>: the structural style and features of a geological province, like a sedimentary basin</w:t>
      </w:r>
    </w:p>
    <w:p w14:paraId="7E7AA51F" w14:textId="77777777" w:rsidR="00B177F5" w:rsidRPr="00B177F5" w:rsidRDefault="00B177F5" w:rsidP="00B177F5">
      <w:pPr>
        <w:spacing w:after="180"/>
      </w:pPr>
      <w:hyperlink r:id="rId251" w:history="1">
        <w:r w:rsidRPr="00B177F5">
          <w:rPr>
            <w:color w:val="auto"/>
            <w:u w:val="dotted"/>
          </w:rPr>
          <w:t>geological formation</w:t>
        </w:r>
      </w:hyperlink>
      <w:r w:rsidRPr="00B177F5">
        <w:t>: stratigraphic unit with distinct rock types, which is able to mapped at surface or in the subsurface, and which formed at a specific period of geological time</w:t>
      </w:r>
    </w:p>
    <w:p w14:paraId="421D9A36" w14:textId="77777777" w:rsidR="00B177F5" w:rsidRPr="00B177F5" w:rsidRDefault="00B177F5" w:rsidP="00B177F5">
      <w:pPr>
        <w:spacing w:after="180"/>
      </w:pPr>
      <w:hyperlink r:id="rId252" w:history="1">
        <w:r w:rsidRPr="00B177F5">
          <w:rPr>
            <w:color w:val="auto"/>
            <w:u w:val="dotted"/>
          </w:rPr>
          <w:t>geothermal gradient</w:t>
        </w:r>
      </w:hyperlink>
      <w:r w:rsidRPr="00B177F5">
        <w:t>: the rate of increase in temperature with depth in the Earth</w:t>
      </w:r>
    </w:p>
    <w:p w14:paraId="04B1DE84" w14:textId="77777777" w:rsidR="00B177F5" w:rsidRPr="00B177F5" w:rsidRDefault="00B177F5" w:rsidP="00B177F5">
      <w:pPr>
        <w:spacing w:after="180"/>
      </w:pPr>
      <w:hyperlink r:id="rId253" w:history="1">
        <w:r w:rsidRPr="00B177F5">
          <w:rPr>
            <w:color w:val="auto"/>
            <w:u w:val="dotted"/>
          </w:rPr>
          <w:t>groundwater</w:t>
        </w:r>
      </w:hyperlink>
      <w:r w:rsidRPr="00B177F5">
        <w:t>: water occurring naturally below ground level (whether stored in or flowing through aquifers or within low-permeability aquitards), or water occurring at a place below ground that has been pumped, diverted or released to that place for storage there. This does not include water held in underground tanks, pipes or other works.</w:t>
      </w:r>
    </w:p>
    <w:p w14:paraId="36B219B6" w14:textId="77777777" w:rsidR="00B177F5" w:rsidRPr="00B177F5" w:rsidRDefault="00B177F5" w:rsidP="00B177F5">
      <w:pPr>
        <w:spacing w:after="180"/>
      </w:pPr>
      <w:hyperlink r:id="rId254" w:history="1">
        <w:r w:rsidRPr="00B177F5">
          <w:rPr>
            <w:color w:val="auto"/>
            <w:u w:val="dotted"/>
          </w:rPr>
          <w:t>groundwater-dependent ecosystem</w:t>
        </w:r>
      </w:hyperlink>
      <w:r w:rsidRPr="00B177F5">
        <w:t>: ecosystems that require access to groundwater on a permanent or intermittent basis to meet all or some of their water requirements</w:t>
      </w:r>
    </w:p>
    <w:p w14:paraId="699137F3" w14:textId="77777777" w:rsidR="00B177F5" w:rsidRPr="00B177F5" w:rsidRDefault="00B177F5" w:rsidP="00B177F5">
      <w:pPr>
        <w:spacing w:after="180"/>
      </w:pPr>
      <w:hyperlink r:id="rId255" w:history="1">
        <w:r w:rsidRPr="00B177F5">
          <w:rPr>
            <w:color w:val="auto"/>
            <w:u w:val="dotted"/>
          </w:rPr>
          <w:t>groundwater discharge</w:t>
        </w:r>
      </w:hyperlink>
      <w:r w:rsidRPr="00B177F5">
        <w:t>: water that moves from a groundwater body to the ground surface or surface water body (e.g. a river or lake)</w:t>
      </w:r>
    </w:p>
    <w:p w14:paraId="031C6782" w14:textId="77777777" w:rsidR="00B177F5" w:rsidRPr="00B177F5" w:rsidRDefault="00B177F5" w:rsidP="00B177F5">
      <w:pPr>
        <w:spacing w:after="180"/>
      </w:pPr>
      <w:hyperlink r:id="rId256" w:history="1">
        <w:r w:rsidRPr="00B177F5">
          <w:rPr>
            <w:color w:val="auto"/>
            <w:u w:val="dotted"/>
          </w:rPr>
          <w:t>groundwater recharge</w:t>
        </w:r>
      </w:hyperlink>
      <w:r w:rsidRPr="00B177F5">
        <w:t>: replenishment of groundwater by natural infiltration of surface water (precipitation, runoff), or artificially via infiltration lakes or injection</w:t>
      </w:r>
    </w:p>
    <w:p w14:paraId="73BB8DDC" w14:textId="77777777" w:rsidR="00B177F5" w:rsidRPr="00B177F5" w:rsidRDefault="00B177F5" w:rsidP="00B177F5">
      <w:pPr>
        <w:spacing w:after="180"/>
      </w:pPr>
      <w:hyperlink r:id="rId257" w:history="1">
        <w:r w:rsidRPr="00B177F5">
          <w:rPr>
            <w:color w:val="auto"/>
            <w:u w:val="dotted"/>
          </w:rPr>
          <w:t>groundwater system</w:t>
        </w:r>
      </w:hyperlink>
      <w:r w:rsidRPr="00B177F5">
        <w:t>: see water system</w:t>
      </w:r>
    </w:p>
    <w:p w14:paraId="7D3E347F" w14:textId="77777777" w:rsidR="00B177F5" w:rsidRPr="00B177F5" w:rsidRDefault="00B177F5" w:rsidP="00B177F5">
      <w:pPr>
        <w:spacing w:after="180"/>
      </w:pPr>
      <w:hyperlink r:id="rId258" w:history="1">
        <w:r w:rsidRPr="00B177F5">
          <w:rPr>
            <w:color w:val="auto"/>
            <w:u w:val="dotted"/>
          </w:rPr>
          <w:t>hanging wall</w:t>
        </w:r>
      </w:hyperlink>
      <w:r w:rsidRPr="00B177F5">
        <w:t>: the overlying side of a fault, above the footwall</w:t>
      </w:r>
    </w:p>
    <w:p w14:paraId="5670DB8E" w14:textId="77777777" w:rsidR="00B177F5" w:rsidRPr="00B177F5" w:rsidRDefault="00B177F5" w:rsidP="00B177F5">
      <w:pPr>
        <w:spacing w:after="180"/>
      </w:pPr>
      <w:hyperlink r:id="rId259" w:history="1">
        <w:r w:rsidRPr="00B177F5">
          <w:rPr>
            <w:color w:val="auto"/>
            <w:u w:val="dotted"/>
          </w:rPr>
          <w:t>hazard</w:t>
        </w:r>
      </w:hyperlink>
      <w:r w:rsidRPr="00B177F5">
        <w:t>: an event, or chain of events, that might result in an effect (change in the quality and/or quantity of surface water or groundwater)</w:t>
      </w:r>
    </w:p>
    <w:p w14:paraId="42A3B452" w14:textId="77777777" w:rsidR="00B177F5" w:rsidRPr="00B177F5" w:rsidRDefault="00B177F5" w:rsidP="00B177F5">
      <w:pPr>
        <w:spacing w:after="180"/>
      </w:pPr>
      <w:hyperlink r:id="rId260" w:history="1">
        <w:r w:rsidRPr="00B177F5">
          <w:rPr>
            <w:color w:val="auto"/>
            <w:u w:val="dotted"/>
          </w:rPr>
          <w:t>hydraulic fracturing</w:t>
        </w:r>
      </w:hyperlink>
      <w:r w:rsidRPr="00B177F5">
        <w:t>: also known as ‘fracking’, ‘fraccing’ or ‘fracture simulation’. This is a process by which geological formations bearing hydrocarbons (oil and gas) are ‘stimulated’ to increase the flow of hydrocarbons and other fluids towards the well. In most cases, hydraulic fracturing is undertaken where the permeability of the formation is initially insufficient to support sustained flow of gas. The process involves the injection of fluids, proppant and additives under high pressure into a geological formation to create a conductive fracture. The fracture extends from the well into the production interval, creating a pathway through which oil or gas is transported to the well.</w:t>
      </w:r>
    </w:p>
    <w:p w14:paraId="1D49908C" w14:textId="77777777" w:rsidR="00B177F5" w:rsidRPr="00B177F5" w:rsidRDefault="00B177F5" w:rsidP="00B177F5">
      <w:pPr>
        <w:spacing w:after="180"/>
      </w:pPr>
      <w:hyperlink r:id="rId261" w:history="1">
        <w:r w:rsidRPr="00B177F5">
          <w:rPr>
            <w:color w:val="auto"/>
            <w:u w:val="dotted"/>
          </w:rPr>
          <w:t>hydraulic fracturing fluid</w:t>
        </w:r>
      </w:hyperlink>
      <w:r w:rsidRPr="00B177F5">
        <w:t>: the fluid injected into a well for hydraulic fracturing. Consists of a primary carrier fluid (usually water or a gel), a proppant such as sand and chemicals to modify the fluid properties.</w:t>
      </w:r>
    </w:p>
    <w:p w14:paraId="2A3B0DC6" w14:textId="77777777" w:rsidR="00B177F5" w:rsidRPr="00B177F5" w:rsidRDefault="00B177F5" w:rsidP="00B177F5">
      <w:pPr>
        <w:spacing w:after="180"/>
      </w:pPr>
      <w:hyperlink r:id="rId262" w:history="1">
        <w:r w:rsidRPr="00B177F5">
          <w:rPr>
            <w:color w:val="auto"/>
            <w:u w:val="dotted"/>
          </w:rPr>
          <w:t>hydrocarbon show</w:t>
        </w:r>
      </w:hyperlink>
      <w:r w:rsidRPr="00B177F5">
        <w:t>: a surface observation of hydrocarbons, usually observed as fluorescent liquid on cuttings when viewed with an ultraviolet or black light (oil show) or increased gas readings from the mud logger's gas-detection equipment (gas show)</w:t>
      </w:r>
    </w:p>
    <w:p w14:paraId="368C2046" w14:textId="77777777" w:rsidR="00B177F5" w:rsidRPr="00B177F5" w:rsidRDefault="00B177F5" w:rsidP="00B177F5">
      <w:pPr>
        <w:spacing w:after="180"/>
      </w:pPr>
      <w:hyperlink r:id="rId263" w:history="1">
        <w:r w:rsidRPr="00B177F5">
          <w:rPr>
            <w:color w:val="auto"/>
            <w:u w:val="dotted"/>
          </w:rPr>
          <w:t>hydrocarbons</w:t>
        </w:r>
      </w:hyperlink>
      <w:r w:rsidRPr="00B177F5">
        <w:t>: various organic compounds composed of hydrogen and carbon atoms that can exist as solids, liquids or gases. Sometimes this term is used loosely to refer to petroleum.</w:t>
      </w:r>
    </w:p>
    <w:p w14:paraId="38BEF1E0" w14:textId="77777777" w:rsidR="00B177F5" w:rsidRPr="00B177F5" w:rsidRDefault="00B177F5" w:rsidP="00B177F5">
      <w:pPr>
        <w:spacing w:after="180"/>
      </w:pPr>
      <w:hyperlink r:id="rId264" w:history="1">
        <w:r w:rsidRPr="00B177F5">
          <w:rPr>
            <w:color w:val="auto"/>
            <w:u w:val="dotted"/>
          </w:rPr>
          <w:t>hydrogeology</w:t>
        </w:r>
      </w:hyperlink>
      <w:r w:rsidRPr="00B177F5">
        <w:t>: the study of groundwater, including flow in aquifers, groundwater resource evaluation, and the chemistry of interactions between water and rock</w:t>
      </w:r>
    </w:p>
    <w:p w14:paraId="1051ED0E" w14:textId="77777777" w:rsidR="00B177F5" w:rsidRPr="00B177F5" w:rsidRDefault="00B177F5" w:rsidP="00B177F5">
      <w:pPr>
        <w:spacing w:after="180"/>
      </w:pPr>
      <w:hyperlink r:id="rId265" w:history="1">
        <w:r w:rsidRPr="00B177F5">
          <w:rPr>
            <w:color w:val="auto"/>
            <w:u w:val="dotted"/>
          </w:rPr>
          <w:t>hydrostatic pressure</w:t>
        </w:r>
      </w:hyperlink>
      <w:r w:rsidRPr="00B177F5">
        <w:t>: equal pressure in all direction, equivalent to the pressure which is exerted on a portion of a column of water as a result of the weight of the fluid above it</w:t>
      </w:r>
    </w:p>
    <w:p w14:paraId="31FFDAEC" w14:textId="77777777" w:rsidR="00B177F5" w:rsidRPr="00B177F5" w:rsidRDefault="00B177F5" w:rsidP="00B177F5">
      <w:pPr>
        <w:keepNext/>
        <w:keepLines/>
        <w:spacing w:after="180"/>
      </w:pPr>
      <w:hyperlink r:id="rId266" w:history="1">
        <w:r w:rsidRPr="00B177F5">
          <w:rPr>
            <w:color w:val="auto"/>
            <w:u w:val="dotted"/>
          </w:rPr>
          <w:t>impact</w:t>
        </w:r>
      </w:hyperlink>
      <w:r w:rsidRPr="00B177F5">
        <w:t>: the difference between what could happen as a result of activities and processes associated with extractive industries, such as shale, tight and deep coal gas development, and what would happen without them. Impacts may be changes that occur to the natural environment, community or economy. Impacts can be a direct or indirect result of activities, or a cumulative result of multiple activities or processes.</w:t>
      </w:r>
    </w:p>
    <w:p w14:paraId="3F7E6959" w14:textId="77777777" w:rsidR="00B177F5" w:rsidRPr="00B177F5" w:rsidRDefault="00B177F5" w:rsidP="00B177F5">
      <w:pPr>
        <w:spacing w:after="180"/>
      </w:pPr>
      <w:hyperlink r:id="rId267" w:history="1">
        <w:r w:rsidRPr="00B177F5">
          <w:rPr>
            <w:color w:val="auto"/>
            <w:u w:val="dotted"/>
          </w:rPr>
          <w:t>impact cause</w:t>
        </w:r>
      </w:hyperlink>
      <w:r w:rsidRPr="00B177F5">
        <w:t>: an activity (or aspect of an activity) that initiates a hazardous chain of events</w:t>
      </w:r>
    </w:p>
    <w:p w14:paraId="6F9C5E76" w14:textId="77777777" w:rsidR="00B177F5" w:rsidRPr="00B177F5" w:rsidRDefault="00B177F5" w:rsidP="00B177F5">
      <w:pPr>
        <w:spacing w:after="180"/>
      </w:pPr>
      <w:hyperlink r:id="rId268" w:history="1">
        <w:r w:rsidRPr="00B177F5">
          <w:rPr>
            <w:color w:val="auto"/>
            <w:u w:val="dotted"/>
          </w:rPr>
          <w:t>impact mode</w:t>
        </w:r>
      </w:hyperlink>
      <w:r w:rsidRPr="00B177F5">
        <w:t>: the manner in which a hazardous chain of events (initiated by an impact cause) could result in an effect (change in the quality and/or quantity of surface water or groundwater). There might be multiple impact modes for each activity or chain of events.</w:t>
      </w:r>
    </w:p>
    <w:p w14:paraId="5CE0BA9E" w14:textId="77777777" w:rsidR="00B177F5" w:rsidRPr="00B177F5" w:rsidRDefault="00B177F5" w:rsidP="00B177F5">
      <w:pPr>
        <w:spacing w:after="180"/>
      </w:pPr>
      <w:hyperlink r:id="rId269" w:history="1">
        <w:r w:rsidRPr="00B177F5">
          <w:rPr>
            <w:color w:val="auto"/>
            <w:u w:val="dotted"/>
          </w:rPr>
          <w:t>Impact Modes and Effects Analysis</w:t>
        </w:r>
      </w:hyperlink>
      <w:r w:rsidRPr="00B177F5">
        <w:t>: a systematic hazard identification and prioritisation technique based on Failure Modes and Effects Analysis</w:t>
      </w:r>
    </w:p>
    <w:p w14:paraId="34643304" w14:textId="77777777" w:rsidR="00B177F5" w:rsidRPr="00B177F5" w:rsidRDefault="00B177F5" w:rsidP="00B177F5">
      <w:pPr>
        <w:spacing w:after="180"/>
      </w:pPr>
      <w:hyperlink r:id="rId270" w:history="1">
        <w:r w:rsidRPr="00B177F5">
          <w:rPr>
            <w:color w:val="auto"/>
            <w:u w:val="dotted"/>
          </w:rPr>
          <w:t>injection</w:t>
        </w:r>
      </w:hyperlink>
      <w:r w:rsidRPr="00B177F5">
        <w:t xml:space="preserve">: the forcing or pumping of substances into a porous and permeable subsurface rock formation. Examples of injected substances can include either gases or liquids. </w:t>
      </w:r>
    </w:p>
    <w:p w14:paraId="0305DE59" w14:textId="77777777" w:rsidR="00B177F5" w:rsidRPr="00B177F5" w:rsidRDefault="00B177F5" w:rsidP="00B177F5">
      <w:pPr>
        <w:spacing w:after="180"/>
      </w:pPr>
      <w:hyperlink r:id="rId271" w:history="1">
        <w:r w:rsidRPr="00B177F5">
          <w:rPr>
            <w:color w:val="auto"/>
            <w:u w:val="dotted"/>
          </w:rPr>
          <w:t>intrusion</w:t>
        </w:r>
      </w:hyperlink>
      <w:r w:rsidRPr="00B177F5">
        <w:t>: the process of emplacement of magma into pre-existing rock</w:t>
      </w:r>
    </w:p>
    <w:p w14:paraId="132FB129" w14:textId="77777777" w:rsidR="00B177F5" w:rsidRPr="00B177F5" w:rsidRDefault="00B177F5" w:rsidP="00B177F5">
      <w:pPr>
        <w:spacing w:after="180"/>
      </w:pPr>
      <w:hyperlink r:id="rId272" w:history="1">
        <w:r w:rsidRPr="00B177F5">
          <w:rPr>
            <w:color w:val="auto"/>
            <w:u w:val="dotted"/>
          </w:rPr>
          <w:t>kerogen</w:t>
        </w:r>
      </w:hyperlink>
      <w:r w:rsidRPr="00B177F5">
        <w:t>: insoluble (in organic solvents) particulate organic matter preserved in sedimentary rocks that consists of various macerals originating from components of plants, animals, and bacteria. Kerogen can be isolated from ground rock by extracting bitumen with solvents and removing most of the rock matrix with hydrochloric and hydrofluoric acids. </w:t>
      </w:r>
    </w:p>
    <w:p w14:paraId="27AC278C" w14:textId="77777777" w:rsidR="00B177F5" w:rsidRPr="00B177F5" w:rsidRDefault="00B177F5" w:rsidP="00B177F5">
      <w:pPr>
        <w:spacing w:after="180"/>
      </w:pPr>
      <w:hyperlink r:id="rId273" w:history="1">
        <w:r w:rsidRPr="00B177F5">
          <w:rPr>
            <w:color w:val="auto"/>
            <w:u w:val="dotted"/>
          </w:rPr>
          <w:t>Lake Eyre Basin</w:t>
        </w:r>
      </w:hyperlink>
      <w:r w:rsidRPr="00B177F5">
        <w:t>: a geologic province containing Cenozoic terrestrial sedimentary rocks within the Lake Eyre surface water catchment. It covers parts of northern and eastern SA, south-eastern NT, western Queensland and north-western NSW. In the Cooper GBA region, the basin sedimentary package is less than 300 m thick.</w:t>
      </w:r>
    </w:p>
    <w:p w14:paraId="1275F270" w14:textId="77777777" w:rsidR="00B177F5" w:rsidRPr="00B177F5" w:rsidRDefault="00B177F5" w:rsidP="00B177F5">
      <w:pPr>
        <w:spacing w:after="180"/>
      </w:pPr>
      <w:hyperlink r:id="rId274" w:history="1">
        <w:r w:rsidRPr="00B177F5">
          <w:rPr>
            <w:color w:val="auto"/>
            <w:u w:val="dotted"/>
          </w:rPr>
          <w:t>leaky aquitard</w:t>
        </w:r>
      </w:hyperlink>
      <w:r w:rsidRPr="00B177F5">
        <w:t>: a semi-permeable geological material that can transmit groundwater. Although regionally non-productive, it may be classed as a very low yielding aquitard that is sometimes used to produce groundwater where no other source is available.</w:t>
      </w:r>
    </w:p>
    <w:p w14:paraId="51E27E97" w14:textId="77777777" w:rsidR="00B177F5" w:rsidRPr="00B177F5" w:rsidRDefault="00B177F5" w:rsidP="00B177F5">
      <w:pPr>
        <w:spacing w:after="180"/>
      </w:pPr>
      <w:hyperlink r:id="rId275" w:history="1">
        <w:r w:rsidRPr="00B177F5">
          <w:rPr>
            <w:color w:val="auto"/>
            <w:u w:val="dotted"/>
          </w:rPr>
          <w:t>life-cycle stage</w:t>
        </w:r>
      </w:hyperlink>
      <w:r w:rsidRPr="00B177F5">
        <w:t>: one of five stages of operations in unconventional gas resource development considered as part of the Impact Modes and Effects Analysis (IMEA). These are exploration, appraisal, development, production, and rehabilitation. Each life-cycle stage is further divided into major activities, which are further divided into activities.</w:t>
      </w:r>
    </w:p>
    <w:p w14:paraId="791F40C4" w14:textId="77777777" w:rsidR="00B177F5" w:rsidRPr="00B177F5" w:rsidRDefault="00B177F5" w:rsidP="00B177F5">
      <w:pPr>
        <w:spacing w:after="180"/>
      </w:pPr>
      <w:hyperlink r:id="rId276" w:history="1">
        <w:r w:rsidRPr="00B177F5">
          <w:rPr>
            <w:color w:val="auto"/>
            <w:u w:val="dotted"/>
          </w:rPr>
          <w:t>light oil</w:t>
        </w:r>
      </w:hyperlink>
      <w:r w:rsidRPr="00B177F5">
        <w:t>: crude oil that has 35 to 45 ° API gravity</w:t>
      </w:r>
    </w:p>
    <w:p w14:paraId="3F049E35" w14:textId="77777777" w:rsidR="00B177F5" w:rsidRPr="00B177F5" w:rsidRDefault="00B177F5" w:rsidP="00B177F5">
      <w:pPr>
        <w:spacing w:after="180"/>
      </w:pPr>
      <w:hyperlink r:id="rId277" w:history="1">
        <w:r w:rsidRPr="00B177F5">
          <w:rPr>
            <w:color w:val="auto"/>
            <w:u w:val="dotted"/>
          </w:rPr>
          <w:t>likelihood</w:t>
        </w:r>
      </w:hyperlink>
      <w:r w:rsidRPr="00B177F5">
        <w:t>: probability that something might happen</w:t>
      </w:r>
    </w:p>
    <w:p w14:paraId="2F362C99" w14:textId="77777777" w:rsidR="00B177F5" w:rsidRPr="00B177F5" w:rsidRDefault="00B177F5" w:rsidP="00B177F5">
      <w:pPr>
        <w:spacing w:after="180"/>
      </w:pPr>
      <w:hyperlink r:id="rId278" w:history="1">
        <w:r w:rsidRPr="00B177F5">
          <w:rPr>
            <w:color w:val="auto"/>
            <w:u w:val="dotted"/>
          </w:rPr>
          <w:t>liquid rich gas</w:t>
        </w:r>
      </w:hyperlink>
      <w:r w:rsidRPr="00B177F5">
        <w:t>: natural gas that contains typically less than 85% methane and more ethane and other more complex hydrocarbons including propane, butane, pentane, hexane and heptane. Also referred to as 'wet gas' or 'natural gas liquids'.</w:t>
      </w:r>
    </w:p>
    <w:p w14:paraId="4C59BF26" w14:textId="77777777" w:rsidR="00B177F5" w:rsidRPr="00B177F5" w:rsidRDefault="00B177F5" w:rsidP="00B177F5">
      <w:pPr>
        <w:spacing w:after="180"/>
      </w:pPr>
      <w:hyperlink r:id="rId279" w:history="1">
        <w:r w:rsidRPr="00B177F5">
          <w:rPr>
            <w:color w:val="auto"/>
            <w:u w:val="dotted"/>
          </w:rPr>
          <w:t>lithology</w:t>
        </w:r>
      </w:hyperlink>
      <w:r w:rsidRPr="00B177F5">
        <w:t>: the description of rocks, especially in hand specimen and in outcrop, on the basis of characteristics such as colour, mineralogic composition and grain size</w:t>
      </w:r>
    </w:p>
    <w:p w14:paraId="2A06FF48" w14:textId="77777777" w:rsidR="00B177F5" w:rsidRPr="00B177F5" w:rsidRDefault="00B177F5" w:rsidP="00B177F5">
      <w:pPr>
        <w:spacing w:after="180"/>
      </w:pPr>
      <w:hyperlink r:id="rId280" w:history="1">
        <w:r w:rsidRPr="00B177F5">
          <w:rPr>
            <w:color w:val="auto"/>
            <w:u w:val="dotted"/>
          </w:rPr>
          <w:t>material</w:t>
        </w:r>
      </w:hyperlink>
      <w:r w:rsidRPr="00B177F5">
        <w:t>: pertinent or relevant</w:t>
      </w:r>
    </w:p>
    <w:p w14:paraId="697C24E7" w14:textId="77777777" w:rsidR="00B177F5" w:rsidRPr="00B177F5" w:rsidRDefault="00B177F5" w:rsidP="00B177F5">
      <w:pPr>
        <w:spacing w:after="180"/>
      </w:pPr>
      <w:hyperlink r:id="rId281" w:history="1">
        <w:r w:rsidRPr="00B177F5">
          <w:rPr>
            <w:color w:val="auto"/>
            <w:u w:val="dotted"/>
          </w:rPr>
          <w:t>mature</w:t>
        </w:r>
      </w:hyperlink>
      <w:r w:rsidRPr="00B177F5">
        <w:t>: a hydrocarbon source rock that has started generating hydrocarbons</w:t>
      </w:r>
    </w:p>
    <w:p w14:paraId="5AA09127" w14:textId="77777777" w:rsidR="00B177F5" w:rsidRPr="00B177F5" w:rsidRDefault="00B177F5" w:rsidP="00B177F5">
      <w:pPr>
        <w:spacing w:after="180"/>
      </w:pPr>
      <w:hyperlink r:id="rId282" w:history="1">
        <w:r w:rsidRPr="00B177F5">
          <w:rPr>
            <w:color w:val="auto"/>
            <w:u w:val="dotted"/>
          </w:rPr>
          <w:t>metamorphic rock</w:t>
        </w:r>
      </w:hyperlink>
      <w:r w:rsidRPr="00B177F5">
        <w:t>: a rock formed from pre-existing rock due to high temperature and pressure in the Earth’s crust, but without complete melting</w:t>
      </w:r>
    </w:p>
    <w:p w14:paraId="5CED59D6" w14:textId="77777777" w:rsidR="00B177F5" w:rsidRPr="00B177F5" w:rsidRDefault="00B177F5" w:rsidP="00B177F5">
      <w:pPr>
        <w:spacing w:after="180"/>
      </w:pPr>
      <w:hyperlink r:id="rId283" w:history="1">
        <w:r w:rsidRPr="00B177F5">
          <w:rPr>
            <w:color w:val="auto"/>
            <w:u w:val="dotted"/>
          </w:rPr>
          <w:t>methane</w:t>
        </w:r>
      </w:hyperlink>
      <w:r w:rsidRPr="00B177F5">
        <w:t xml:space="preserve">: a colourless, odourless gas, the simplest parafin hydrocarbon, formula CH4. It is the principal constituent of natural gas and is also found associated with crude oil. Methane is a greenhouse gas in the atmosphere because it absorbs long-wavelength radiation from the Earth's surface. </w:t>
      </w:r>
    </w:p>
    <w:p w14:paraId="189C4A53" w14:textId="77777777" w:rsidR="00B177F5" w:rsidRPr="00B177F5" w:rsidRDefault="00B177F5" w:rsidP="00B177F5">
      <w:pPr>
        <w:spacing w:after="180"/>
      </w:pPr>
      <w:hyperlink r:id="rId284" w:history="1">
        <w:r w:rsidRPr="00B177F5">
          <w:rPr>
            <w:color w:val="auto"/>
            <w:u w:val="dotted"/>
          </w:rPr>
          <w:t>migration</w:t>
        </w:r>
      </w:hyperlink>
      <w:r w:rsidRPr="00B177F5">
        <w:t>: the process whereby fluids and gases move through rocks. In petroleum geoscience, 'migration' refers to when petroleum moves from source rocks toward reservoirs or seep sites. Primary migration consists of movement of petroleum to exit the source rock. Secondary migration occurs when oil and gas move along a carrier bed from the source to the reservoir or seep. Tertiary migration is where oil and gas move from one trap to another or to a seep.</w:t>
      </w:r>
    </w:p>
    <w:p w14:paraId="3EDC14FD" w14:textId="77777777" w:rsidR="00B177F5" w:rsidRPr="00B177F5" w:rsidRDefault="00B177F5" w:rsidP="00B177F5">
      <w:pPr>
        <w:spacing w:after="180"/>
      </w:pPr>
      <w:hyperlink r:id="rId285" w:history="1">
        <w:r w:rsidRPr="00B177F5">
          <w:rPr>
            <w:color w:val="auto"/>
            <w:u w:val="dotted"/>
          </w:rPr>
          <w:t>Moho</w:t>
        </w:r>
      </w:hyperlink>
      <w:r w:rsidRPr="00B177F5">
        <w:t>: the Mohorivicic discontinuity (seismic reflector) at the base of the crust</w:t>
      </w:r>
    </w:p>
    <w:p w14:paraId="1C1E08A7" w14:textId="77777777" w:rsidR="00B177F5" w:rsidRPr="00B177F5" w:rsidRDefault="00B177F5" w:rsidP="00B177F5">
      <w:pPr>
        <w:spacing w:after="180"/>
      </w:pPr>
      <w:hyperlink r:id="rId286" w:history="1">
        <w:r w:rsidRPr="00B177F5">
          <w:rPr>
            <w:color w:val="auto"/>
            <w:u w:val="dotted"/>
          </w:rPr>
          <w:t>mudstone</w:t>
        </w:r>
      </w:hyperlink>
      <w:r w:rsidRPr="00B177F5">
        <w:t>: a general term for sedimentary rock made up of clay-sized particles, typically massive and not fissile</w:t>
      </w:r>
    </w:p>
    <w:p w14:paraId="473EA0DF" w14:textId="77777777" w:rsidR="00B177F5" w:rsidRPr="00B177F5" w:rsidRDefault="00B177F5" w:rsidP="00B177F5">
      <w:pPr>
        <w:spacing w:after="180"/>
      </w:pPr>
      <w:hyperlink r:id="rId287" w:history="1">
        <w:r w:rsidRPr="00B177F5">
          <w:rPr>
            <w:color w:val="auto"/>
            <w:u w:val="dotted"/>
          </w:rPr>
          <w:t>natural gas</w:t>
        </w:r>
      </w:hyperlink>
      <w:r w:rsidRPr="00B177F5">
        <w:t xml:space="preserve">: the portion of petroleum that exists either in the gaseous phase or is in solution in crude oil in natural underground reservoirs, and which is gaseous at atmospheric conditions of pressure and temperature. Natural gas may include amounts of non-hydrocarbons. </w:t>
      </w:r>
    </w:p>
    <w:p w14:paraId="48AE5950" w14:textId="77777777" w:rsidR="00B177F5" w:rsidRPr="00B177F5" w:rsidRDefault="00B177F5" w:rsidP="00B177F5">
      <w:pPr>
        <w:spacing w:after="180"/>
      </w:pPr>
      <w:hyperlink r:id="rId288" w:history="1">
        <w:r w:rsidRPr="00B177F5">
          <w:rPr>
            <w:color w:val="auto"/>
            <w:u w:val="dotted"/>
          </w:rPr>
          <w:t>oil</w:t>
        </w:r>
      </w:hyperlink>
      <w:r w:rsidRPr="00B177F5">
        <w:t>: a mixture of liquid hydrocarbons and other compounds of different molecular weights. Gas is often found in association with oil. Also see petroleum.</w:t>
      </w:r>
    </w:p>
    <w:p w14:paraId="63A524C8" w14:textId="77777777" w:rsidR="00B177F5" w:rsidRPr="00B177F5" w:rsidRDefault="00B177F5" w:rsidP="00B177F5">
      <w:pPr>
        <w:spacing w:after="180"/>
      </w:pPr>
      <w:hyperlink r:id="rId289" w:history="1">
        <w:r w:rsidRPr="00B177F5">
          <w:rPr>
            <w:color w:val="auto"/>
            <w:u w:val="dotted"/>
          </w:rPr>
          <w:t>oil-prone</w:t>
        </w:r>
      </w:hyperlink>
      <w:r w:rsidRPr="00B177F5">
        <w:t>: organic matter that generates significant quantities of oil at optimal maturity</w:t>
      </w:r>
    </w:p>
    <w:p w14:paraId="5180FAE0" w14:textId="77777777" w:rsidR="00B177F5" w:rsidRPr="00B177F5" w:rsidRDefault="00B177F5" w:rsidP="00B177F5">
      <w:pPr>
        <w:spacing w:after="180"/>
      </w:pPr>
      <w:hyperlink r:id="rId290" w:history="1">
        <w:r w:rsidRPr="00B177F5">
          <w:rPr>
            <w:color w:val="auto"/>
            <w:u w:val="dotted"/>
          </w:rPr>
          <w:t>organic matter</w:t>
        </w:r>
      </w:hyperlink>
      <w:r w:rsidRPr="00B177F5">
        <w:t>: biogenic, carbonaceous materials. Organic matter preserved in rocks includes kerogen, bitumen, oil and gas. Different types of organic matter can have different oil-generative potential.</w:t>
      </w:r>
    </w:p>
    <w:p w14:paraId="5C2544A1" w14:textId="77777777" w:rsidR="00B177F5" w:rsidRPr="00B177F5" w:rsidRDefault="00B177F5" w:rsidP="00B177F5">
      <w:pPr>
        <w:spacing w:after="180"/>
      </w:pPr>
      <w:hyperlink r:id="rId291" w:history="1">
        <w:r w:rsidRPr="00B177F5">
          <w:rPr>
            <w:color w:val="auto"/>
            <w:u w:val="dotted"/>
          </w:rPr>
          <w:t>outcrop</w:t>
        </w:r>
      </w:hyperlink>
      <w:r w:rsidRPr="00B177F5">
        <w:t>: a body of rock exposed at the surface of the Earth</w:t>
      </w:r>
    </w:p>
    <w:p w14:paraId="1CC6CBDA" w14:textId="77777777" w:rsidR="00B177F5" w:rsidRPr="00B177F5" w:rsidRDefault="00B177F5" w:rsidP="00B177F5">
      <w:pPr>
        <w:spacing w:after="180"/>
      </w:pPr>
      <w:hyperlink r:id="rId292" w:history="1">
        <w:r w:rsidRPr="00B177F5">
          <w:rPr>
            <w:color w:val="auto"/>
            <w:u w:val="dotted"/>
          </w:rPr>
          <w:t>overpressure</w:t>
        </w:r>
      </w:hyperlink>
      <w:r w:rsidRPr="00B177F5">
        <w:t>: occurs when the pore pressure is higher than the hydrostatic pressure, caused by an increase in the amount of fluid or gas in the rock, or changes to the rock that reduce the amount of pore space. If the fluid cannot escape, the result is an increase in pore pressure. Overpressure can only occur where there are impermeable layers preventing the vertical flow of water, otherwise the water would flow upwards to equalise back to hydrostatic pressure.</w:t>
      </w:r>
    </w:p>
    <w:p w14:paraId="11872B3C" w14:textId="77777777" w:rsidR="00B177F5" w:rsidRPr="00B177F5" w:rsidRDefault="00B177F5" w:rsidP="00B177F5">
      <w:pPr>
        <w:spacing w:after="180"/>
      </w:pPr>
      <w:hyperlink r:id="rId293" w:history="1">
        <w:r w:rsidRPr="00B177F5">
          <w:rPr>
            <w:color w:val="auto"/>
            <w:u w:val="dotted"/>
          </w:rPr>
          <w:t>partial aquifer</w:t>
        </w:r>
      </w:hyperlink>
      <w:r w:rsidRPr="00B177F5">
        <w:t>: a permeable geological material with variable groundwater yields that are lower than in an aquifer and range from fair to very low yielding locally</w:t>
      </w:r>
    </w:p>
    <w:p w14:paraId="099269C0" w14:textId="77777777" w:rsidR="00B177F5" w:rsidRPr="00B177F5" w:rsidRDefault="00B177F5" w:rsidP="00B177F5">
      <w:pPr>
        <w:spacing w:after="180"/>
      </w:pPr>
      <w:hyperlink r:id="rId294" w:history="1">
        <w:r w:rsidRPr="00B177F5">
          <w:rPr>
            <w:color w:val="auto"/>
            <w:u w:val="dotted"/>
          </w:rPr>
          <w:t>percentile</w:t>
        </w:r>
      </w:hyperlink>
      <w:r w:rsidRPr="00B177F5">
        <w:t>: a specific type of quantile where the range of a distribution or set of runs is divided into 100 contiguous intervals, each with probability 0.01. An individual percentile may be used to indicate the value below which a given percentage or proportion of observations in a group of observations fall. For example, the 95th percentile is the value below which 95% of the observations may be found.</w:t>
      </w:r>
    </w:p>
    <w:p w14:paraId="50EFB321" w14:textId="77777777" w:rsidR="00B177F5" w:rsidRPr="00B177F5" w:rsidRDefault="00B177F5" w:rsidP="00B177F5">
      <w:pPr>
        <w:spacing w:after="180"/>
      </w:pPr>
      <w:hyperlink r:id="rId295" w:history="1">
        <w:r w:rsidRPr="00B177F5">
          <w:rPr>
            <w:color w:val="auto"/>
            <w:u w:val="dotted"/>
          </w:rPr>
          <w:t>permeability</w:t>
        </w:r>
      </w:hyperlink>
      <w:r w:rsidRPr="00B177F5">
        <w:t>: the measure of the ability of a rock, soil or sediment to yield or transmit a fluid. The magnitude of permeability depends largely on the porosity and the interconnectivity of pores and spaces in the ground.</w:t>
      </w:r>
    </w:p>
    <w:p w14:paraId="16B7E4AA" w14:textId="77777777" w:rsidR="00B177F5" w:rsidRPr="00B177F5" w:rsidRDefault="00B177F5" w:rsidP="00B177F5">
      <w:pPr>
        <w:spacing w:after="180"/>
      </w:pPr>
      <w:hyperlink r:id="rId296" w:history="1">
        <w:r w:rsidRPr="00B177F5">
          <w:rPr>
            <w:color w:val="auto"/>
            <w:u w:val="dotted"/>
          </w:rPr>
          <w:t>petroleum</w:t>
        </w:r>
      </w:hyperlink>
      <w:r w:rsidRPr="00B177F5">
        <w:t>: a naturally occurring mixture consisting predominantly of hydrocarbons in the gaseous, liquid or solid phase</w:t>
      </w:r>
    </w:p>
    <w:p w14:paraId="27CC01E9" w14:textId="77777777" w:rsidR="00B177F5" w:rsidRPr="00B177F5" w:rsidRDefault="00B177F5" w:rsidP="00B177F5">
      <w:pPr>
        <w:spacing w:after="180"/>
      </w:pPr>
      <w:hyperlink r:id="rId297" w:history="1">
        <w:r w:rsidRPr="00B177F5">
          <w:rPr>
            <w:color w:val="auto"/>
            <w:u w:val="dotted"/>
          </w:rPr>
          <w:t>petroleum system</w:t>
        </w:r>
      </w:hyperlink>
      <w:r w:rsidRPr="00B177F5">
        <w:t>: the genetic relationship between a pod of source rock that is actively producing hydrocarbon, and the resulting oil and gas accumulations. It includes all the essential elements and processes needed for oil and gas accumulations to exist. These include the source, reservoir, seal, and overburden rocks, the trap formation, and the hydrocarbon generation, migration and accumulation processes. All essential elements and processes must occur in the appropriate time and space in order for petroleum to accumulate.</w:t>
      </w:r>
    </w:p>
    <w:p w14:paraId="58720B4E" w14:textId="77777777" w:rsidR="00B177F5" w:rsidRPr="00B177F5" w:rsidRDefault="00B177F5" w:rsidP="00B177F5">
      <w:pPr>
        <w:spacing w:after="180"/>
      </w:pPr>
      <w:hyperlink r:id="rId298" w:history="1">
        <w:r w:rsidRPr="00B177F5">
          <w:rPr>
            <w:color w:val="auto"/>
            <w:u w:val="dotted"/>
          </w:rPr>
          <w:t>play</w:t>
        </w:r>
      </w:hyperlink>
      <w:r w:rsidRPr="00B177F5">
        <w:t>: a conceptual model for a style of hydrocarbon accumulation used during exploration to develop prospects in a basin, region or trend and used by development personnel to continue exploiting a given trend. A play (or group of interrelated plays) generally occurs in a single petroleum system.</w:t>
      </w:r>
    </w:p>
    <w:p w14:paraId="2A288A00" w14:textId="77777777" w:rsidR="00B177F5" w:rsidRPr="00B177F5" w:rsidRDefault="00B177F5" w:rsidP="00B177F5">
      <w:pPr>
        <w:spacing w:after="180"/>
      </w:pPr>
      <w:hyperlink r:id="rId299" w:history="1">
        <w:r w:rsidRPr="00B177F5">
          <w:rPr>
            <w:color w:val="auto"/>
            <w:u w:val="dotted"/>
          </w:rPr>
          <w:t>porosity</w:t>
        </w:r>
      </w:hyperlink>
      <w:r w:rsidRPr="00B177F5">
        <w:t>: the proportion of the volume of rock consisting of pores, usually expressed as a percentage of the total rock or soil mass</w:t>
      </w:r>
    </w:p>
    <w:p w14:paraId="7042F398" w14:textId="77777777" w:rsidR="00B177F5" w:rsidRPr="00B177F5" w:rsidRDefault="00B177F5" w:rsidP="00B177F5">
      <w:pPr>
        <w:spacing w:after="180"/>
      </w:pPr>
      <w:hyperlink r:id="rId300" w:history="1">
        <w:r w:rsidRPr="00B177F5">
          <w:rPr>
            <w:color w:val="auto"/>
            <w:u w:val="dotted"/>
          </w:rPr>
          <w:t>producing</w:t>
        </w:r>
      </w:hyperlink>
      <w:r w:rsidRPr="00B177F5">
        <w:t>: a well or rock formation from which oil, gas or water is produced</w:t>
      </w:r>
    </w:p>
    <w:p w14:paraId="53880701" w14:textId="77777777" w:rsidR="00B177F5" w:rsidRPr="00B177F5" w:rsidRDefault="00B177F5" w:rsidP="00B177F5">
      <w:pPr>
        <w:spacing w:after="180"/>
      </w:pPr>
      <w:hyperlink r:id="rId301" w:history="1">
        <w:r w:rsidRPr="00B177F5">
          <w:rPr>
            <w:color w:val="auto"/>
            <w:u w:val="dotted"/>
          </w:rPr>
          <w:t>production</w:t>
        </w:r>
      </w:hyperlink>
      <w:r w:rsidRPr="00B177F5">
        <w:t xml:space="preserve">: in petroleum resource assessments, 'production' refers to the cumulative quantity of oil and natural gas that has been recovered already (by a specified date). This is primarily output from operations that has already been produced. </w:t>
      </w:r>
    </w:p>
    <w:p w14:paraId="248183B6" w14:textId="77777777" w:rsidR="00B177F5" w:rsidRPr="00B177F5" w:rsidRDefault="00B177F5" w:rsidP="00B177F5">
      <w:pPr>
        <w:spacing w:after="180"/>
      </w:pPr>
      <w:hyperlink r:id="rId302" w:history="1">
        <w:r w:rsidRPr="00B177F5">
          <w:rPr>
            <w:color w:val="auto"/>
            <w:u w:val="dotted"/>
          </w:rPr>
          <w:t>production well</w:t>
        </w:r>
      </w:hyperlink>
      <w:r w:rsidRPr="00B177F5">
        <w:t>: a well used to remove oil or gas from a reservoir</w:t>
      </w:r>
    </w:p>
    <w:p w14:paraId="17A6A87F" w14:textId="77777777" w:rsidR="00B177F5" w:rsidRPr="00B177F5" w:rsidRDefault="00B177F5" w:rsidP="00B177F5">
      <w:pPr>
        <w:spacing w:after="180"/>
      </w:pPr>
      <w:hyperlink r:id="rId303" w:history="1">
        <w:r w:rsidRPr="00B177F5">
          <w:rPr>
            <w:color w:val="auto"/>
            <w:u w:val="dotted"/>
          </w:rPr>
          <w:t>proppant</w:t>
        </w:r>
      </w:hyperlink>
      <w:r w:rsidRPr="00B177F5">
        <w:t>: a component of the hydraulic fracturing fluid system comprising sand, ceramics or other granular material that 'prop' open fractures to prevent them from closing when the injection is stopped</w:t>
      </w:r>
    </w:p>
    <w:p w14:paraId="6F9ADFA2" w14:textId="77777777" w:rsidR="00B177F5" w:rsidRPr="00B177F5" w:rsidRDefault="00B177F5" w:rsidP="00B177F5">
      <w:pPr>
        <w:spacing w:after="180"/>
      </w:pPr>
      <w:hyperlink r:id="rId304" w:history="1">
        <w:r w:rsidRPr="00B177F5">
          <w:rPr>
            <w:color w:val="auto"/>
            <w:u w:val="dotted"/>
          </w:rPr>
          <w:t>recharge</w:t>
        </w:r>
      </w:hyperlink>
      <w:r w:rsidRPr="00B177F5">
        <w:t>: see groundwater recharge</w:t>
      </w:r>
    </w:p>
    <w:p w14:paraId="23823F57" w14:textId="77777777" w:rsidR="00B177F5" w:rsidRPr="00B177F5" w:rsidRDefault="00B177F5" w:rsidP="00B177F5">
      <w:pPr>
        <w:spacing w:after="180"/>
      </w:pPr>
      <w:hyperlink r:id="rId305" w:history="1">
        <w:r w:rsidRPr="00B177F5">
          <w:rPr>
            <w:color w:val="auto"/>
            <w:u w:val="dotted"/>
          </w:rPr>
          <w:t>reservoir</w:t>
        </w:r>
      </w:hyperlink>
      <w:r w:rsidRPr="00B177F5">
        <w:t>: a subsurface body of rock having sufficient porosity and permeability to store and transmit fluids and gases. Sedimentary rocks are the most common reservoir rocks because they have more porosity than most igneous and metamorphic rocks and form under temperature conditions at which hydrocarbons can be preserved. A reservoir is a critical component of a complete petroleum system.</w:t>
      </w:r>
    </w:p>
    <w:p w14:paraId="56C4BF40" w14:textId="77777777" w:rsidR="00B177F5" w:rsidRPr="00B177F5" w:rsidRDefault="00B177F5" w:rsidP="00B177F5">
      <w:pPr>
        <w:spacing w:after="180"/>
      </w:pPr>
      <w:hyperlink r:id="rId306" w:history="1">
        <w:r w:rsidRPr="00B177F5">
          <w:rPr>
            <w:color w:val="auto"/>
            <w:u w:val="dotted"/>
          </w:rPr>
          <w:t>reservoir rock</w:t>
        </w:r>
      </w:hyperlink>
      <w:r w:rsidRPr="00B177F5">
        <w:t>: any porous and permeable rock that contains liquids or gases (e.g. petroleum, water, CO</w:t>
      </w:r>
      <w:r w:rsidRPr="00B177F5">
        <w:rPr>
          <w:vertAlign w:val="subscript"/>
        </w:rPr>
        <w:t>2</w:t>
      </w:r>
      <w:r w:rsidRPr="00B177F5">
        <w:t>), such as porous sandstone, vuggy carbonate and fractured shale</w:t>
      </w:r>
    </w:p>
    <w:p w14:paraId="54E9E180" w14:textId="77777777" w:rsidR="00B177F5" w:rsidRPr="00B177F5" w:rsidRDefault="00B177F5" w:rsidP="00B177F5">
      <w:pPr>
        <w:spacing w:after="180"/>
      </w:pPr>
      <w:hyperlink r:id="rId307" w:history="1">
        <w:r w:rsidRPr="00B177F5">
          <w:rPr>
            <w:color w:val="auto"/>
            <w:u w:val="dotted"/>
          </w:rPr>
          <w:t>reverse fault</w:t>
        </w:r>
      </w:hyperlink>
      <w:r w:rsidRPr="00B177F5">
        <w:t>: a fault in which the hanging wall appears to have moved upward relative to the footwall. Common in compressional regimes.</w:t>
      </w:r>
    </w:p>
    <w:p w14:paraId="2B7CD0E1" w14:textId="77777777" w:rsidR="00B177F5" w:rsidRPr="00B177F5" w:rsidRDefault="00B177F5" w:rsidP="00B177F5">
      <w:pPr>
        <w:spacing w:after="180"/>
      </w:pPr>
      <w:hyperlink r:id="rId308" w:history="1">
        <w:r w:rsidRPr="00B177F5">
          <w:rPr>
            <w:color w:val="auto"/>
            <w:u w:val="dotted"/>
          </w:rPr>
          <w:t>ridge</w:t>
        </w:r>
      </w:hyperlink>
      <w:r w:rsidRPr="00B177F5">
        <w:t>: a narrow, linear geological feature that forms a continuous elevated crest for some distance (e.g. a chain of hills or mountains or a watershed)</w:t>
      </w:r>
    </w:p>
    <w:p w14:paraId="6E66185C" w14:textId="77777777" w:rsidR="00B177F5" w:rsidRPr="00B177F5" w:rsidRDefault="00B177F5" w:rsidP="00B177F5">
      <w:pPr>
        <w:spacing w:after="180"/>
      </w:pPr>
      <w:hyperlink r:id="rId309" w:history="1">
        <w:r w:rsidRPr="00B177F5">
          <w:rPr>
            <w:color w:val="auto"/>
            <w:u w:val="dotted"/>
          </w:rPr>
          <w:t>risk</w:t>
        </w:r>
      </w:hyperlink>
      <w:r w:rsidRPr="00B177F5">
        <w:t>: the effect of uncertainty on objectives (ASNZ ISO 3100). This involves assessing the potential consequences and likelihood of impacts to environmental and human values that may stem from an action, under the uncertainty caused by variability and incomplete knowledge of the system of interest.</w:t>
      </w:r>
    </w:p>
    <w:p w14:paraId="5DC16C58" w14:textId="77777777" w:rsidR="00B177F5" w:rsidRPr="00B177F5" w:rsidRDefault="00B177F5" w:rsidP="00B177F5">
      <w:pPr>
        <w:spacing w:after="180"/>
      </w:pPr>
      <w:hyperlink r:id="rId310" w:history="1">
        <w:r w:rsidRPr="00B177F5">
          <w:rPr>
            <w:color w:val="auto"/>
            <w:u w:val="dotted"/>
          </w:rPr>
          <w:t>runoff</w:t>
        </w:r>
      </w:hyperlink>
      <w:r w:rsidRPr="00B177F5">
        <w:t>: rainfall that does not infiltrate the ground or evaporate to the atmosphere. This water flows down a slope and enters surface water systems.</w:t>
      </w:r>
    </w:p>
    <w:p w14:paraId="60664D99" w14:textId="77777777" w:rsidR="00B177F5" w:rsidRPr="00B177F5" w:rsidRDefault="00B177F5" w:rsidP="00B177F5">
      <w:pPr>
        <w:spacing w:after="180"/>
      </w:pPr>
      <w:hyperlink r:id="rId311" w:history="1">
        <w:r w:rsidRPr="00B177F5">
          <w:rPr>
            <w:color w:val="auto"/>
            <w:u w:val="dotted"/>
          </w:rPr>
          <w:t>sandstone</w:t>
        </w:r>
      </w:hyperlink>
      <w:r w:rsidRPr="00B177F5">
        <w:t>: a sedimentary rock composed of sand-sized particles (measuring 0.05–2.0 mm in diameter), typically quartz</w:t>
      </w:r>
    </w:p>
    <w:p w14:paraId="4FBBDA6C" w14:textId="77777777" w:rsidR="00B177F5" w:rsidRPr="00B177F5" w:rsidRDefault="00B177F5" w:rsidP="00B177F5">
      <w:pPr>
        <w:spacing w:after="180"/>
      </w:pPr>
      <w:hyperlink r:id="rId312" w:history="1">
        <w:r w:rsidRPr="00B177F5">
          <w:rPr>
            <w:color w:val="auto"/>
            <w:u w:val="dotted"/>
          </w:rPr>
          <w:t>seal</w:t>
        </w:r>
      </w:hyperlink>
      <w:r w:rsidRPr="00B177F5">
        <w:t>: a relatively impermeable rock, commonly shale, anhydrite or salt, that forms a barrier or cap above and around reservoir rock such that fluids cannot migrate beyond the reservoir. A seal is a critical component of a complete petroleum system.</w:t>
      </w:r>
    </w:p>
    <w:p w14:paraId="74B73407" w14:textId="77777777" w:rsidR="00B177F5" w:rsidRPr="00B177F5" w:rsidRDefault="00B177F5" w:rsidP="00B177F5">
      <w:pPr>
        <w:spacing w:after="180"/>
      </w:pPr>
      <w:hyperlink r:id="rId313" w:history="1">
        <w:r w:rsidRPr="00B177F5">
          <w:rPr>
            <w:color w:val="auto"/>
            <w:u w:val="dotted"/>
          </w:rPr>
          <w:t>sediment</w:t>
        </w:r>
      </w:hyperlink>
      <w:r w:rsidRPr="00B177F5">
        <w:t>: various materials deposited by water, wind or glacial ice, or by precipitation from water by chemical or biological action (e.g. clay, sand, carbonate)</w:t>
      </w:r>
    </w:p>
    <w:p w14:paraId="3353E5BB" w14:textId="77777777" w:rsidR="00B177F5" w:rsidRPr="00B177F5" w:rsidRDefault="00B177F5" w:rsidP="00B177F5">
      <w:pPr>
        <w:spacing w:after="180"/>
      </w:pPr>
      <w:hyperlink r:id="rId314" w:history="1">
        <w:r w:rsidRPr="00B177F5">
          <w:rPr>
            <w:color w:val="auto"/>
            <w:u w:val="dotted"/>
          </w:rPr>
          <w:t>sedimentary rock</w:t>
        </w:r>
      </w:hyperlink>
      <w:r w:rsidRPr="00B177F5">
        <w:t>: a rock formed by lithification of sediment transported or precipitated at the Earth’s surface and accumulated in layers. These rocks can contain fragments of older rock transported and deposited by water, air or ice, chemical rocks formed by precipitation from solution, and remains of plants and animals.</w:t>
      </w:r>
    </w:p>
    <w:p w14:paraId="34A11412" w14:textId="77777777" w:rsidR="00B177F5" w:rsidRPr="00B177F5" w:rsidRDefault="00B177F5" w:rsidP="00B177F5">
      <w:pPr>
        <w:spacing w:after="180"/>
      </w:pPr>
      <w:hyperlink r:id="rId315" w:history="1">
        <w:r w:rsidRPr="00B177F5">
          <w:rPr>
            <w:color w:val="auto"/>
            <w:u w:val="dotted"/>
          </w:rPr>
          <w:t>sedimentation</w:t>
        </w:r>
      </w:hyperlink>
      <w:r w:rsidRPr="00B177F5">
        <w:t>: the process of deposition and accumulation of sediment (unconsolidated materials) in layers</w:t>
      </w:r>
    </w:p>
    <w:p w14:paraId="228BC7EA" w14:textId="77777777" w:rsidR="00B177F5" w:rsidRPr="00B177F5" w:rsidRDefault="00B177F5" w:rsidP="00B177F5">
      <w:pPr>
        <w:spacing w:after="180"/>
      </w:pPr>
      <w:hyperlink r:id="rId316" w:history="1">
        <w:r w:rsidRPr="00B177F5">
          <w:rPr>
            <w:color w:val="auto"/>
            <w:u w:val="dotted"/>
          </w:rPr>
          <w:t>seismic survey</w:t>
        </w:r>
      </w:hyperlink>
      <w:r w:rsidRPr="00B177F5">
        <w:t>: a method for imaging the subsurface using controlled seismic energy sources and receivers at the surface. Measures the reflection and refraction of seismic energy as it travels through rock.</w:t>
      </w:r>
    </w:p>
    <w:p w14:paraId="67811986" w14:textId="77777777" w:rsidR="00B177F5" w:rsidRPr="00B177F5" w:rsidRDefault="00B177F5" w:rsidP="00B177F5">
      <w:pPr>
        <w:spacing w:after="180"/>
      </w:pPr>
      <w:hyperlink r:id="rId317" w:history="1">
        <w:r w:rsidRPr="00B177F5">
          <w:rPr>
            <w:color w:val="auto"/>
            <w:u w:val="dotted"/>
          </w:rPr>
          <w:t>shale</w:t>
        </w:r>
      </w:hyperlink>
      <w:r w:rsidRPr="00B177F5">
        <w:t>: a fine-grained sedimentary rock formed by lithification of mud that is fissile or fractures easily along bedding planes and is dominated by clay-sized particles</w:t>
      </w:r>
    </w:p>
    <w:p w14:paraId="5EBD0863" w14:textId="77777777" w:rsidR="00B177F5" w:rsidRPr="00B177F5" w:rsidRDefault="00B177F5" w:rsidP="00B177F5">
      <w:pPr>
        <w:spacing w:after="180"/>
      </w:pPr>
      <w:hyperlink r:id="rId318" w:history="1">
        <w:r w:rsidRPr="00B177F5">
          <w:rPr>
            <w:color w:val="auto"/>
            <w:u w:val="dotted"/>
          </w:rPr>
          <w:t>shale gas</w:t>
        </w:r>
      </w:hyperlink>
      <w:r w:rsidRPr="00B177F5">
        <w:t>: generally extracted from a clay-rich sedimentary rock, which has naturally low permeability. The gas it contains is either adsorbed or in a free state in the pores of the rock.</w:t>
      </w:r>
    </w:p>
    <w:p w14:paraId="14F7AE96" w14:textId="77777777" w:rsidR="00B177F5" w:rsidRPr="00B177F5" w:rsidRDefault="00B177F5" w:rsidP="00B177F5">
      <w:pPr>
        <w:spacing w:after="180"/>
      </w:pPr>
      <w:hyperlink r:id="rId319" w:history="1">
        <w:r w:rsidRPr="00B177F5">
          <w:rPr>
            <w:color w:val="auto"/>
            <w:u w:val="dotted"/>
          </w:rPr>
          <w:t>shear</w:t>
        </w:r>
      </w:hyperlink>
      <w:r w:rsidRPr="00B177F5">
        <w:t>: a frictional force that tends to cause contiguous parts of a body to slide relative to each other in a direction parallel to their plane of contact</w:t>
      </w:r>
    </w:p>
    <w:p w14:paraId="7CF16430" w14:textId="77777777" w:rsidR="00B177F5" w:rsidRPr="00B177F5" w:rsidRDefault="00B177F5" w:rsidP="00B177F5">
      <w:pPr>
        <w:spacing w:after="180"/>
      </w:pPr>
      <w:hyperlink r:id="rId320" w:history="1">
        <w:r w:rsidRPr="00B177F5">
          <w:rPr>
            <w:color w:val="auto"/>
            <w:u w:val="dotted"/>
          </w:rPr>
          <w:t>siliciclastic</w:t>
        </w:r>
      </w:hyperlink>
      <w:r w:rsidRPr="00B177F5">
        <w:t>: clastic, non-carbonate rocks dominated by quartz or silicate minerals</w:t>
      </w:r>
    </w:p>
    <w:p w14:paraId="539D9260" w14:textId="77777777" w:rsidR="00B177F5" w:rsidRPr="00B177F5" w:rsidRDefault="00B177F5" w:rsidP="00B177F5">
      <w:pPr>
        <w:spacing w:after="180"/>
      </w:pPr>
      <w:hyperlink r:id="rId321" w:history="1">
        <w:r w:rsidRPr="00B177F5">
          <w:rPr>
            <w:color w:val="auto"/>
            <w:u w:val="dotted"/>
          </w:rPr>
          <w:t>sill</w:t>
        </w:r>
      </w:hyperlink>
      <w:r w:rsidRPr="00B177F5">
        <w:t>: a small body of intrusive igneous rock injected between layers of sedimentary rock</w:t>
      </w:r>
    </w:p>
    <w:p w14:paraId="5F056057" w14:textId="77777777" w:rsidR="00B177F5" w:rsidRPr="00B177F5" w:rsidRDefault="00B177F5" w:rsidP="00B177F5">
      <w:pPr>
        <w:spacing w:after="180"/>
      </w:pPr>
      <w:hyperlink r:id="rId322" w:history="1">
        <w:r w:rsidRPr="00B177F5">
          <w:rPr>
            <w:color w:val="auto"/>
            <w:u w:val="dotted"/>
          </w:rPr>
          <w:t>siltstone</w:t>
        </w:r>
      </w:hyperlink>
      <w:r w:rsidRPr="00B177F5">
        <w:t>: a sedimentary rock composed of silt-sized particles (0.004 to 0.063 mm in diameter)</w:t>
      </w:r>
    </w:p>
    <w:p w14:paraId="6C4DBFEC" w14:textId="77777777" w:rsidR="00B177F5" w:rsidRPr="00B177F5" w:rsidRDefault="00B177F5" w:rsidP="00B177F5">
      <w:pPr>
        <w:keepNext/>
        <w:keepLines/>
        <w:spacing w:after="180"/>
      </w:pPr>
      <w:hyperlink r:id="rId323" w:history="1">
        <w:r w:rsidRPr="00B177F5">
          <w:rPr>
            <w:color w:val="auto"/>
            <w:u w:val="dotted"/>
          </w:rPr>
          <w:t>source rock</w:t>
        </w:r>
      </w:hyperlink>
      <w:r w:rsidRPr="00B177F5">
        <w:t>: a rock rich in organic matter which, if heated sufficiently, will generate oil or gas. Typical source rocks, usually shales or limestones, contain about 1% organic matter and at least 0.5% total organic carbon (TOC), although a rich source rock might have as much as 10% organic matter. Rocks of marine origin tend to be oil-prone, whereas terrestrial source rocks (such as coal) tend to be gas-prone. Preservation of organic matter without degradation is critical to creating a good source rock, and necessary for a complete petroleum system. Under the right conditions, source rocks may also be reservoir rocks, as in the case of shale gas reservoirs.</w:t>
      </w:r>
    </w:p>
    <w:p w14:paraId="7DC8A429" w14:textId="77777777" w:rsidR="00B177F5" w:rsidRPr="00B177F5" w:rsidRDefault="00B177F5" w:rsidP="00B177F5">
      <w:pPr>
        <w:spacing w:after="180"/>
      </w:pPr>
      <w:hyperlink r:id="rId324" w:history="1">
        <w:r w:rsidRPr="00B177F5">
          <w:rPr>
            <w:color w:val="auto"/>
            <w:u w:val="dotted"/>
          </w:rPr>
          <w:t>spring</w:t>
        </w:r>
      </w:hyperlink>
      <w:r w:rsidRPr="00B177F5">
        <w:t>: a naturally occurring discharge of groundwater flowing out of the ground, often forming a small stream or pool of water. Typically, it represents the point at which the watertable intersects ground level.</w:t>
      </w:r>
    </w:p>
    <w:p w14:paraId="154EBA99" w14:textId="77777777" w:rsidR="00B177F5" w:rsidRPr="00B177F5" w:rsidRDefault="00B177F5" w:rsidP="00B177F5">
      <w:pPr>
        <w:spacing w:after="180"/>
      </w:pPr>
      <w:hyperlink r:id="rId325" w:history="1">
        <w:r w:rsidRPr="00B177F5">
          <w:rPr>
            <w:color w:val="auto"/>
            <w:u w:val="dotted"/>
          </w:rPr>
          <w:t>stratigraphy</w:t>
        </w:r>
      </w:hyperlink>
      <w:r w:rsidRPr="00B177F5">
        <w:t>: the study of the history, composition, relative ages and distribution of stratified rock strata, and its interpretation to reveal Earth’s history. However, it has gained broader usage to refer to the sequential order and description of rocks in a region.</w:t>
      </w:r>
    </w:p>
    <w:p w14:paraId="0859433F" w14:textId="77777777" w:rsidR="00B177F5" w:rsidRPr="00B177F5" w:rsidRDefault="00B177F5" w:rsidP="00B177F5">
      <w:pPr>
        <w:spacing w:after="180"/>
      </w:pPr>
      <w:hyperlink r:id="rId326" w:history="1">
        <w:r w:rsidRPr="00B177F5">
          <w:rPr>
            <w:color w:val="auto"/>
            <w:u w:val="dotted"/>
          </w:rPr>
          <w:t>stress</w:t>
        </w:r>
      </w:hyperlink>
      <w:r w:rsidRPr="00B177F5">
        <w:t>: the force applied to a body that can result in deformation, or strain, usually described in terms of magnitude per unit of area, or intensity</w:t>
      </w:r>
    </w:p>
    <w:p w14:paraId="63757C2F" w14:textId="77777777" w:rsidR="00B177F5" w:rsidRPr="00B177F5" w:rsidRDefault="00B177F5" w:rsidP="00B177F5">
      <w:pPr>
        <w:spacing w:after="180"/>
      </w:pPr>
      <w:hyperlink r:id="rId327" w:history="1">
        <w:r w:rsidRPr="00B177F5">
          <w:rPr>
            <w:color w:val="auto"/>
            <w:u w:val="dotted"/>
          </w:rPr>
          <w:t>stressor</w:t>
        </w:r>
      </w:hyperlink>
      <w:r w:rsidRPr="00B177F5">
        <w:t>: chemical or biological agent, environmental condition or external stimulus that might contribute to an impact mode</w:t>
      </w:r>
    </w:p>
    <w:p w14:paraId="2D2A0F09" w14:textId="77777777" w:rsidR="00B177F5" w:rsidRPr="00B177F5" w:rsidRDefault="00B177F5" w:rsidP="00B177F5">
      <w:pPr>
        <w:spacing w:after="180"/>
      </w:pPr>
      <w:hyperlink r:id="rId328" w:history="1">
        <w:r w:rsidRPr="00B177F5">
          <w:rPr>
            <w:color w:val="auto"/>
            <w:u w:val="dotted"/>
          </w:rPr>
          <w:t>structure</w:t>
        </w:r>
      </w:hyperlink>
      <w:r w:rsidRPr="00B177F5">
        <w:t>: a geological feature produced by deformation of the Earth’s crust, such as a fold or a fault; a feature within a rock, such as a fracture or bedding surface; or, more generally, the spatial arrangement of rocks</w:t>
      </w:r>
    </w:p>
    <w:p w14:paraId="418F9EB1" w14:textId="77777777" w:rsidR="00B177F5" w:rsidRPr="00B177F5" w:rsidRDefault="00B177F5" w:rsidP="00B177F5">
      <w:pPr>
        <w:spacing w:after="180"/>
      </w:pPr>
      <w:hyperlink r:id="rId329" w:history="1">
        <w:r w:rsidRPr="00B177F5">
          <w:rPr>
            <w:color w:val="auto"/>
            <w:u w:val="dotted"/>
          </w:rPr>
          <w:t>subcrop</w:t>
        </w:r>
      </w:hyperlink>
      <w:r w:rsidRPr="00B177F5">
        <w:t>: 1 - A subsurface outcrop, e.g. where a formation intersects a subsurface plane such as an unconformity. 2 - In mining, any near-surface development of a rock or orebody, usually beneath superficial material.</w:t>
      </w:r>
    </w:p>
    <w:p w14:paraId="3DC7BEA6" w14:textId="77777777" w:rsidR="00B177F5" w:rsidRPr="00B177F5" w:rsidRDefault="00B177F5" w:rsidP="00B177F5">
      <w:pPr>
        <w:spacing w:after="180"/>
      </w:pPr>
      <w:hyperlink r:id="rId330" w:history="1">
        <w:r w:rsidRPr="00B177F5">
          <w:rPr>
            <w:color w:val="auto"/>
            <w:u w:val="dotted"/>
          </w:rPr>
          <w:t>surface water</w:t>
        </w:r>
      </w:hyperlink>
      <w:r w:rsidRPr="00B177F5">
        <w:t>: water that flows over land and in watercourses or artificial channels and can be captured, stored and supplemented from dams and reservoirs</w:t>
      </w:r>
    </w:p>
    <w:p w14:paraId="32E9B1AF" w14:textId="77777777" w:rsidR="00B177F5" w:rsidRPr="00B177F5" w:rsidRDefault="00B177F5" w:rsidP="00B177F5">
      <w:pPr>
        <w:spacing w:after="180"/>
      </w:pPr>
      <w:hyperlink r:id="rId331" w:history="1">
        <w:r w:rsidRPr="00B177F5">
          <w:rPr>
            <w:color w:val="auto"/>
            <w:u w:val="dotted"/>
          </w:rPr>
          <w:t>syncline</w:t>
        </w:r>
      </w:hyperlink>
      <w:r w:rsidRPr="00B177F5">
        <w:t>: a concave-upward fold in rock that contains stratigraphically younger strata toward the center</w:t>
      </w:r>
    </w:p>
    <w:p w14:paraId="4A525613" w14:textId="77777777" w:rsidR="00B177F5" w:rsidRPr="00B177F5" w:rsidRDefault="00B177F5" w:rsidP="00B177F5">
      <w:pPr>
        <w:spacing w:after="180"/>
      </w:pPr>
      <w:hyperlink r:id="rId332" w:history="1">
        <w:r w:rsidRPr="00B177F5">
          <w:rPr>
            <w:color w:val="auto"/>
            <w:u w:val="dotted"/>
          </w:rPr>
          <w:t>tight gas</w:t>
        </w:r>
      </w:hyperlink>
      <w:r w:rsidRPr="00B177F5">
        <w:t>: tight gas is trapped in reservoirs characterised by very low porosity and permeability. The rock pores that contain the gas are minuscule, and the interconnections between them are so limited that the gas can only migrate through it with great difficulty.</w:t>
      </w:r>
    </w:p>
    <w:p w14:paraId="53BCE607" w14:textId="77777777" w:rsidR="00B177F5" w:rsidRPr="00B177F5" w:rsidRDefault="00B177F5" w:rsidP="00B177F5">
      <w:pPr>
        <w:spacing w:after="180"/>
      </w:pPr>
      <w:hyperlink r:id="rId333" w:history="1">
        <w:r w:rsidRPr="00B177F5">
          <w:rPr>
            <w:color w:val="auto"/>
            <w:u w:val="dotted"/>
          </w:rPr>
          <w:t>total organic carbon</w:t>
        </w:r>
      </w:hyperlink>
      <w:r w:rsidRPr="00B177F5">
        <w:t>: the quantity of organic matter (kerogen and bitumen) is expressed in terms of the total organic carbon (TOC) content in mass per cent. The TOC value is the most basic measurement for determining the ability of sedimentary rocks to generate and expel hydrocarbons.</w:t>
      </w:r>
    </w:p>
    <w:p w14:paraId="10D16D31" w14:textId="77777777" w:rsidR="00B177F5" w:rsidRPr="00B177F5" w:rsidRDefault="00B177F5" w:rsidP="00B177F5">
      <w:pPr>
        <w:keepNext/>
        <w:keepLines/>
        <w:spacing w:after="180"/>
      </w:pPr>
      <w:hyperlink r:id="rId334" w:history="1">
        <w:r w:rsidRPr="00B177F5">
          <w:rPr>
            <w:color w:val="auto"/>
            <w:u w:val="dotted"/>
          </w:rPr>
          <w:t>total porosity</w:t>
        </w:r>
      </w:hyperlink>
      <w:r w:rsidRPr="00B177F5">
        <w:t>: total porosity is the total void space in the rock whether or not it contributes to fluid flow (i.e.the total pore volume per unit volume of rock). It is measured in volume/volume, percent or porosity units. The total porosity is the total void space and as such includes isolated pores and the space occupied by clay-bound water. It is the porosity measured by core analysis techniques that involve disaggregating the sample. It is also the porosity measured by many log measurements, including density, neutron porosity and nuclear magnetic resonance logs.</w:t>
      </w:r>
    </w:p>
    <w:p w14:paraId="4D56B1B0" w14:textId="77777777" w:rsidR="00B177F5" w:rsidRPr="00B177F5" w:rsidRDefault="00B177F5" w:rsidP="00B177F5">
      <w:pPr>
        <w:spacing w:after="180"/>
      </w:pPr>
      <w:hyperlink r:id="rId335" w:history="1">
        <w:r w:rsidRPr="00B177F5">
          <w:rPr>
            <w:color w:val="auto"/>
            <w:u w:val="dotted"/>
          </w:rPr>
          <w:t>trap</w:t>
        </w:r>
      </w:hyperlink>
      <w:r w:rsidRPr="00B177F5">
        <w:t>: a geologic feature that permits an accumulation of liquid or gas (e.g. natural gas, water, oil, injected CO</w:t>
      </w:r>
      <w:r w:rsidRPr="00B177F5">
        <w:rPr>
          <w:vertAlign w:val="subscript"/>
        </w:rPr>
        <w:t>2</w:t>
      </w:r>
      <w:r w:rsidRPr="00B177F5">
        <w:t>) and prevents its escape. Traps may be structural (e.g. domes, anticlines), stratigraphic (pinchouts, permeability changes) or combinations of both.</w:t>
      </w:r>
    </w:p>
    <w:p w14:paraId="11EB9252" w14:textId="77777777" w:rsidR="00B177F5" w:rsidRPr="00B177F5" w:rsidRDefault="00B177F5" w:rsidP="00B177F5">
      <w:pPr>
        <w:spacing w:after="180"/>
      </w:pPr>
      <w:hyperlink r:id="rId336" w:history="1">
        <w:r w:rsidRPr="00B177F5">
          <w:rPr>
            <w:color w:val="auto"/>
            <w:u w:val="dotted"/>
          </w:rPr>
          <w:t>unconfined aquifer</w:t>
        </w:r>
      </w:hyperlink>
      <w:r w:rsidRPr="00B177F5">
        <w:t>: an aquifer whose upper water surface (watertable) is at atmospheric pressure and does not have a confining layer of low-permeability rock or sediment above it</w:t>
      </w:r>
    </w:p>
    <w:p w14:paraId="1558FE0D" w14:textId="77777777" w:rsidR="00B177F5" w:rsidRPr="00B177F5" w:rsidRDefault="00B177F5" w:rsidP="00B177F5">
      <w:pPr>
        <w:spacing w:after="180"/>
      </w:pPr>
      <w:hyperlink r:id="rId337" w:history="1">
        <w:r w:rsidRPr="00B177F5">
          <w:rPr>
            <w:color w:val="auto"/>
            <w:u w:val="dotted"/>
          </w:rPr>
          <w:t>unconformity</w:t>
        </w:r>
      </w:hyperlink>
      <w:r w:rsidRPr="00B177F5">
        <w:t>: a surface of erosion between rock bodies that represents a significant hiatus or gap in the stratigraphic succession. Some kinds of unconformities are (a) angular unconformity – an unconformity in which the bedding planes above and below the unconformity are at an angle to each other; and (b) disconformity – an unconformity in which the bedding planes above and below the stratigraphic break are essentially parallel.</w:t>
      </w:r>
    </w:p>
    <w:p w14:paraId="1216FD49" w14:textId="77777777" w:rsidR="00B177F5" w:rsidRPr="00B177F5" w:rsidRDefault="00B177F5" w:rsidP="00B177F5">
      <w:pPr>
        <w:spacing w:after="180"/>
      </w:pPr>
      <w:hyperlink r:id="rId338" w:history="1">
        <w:r w:rsidRPr="00B177F5">
          <w:rPr>
            <w:color w:val="auto"/>
            <w:u w:val="dotted"/>
          </w:rPr>
          <w:t>unconventional gas</w:t>
        </w:r>
      </w:hyperlink>
      <w:r w:rsidRPr="00B177F5">
        <w:t>: unconventional gas is generally produced from complex geological systems that prevent or significantly limit the migration of gas and require innovative technological solutions for extraction. There are numerous types of unconventional gas such as coal seam gas, deep coal gas, shale gas and tight gas.</w:t>
      </w:r>
    </w:p>
    <w:p w14:paraId="16FF94B7" w14:textId="77777777" w:rsidR="00B177F5" w:rsidRPr="00B177F5" w:rsidRDefault="00B177F5" w:rsidP="00B177F5">
      <w:pPr>
        <w:spacing w:after="180"/>
      </w:pPr>
      <w:hyperlink r:id="rId339" w:history="1">
        <w:r w:rsidRPr="00B177F5">
          <w:rPr>
            <w:color w:val="auto"/>
            <w:u w:val="dotted"/>
          </w:rPr>
          <w:t>water allocation</w:t>
        </w:r>
      </w:hyperlink>
      <w:r w:rsidRPr="00B177F5">
        <w:t>: the specific volume of water allocated to water access entitlements in a given season, defined according to rules established in the relevant water plan</w:t>
      </w:r>
    </w:p>
    <w:p w14:paraId="65F8F6FC" w14:textId="77777777" w:rsidR="00B177F5" w:rsidRPr="00B177F5" w:rsidRDefault="00B177F5" w:rsidP="00B177F5">
      <w:pPr>
        <w:spacing w:after="180"/>
      </w:pPr>
      <w:hyperlink r:id="rId340" w:history="1">
        <w:r w:rsidRPr="00B177F5">
          <w:rPr>
            <w:color w:val="auto"/>
            <w:u w:val="dotted"/>
          </w:rPr>
          <w:t>water saturation</w:t>
        </w:r>
      </w:hyperlink>
      <w:r w:rsidRPr="00B177F5">
        <w:t>: the fraction of water in a given pore space. It is expressed in volume/volume, percent or saturation units. Unless otherwise stated, water saturation is the fraction of formation water in the undisturbed zone. The saturation is known as the total water saturation if the pore space is the total porosity, but is known as effective water saturation if the pore space is the effective porosity. If used without qualification, the term usually refers to the effective water saturation.</w:t>
      </w:r>
    </w:p>
    <w:p w14:paraId="1B281ED4" w14:textId="77777777" w:rsidR="00B177F5" w:rsidRPr="00B177F5" w:rsidRDefault="00B177F5" w:rsidP="00B177F5">
      <w:pPr>
        <w:spacing w:after="180"/>
      </w:pPr>
      <w:hyperlink r:id="rId341" w:history="1">
        <w:r w:rsidRPr="00B177F5">
          <w:rPr>
            <w:color w:val="auto"/>
            <w:u w:val="dotted"/>
          </w:rPr>
          <w:t>water system</w:t>
        </w:r>
      </w:hyperlink>
      <w:r w:rsidRPr="00B177F5">
        <w:t>: a system that is hydrologically connected and described at the level desired for management purposes (e.g. subcatchment, catchment, basin or drainage division, or groundwater management unit, subaquifer, aquifer, groundwater basin)</w:t>
      </w:r>
    </w:p>
    <w:p w14:paraId="6D337977" w14:textId="77777777" w:rsidR="00B177F5" w:rsidRPr="00B177F5" w:rsidRDefault="00B177F5" w:rsidP="00B177F5">
      <w:pPr>
        <w:spacing w:after="180"/>
      </w:pPr>
      <w:hyperlink r:id="rId342" w:history="1">
        <w:r w:rsidRPr="00B177F5">
          <w:rPr>
            <w:color w:val="auto"/>
            <w:u w:val="dotted"/>
          </w:rPr>
          <w:t>watertable</w:t>
        </w:r>
      </w:hyperlink>
      <w:r w:rsidRPr="00B177F5">
        <w:t>: the upper surface of a body of groundwater occurring in an unconfined aquifer. At the watertable, pore water pressure equals atmospheric pressure.</w:t>
      </w:r>
    </w:p>
    <w:p w14:paraId="6AC7AAE3" w14:textId="77777777" w:rsidR="00B177F5" w:rsidRPr="00B177F5" w:rsidRDefault="00B177F5" w:rsidP="00B177F5">
      <w:pPr>
        <w:spacing w:after="180"/>
      </w:pPr>
      <w:hyperlink r:id="rId343" w:history="1">
        <w:r w:rsidRPr="00B177F5">
          <w:rPr>
            <w:color w:val="auto"/>
            <w:u w:val="dotted"/>
          </w:rPr>
          <w:t>weathering</w:t>
        </w:r>
      </w:hyperlink>
      <w:r w:rsidRPr="00B177F5">
        <w:t>: the breakdown of rocks and other materials at the Earth’s surface caused by mechanical action and reactions with air, water and organisms. Weathering of seep oils or improperly sealed oil samples by exposure to air results in evaporative loss of light hydrocarbons.</w:t>
      </w:r>
    </w:p>
    <w:p w14:paraId="08F3AC99" w14:textId="77777777" w:rsidR="00B177F5" w:rsidRPr="00B177F5" w:rsidRDefault="00B177F5" w:rsidP="00B177F5">
      <w:pPr>
        <w:spacing w:after="180"/>
      </w:pPr>
      <w:hyperlink r:id="rId344" w:history="1">
        <w:r w:rsidRPr="00B177F5">
          <w:rPr>
            <w:color w:val="auto"/>
            <w:u w:val="dotted"/>
          </w:rPr>
          <w:t>well</w:t>
        </w:r>
      </w:hyperlink>
      <w:r w:rsidRPr="00B177F5">
        <w:t>: typically a narrow diameter hole drilled into the earth for the purposes of exploring, evaluating, injecting or recovering various natural resources, such as hydrocarbons (oil and gas), water or carbon dioxide. Wells are sometimes known as a ‘wellbore’.</w:t>
      </w:r>
    </w:p>
    <w:p w14:paraId="07310CE1" w14:textId="77777777" w:rsidR="00B177F5" w:rsidRPr="00B177F5" w:rsidRDefault="00B177F5" w:rsidP="00B177F5">
      <w:pPr>
        <w:spacing w:after="180"/>
      </w:pPr>
      <w:hyperlink r:id="rId345" w:history="1">
        <w:r w:rsidRPr="00B177F5">
          <w:rPr>
            <w:color w:val="auto"/>
            <w:u w:val="dotted"/>
          </w:rPr>
          <w:t>well barrier</w:t>
        </w:r>
      </w:hyperlink>
      <w:r w:rsidRPr="00B177F5">
        <w:t>: envelope of one or several dependent barrier elements (including casing, cement, and any other downhole or surface sealing components) that prevent fluids from flowing unintentionally between a bore or a well and geological formations, between geological formations or to the surface.</w:t>
      </w:r>
    </w:p>
    <w:p w14:paraId="7FC7B60D" w14:textId="77777777" w:rsidR="00B177F5" w:rsidRPr="00B177F5" w:rsidRDefault="00B177F5" w:rsidP="00B177F5">
      <w:pPr>
        <w:spacing w:before="0" w:after="160" w:line="259" w:lineRule="auto"/>
        <w:rPr>
          <w:color w:val="auto"/>
          <w:sz w:val="22"/>
          <w:szCs w:val="22"/>
          <w:lang w:eastAsia="en-US"/>
        </w:rPr>
      </w:pPr>
      <w:hyperlink r:id="rId346" w:history="1">
        <w:r w:rsidRPr="00B177F5">
          <w:rPr>
            <w:color w:val="auto"/>
            <w:u w:val="dotted"/>
          </w:rPr>
          <w:t>well integrity</w:t>
        </w:r>
      </w:hyperlink>
      <w:r w:rsidRPr="00B177F5">
        <w:t>: maintaining full control of fluids (or gases) within a well at all times by employing and maintaining one or more well barriers to prevent unintended fluid (gas or liquid) movement between formations with different pressure regimes, or loss of containment to the environment</w:t>
      </w:r>
    </w:p>
    <w:p w14:paraId="2BAF1789" w14:textId="68E663E0" w:rsidR="001C7050" w:rsidRDefault="001C7050" w:rsidP="00904EC6">
      <w:pPr>
        <w:pStyle w:val="BodyText"/>
      </w:pPr>
      <w:r>
        <w:br w:type="page"/>
      </w:r>
    </w:p>
    <w:p w14:paraId="20B9B3F4" w14:textId="77777777" w:rsidR="00904EC6" w:rsidRDefault="00904EC6" w:rsidP="00904EC6">
      <w:pPr>
        <w:pStyle w:val="BodyText"/>
      </w:pPr>
    </w:p>
    <w:p w14:paraId="5A3A14B6" w14:textId="77B7E208" w:rsidR="00E94ED0" w:rsidRDefault="00E94ED0" w:rsidP="00E94ED0">
      <w:pPr>
        <w:pStyle w:val="BodyText"/>
      </w:pPr>
    </w:p>
    <w:p w14:paraId="51C4AC99" w14:textId="057FDE15" w:rsidR="00500A4A" w:rsidRDefault="00500A4A" w:rsidP="00D1044D">
      <w:pPr>
        <w:sectPr w:rsidR="00500A4A" w:rsidSect="0005578E">
          <w:headerReference w:type="even" r:id="rId347"/>
          <w:headerReference w:type="default" r:id="rId348"/>
          <w:pgSz w:w="11906" w:h="16838" w:code="9"/>
          <w:pgMar w:top="1247" w:right="1134" w:bottom="1134" w:left="1134" w:header="510" w:footer="624" w:gutter="0"/>
          <w:cols w:space="284"/>
          <w:docGrid w:linePitch="360"/>
        </w:sectPr>
      </w:pPr>
    </w:p>
    <w:sdt>
      <w:sdtPr>
        <w:id w:val="5606899"/>
        <w:docPartObj>
          <w:docPartGallery w:val="Cover Pages"/>
        </w:docPartObj>
      </w:sdtPr>
      <w:sdtEndPr/>
      <w:sdtContent>
        <w:p w14:paraId="011E3FFB" w14:textId="0D6E3EA5" w:rsidR="000F047C" w:rsidRDefault="000F047C" w:rsidP="00726CA7">
          <w:pPr>
            <w:pStyle w:val="BackCoverLogos"/>
          </w:pPr>
          <w:r>
            <w:drawing>
              <wp:anchor distT="0" distB="0" distL="114300" distR="114300" simplePos="0" relativeHeight="251658242" behindDoc="0" locked="1" layoutInCell="1" allowOverlap="1" wp14:anchorId="38F4A25D" wp14:editId="261DAEC5">
                <wp:simplePos x="0" y="0"/>
                <wp:positionH relativeFrom="page">
                  <wp:posOffset>2540</wp:posOffset>
                </wp:positionH>
                <wp:positionV relativeFrom="page">
                  <wp:posOffset>-31115</wp:posOffset>
                </wp:positionV>
                <wp:extent cx="7590790" cy="2353945"/>
                <wp:effectExtent l="0" t="0" r="0" b="8255"/>
                <wp:wrapSquare wrapText="bothSides"/>
                <wp:docPr id="56" name="Picture 56"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49" cstate="screen">
                          <a:extLst>
                            <a:ext uri="{28A0092B-C50C-407E-A947-70E740481C1C}">
                              <a14:useLocalDpi xmlns:a14="http://schemas.microsoft.com/office/drawing/2010/main"/>
                            </a:ext>
                          </a:extLst>
                        </a:blip>
                        <a:stretch>
                          <a:fillRect/>
                        </a:stretch>
                      </pic:blipFill>
                      <pic:spPr bwMode="auto">
                        <a:xfrm>
                          <a:off x="0" y="0"/>
                          <a:ext cx="7590790" cy="2353945"/>
                        </a:xfrm>
                        <a:prstGeom prst="rect">
                          <a:avLst/>
                        </a:prstGeom>
                        <a:noFill/>
                      </pic:spPr>
                    </pic:pic>
                  </a:graphicData>
                </a:graphic>
                <wp14:sizeRelH relativeFrom="margin">
                  <wp14:pctWidth>0</wp14:pctWidth>
                </wp14:sizeRelH>
                <wp14:sizeRelV relativeFrom="margin">
                  <wp14:pctHeight>0</wp14:pctHeight>
                </wp14:sizeRelV>
              </wp:anchor>
            </w:drawing>
          </w:r>
        </w:p>
      </w:sdtContent>
    </w:sdt>
    <w:p w14:paraId="00891DDC" w14:textId="1299B3DD" w:rsidR="000F047C" w:rsidRPr="000F047C" w:rsidRDefault="003B0291" w:rsidP="000F047C">
      <w:pPr>
        <w:pStyle w:val="BackCoverText"/>
      </w:pPr>
      <w:r>
        <w:drawing>
          <wp:anchor distT="0" distB="0" distL="114300" distR="114300" simplePos="0" relativeHeight="251658248" behindDoc="0" locked="0" layoutInCell="1" allowOverlap="1" wp14:anchorId="72B77316" wp14:editId="4E4626FD">
            <wp:simplePos x="0" y="0"/>
            <wp:positionH relativeFrom="column">
              <wp:posOffset>1280160</wp:posOffset>
            </wp:positionH>
            <wp:positionV relativeFrom="paragraph">
              <wp:posOffset>648335</wp:posOffset>
            </wp:positionV>
            <wp:extent cx="2157730" cy="2075180"/>
            <wp:effectExtent l="0" t="0" r="0" b="1270"/>
            <wp:wrapSquare wrapText="bothSides"/>
            <wp:docPr id="932846818" name="Picture 932846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DAWE_Government_crest_w_partners.jpg"/>
                    <pic:cNvPicPr/>
                  </pic:nvPicPr>
                  <pic:blipFill>
                    <a:blip r:embed="rId350"/>
                    <a:stretch>
                      <a:fillRect/>
                    </a:stretch>
                  </pic:blipFill>
                  <pic:spPr>
                    <a:xfrm>
                      <a:off x="0" y="0"/>
                      <a:ext cx="2157730" cy="2075180"/>
                    </a:xfrm>
                    <a:prstGeom prst="rect">
                      <a:avLst/>
                    </a:prstGeom>
                  </pic:spPr>
                </pic:pic>
              </a:graphicData>
            </a:graphic>
            <wp14:sizeRelH relativeFrom="margin">
              <wp14:pctWidth>0</wp14:pctWidth>
            </wp14:sizeRelH>
            <wp14:sizeRelV relativeFrom="margin">
              <wp14:pctHeight>0</wp14:pctHeight>
            </wp14:sizeRelV>
          </wp:anchor>
        </w:drawing>
      </w:r>
      <w:hyperlink r:id="rId351" w:tooltip="Bioregional Assessments Programme website" w:history="1">
        <w:r w:rsidR="000F047C">
          <w:rPr>
            <w:rStyle w:val="Hyperlink"/>
          </w:rPr>
          <w:t>www.bioregionalassessments.gov.au</w:t>
        </w:r>
      </w:hyperlink>
    </w:p>
    <w:p w14:paraId="274B31B4" w14:textId="73164DF6" w:rsidR="000F047C" w:rsidRDefault="000F047C" w:rsidP="000F047C">
      <w:pPr>
        <w:pStyle w:val="BodyText"/>
      </w:pPr>
      <w:r>
        <w:rPr>
          <w:noProof/>
        </w:rPr>
        <w:drawing>
          <wp:anchor distT="0" distB="0" distL="114300" distR="114300" simplePos="0" relativeHeight="251658243" behindDoc="0" locked="1" layoutInCell="1" allowOverlap="1" wp14:anchorId="204338B6" wp14:editId="5BC690FC">
            <wp:simplePos x="0" y="0"/>
            <wp:positionH relativeFrom="margin">
              <wp:posOffset>-735330</wp:posOffset>
            </wp:positionH>
            <wp:positionV relativeFrom="margin">
              <wp:posOffset>5073015</wp:posOffset>
            </wp:positionV>
            <wp:extent cx="7593965" cy="5629910"/>
            <wp:effectExtent l="0" t="0" r="6985" b="8890"/>
            <wp:wrapSquare wrapText="bothSides"/>
            <wp:docPr id="62" name="Picture 62"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52" cstate="screen">
                      <a:extLst>
                        <a:ext uri="{28A0092B-C50C-407E-A947-70E740481C1C}">
                          <a14:useLocalDpi xmlns:a14="http://schemas.microsoft.com/office/drawing/2010/main"/>
                        </a:ext>
                      </a:extLst>
                    </a:blip>
                    <a:stretch>
                      <a:fillRect/>
                    </a:stretch>
                  </pic:blipFill>
                  <pic:spPr bwMode="auto">
                    <a:xfrm>
                      <a:off x="0" y="0"/>
                      <a:ext cx="7593965" cy="5629910"/>
                    </a:xfrm>
                    <a:prstGeom prst="rect">
                      <a:avLst/>
                    </a:prstGeom>
                    <a:noFill/>
                  </pic:spPr>
                </pic:pic>
              </a:graphicData>
            </a:graphic>
          </wp:anchor>
        </w:drawing>
      </w:r>
    </w:p>
    <w:p w14:paraId="49D0692D" w14:textId="7874A803" w:rsidR="00365B0F" w:rsidRDefault="009F7CD7" w:rsidP="002D2754">
      <w:pPr>
        <w:pStyle w:val="BackCoverLogos"/>
        <w:jc w:val="left"/>
        <w:rPr>
          <w:rStyle w:val="Glossaryhyperlink"/>
        </w:rPr>
      </w:pPr>
      <w:r w:rsidRPr="00F170E9">
        <w:drawing>
          <wp:inline distT="0" distB="0" distL="0" distR="0" wp14:anchorId="527886DC" wp14:editId="5853E9B3">
            <wp:extent cx="1458000" cy="1209600"/>
            <wp:effectExtent l="0" t="0" r="8890" b="0"/>
            <wp:docPr id="2006359437" name="Picture 2006359437" descr="CSIRO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IRO [logo]"/>
                    <pic:cNvPicPr>
                      <a:picLocks noChangeAspect="1" noChangeArrowheads="1"/>
                    </pic:cNvPicPr>
                  </pic:nvPicPr>
                  <pic:blipFill>
                    <a:blip r:embed="rId353" cstate="screen">
                      <a:extLst>
                        <a:ext uri="{28A0092B-C50C-407E-A947-70E740481C1C}">
                          <a14:useLocalDpi xmlns:a14="http://schemas.microsoft.com/office/drawing/2010/main"/>
                        </a:ext>
                      </a:extLst>
                    </a:blip>
                    <a:srcRect l="-46114" t="-13635" b="-9212"/>
                    <a:stretch>
                      <a:fillRect/>
                    </a:stretch>
                  </pic:blipFill>
                  <pic:spPr bwMode="auto">
                    <a:xfrm>
                      <a:off x="0" y="0"/>
                      <a:ext cx="1458000" cy="1209600"/>
                    </a:xfrm>
                    <a:prstGeom prst="rect">
                      <a:avLst/>
                    </a:prstGeom>
                    <a:noFill/>
                    <a:ln>
                      <a:noFill/>
                    </a:ln>
                  </pic:spPr>
                </pic:pic>
              </a:graphicData>
            </a:graphic>
          </wp:inline>
        </w:drawing>
      </w:r>
    </w:p>
    <w:p w14:paraId="59C84A6D" w14:textId="514BF44C" w:rsidR="00302DCB" w:rsidRDefault="00302DCB" w:rsidP="00302DCB">
      <w:pPr>
        <w:pStyle w:val="BodyText"/>
        <w:rPr>
          <w:rStyle w:val="Glossaryhyperlink"/>
        </w:rPr>
      </w:pPr>
    </w:p>
    <w:p w14:paraId="1C08E326" w14:textId="714ED864" w:rsidR="00AF1709" w:rsidRDefault="00AF1709" w:rsidP="00AF1709">
      <w:pPr>
        <w:pStyle w:val="BodyText"/>
        <w:rPr>
          <w:rStyle w:val="Glossaryhyperlink"/>
        </w:rPr>
      </w:pPr>
    </w:p>
    <w:sectPr w:rsidR="00AF1709" w:rsidSect="00153B5B">
      <w:headerReference w:type="even" r:id="rId354"/>
      <w:footerReference w:type="even" r:id="rId355"/>
      <w:type w:val="evenPage"/>
      <w:pgSz w:w="11906" w:h="16838" w:code="9"/>
      <w:pgMar w:top="1247" w:right="1134" w:bottom="1134" w:left="1134" w:header="510" w:footer="624" w:gutter="0"/>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B47066F" w14:textId="77777777" w:rsidR="00C761B1" w:rsidRDefault="00C761B1" w:rsidP="009964E7">
      <w:r>
        <w:separator/>
      </w:r>
    </w:p>
  </w:endnote>
  <w:endnote w:type="continuationSeparator" w:id="0">
    <w:p w14:paraId="6BBBA3E6" w14:textId="77777777" w:rsidR="00C761B1" w:rsidRDefault="00C761B1" w:rsidP="009964E7">
      <w:r>
        <w:continuationSeparator/>
      </w:r>
    </w:p>
  </w:endnote>
  <w:endnote w:type="continuationNotice" w:id="1">
    <w:p w14:paraId="3F12D8F3" w14:textId="77777777" w:rsidR="00C761B1" w:rsidRDefault="00C761B1">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1002AFF" w:usb1="C000E47F" w:usb2="00000029" w:usb3="00000000" w:csb0="000001FF" w:csb1="00000000"/>
  </w:font>
  <w:font w:name="Arial">
    <w:panose1 w:val="020B0604020202020204"/>
    <w:charset w:val="00"/>
    <w:family w:val="swiss"/>
    <w:pitch w:val="variable"/>
    <w:sig w:usb0="E0002AFF" w:usb1="C0007843" w:usb2="00000009" w:usb3="00000000" w:csb0="000001FF" w:csb1="00000000"/>
  </w:font>
  <w:font w:name="Times">
    <w:altName w:val="﷽﷽﷽﷽﷽﷽﷽﷽"/>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00000287" w:usb1="08070000" w:usb2="00000010"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70B86A" w14:textId="18D530A6" w:rsidR="006E0CDA" w:rsidRDefault="006E0CDA" w:rsidP="00AE0D97">
    <w:pPr>
      <w:pStyle w:val="Footer"/>
      <w:tabs>
        <w:tab w:val="clear" w:pos="4513"/>
        <w:tab w:val="clear" w:pos="9026"/>
      </w:tabs>
    </w:pPr>
    <w:r>
      <w:t>v202</w:t>
    </w:r>
    <w:r w:rsidR="00B177F5">
      <w:t>10630</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714E7F" w14:textId="77777777" w:rsidR="006E0CDA" w:rsidRDefault="006E0CDA" w:rsidP="00EE62F5">
    <w:pPr>
      <w:pStyle w:val="CoverFooter"/>
      <w:rPr>
        <w:b w:val="0"/>
        <w:color w:val="7F7F7F" w:themeColor="text1" w:themeTint="80"/>
        <w:sz w:val="18"/>
        <w:szCs w:val="20"/>
      </w:rPr>
    </w:pPr>
  </w:p>
  <w:p w14:paraId="1803F5E4" w14:textId="24CDA487" w:rsidR="006E0CDA" w:rsidRPr="00D6286D" w:rsidRDefault="006E0CDA" w:rsidP="00EE62F5">
    <w:pPr>
      <w:pStyle w:val="CoverFooter"/>
    </w:pPr>
    <w:r w:rsidRPr="00586519">
      <w:rPr>
        <w:b w:val="0"/>
        <w:color w:val="7F7F7F" w:themeColor="text1" w:themeTint="80"/>
        <w:sz w:val="18"/>
        <w:szCs w:val="20"/>
      </w:rPr>
      <w:fldChar w:fldCharType="begin"/>
    </w:r>
    <w:r w:rsidRPr="00586519">
      <w:rPr>
        <w:b w:val="0"/>
        <w:noProof/>
        <w:color w:val="7F7F7F" w:themeColor="text1" w:themeTint="80"/>
        <w:sz w:val="18"/>
        <w:szCs w:val="20"/>
      </w:rPr>
      <w:instrText xml:space="preserve"> PAGE </w:instrText>
    </w:r>
    <w:r w:rsidRPr="00586519">
      <w:rPr>
        <w:b w:val="0"/>
        <w:noProof/>
        <w:color w:val="7F7F7F" w:themeColor="text1" w:themeTint="80"/>
        <w:sz w:val="18"/>
        <w:szCs w:val="20"/>
      </w:rPr>
      <w:fldChar w:fldCharType="separate"/>
    </w:r>
    <w:r w:rsidRPr="00586519">
      <w:rPr>
        <w:b w:val="0"/>
        <w:noProof/>
        <w:color w:val="7F7F7F" w:themeColor="text1" w:themeTint="80"/>
        <w:sz w:val="18"/>
        <w:szCs w:val="20"/>
      </w:rPr>
      <w:t>x</w:t>
    </w:r>
    <w:r w:rsidRPr="00586519">
      <w:rPr>
        <w:b w:val="0"/>
        <w:color w:val="7F7F7F" w:themeColor="text1" w:themeTint="80"/>
        <w:sz w:val="18"/>
        <w:szCs w:val="20"/>
      </w:rPr>
      <w:fldChar w:fldCharType="end"/>
    </w:r>
    <w:r w:rsidRPr="00586519">
      <w:rPr>
        <w:b w:val="0"/>
        <w:noProof/>
        <w:color w:val="7F7F7F" w:themeColor="text1" w:themeTint="80"/>
        <w:sz w:val="18"/>
        <w:szCs w:val="20"/>
      </w:rPr>
      <w:t xml:space="preserve"> | </w:t>
    </w:r>
    <w:r w:rsidRPr="00586519">
      <w:rPr>
        <w:b w:val="0"/>
        <w:noProof/>
        <w:color w:val="7F7F7F" w:themeColor="text1" w:themeTint="80"/>
        <w:sz w:val="18"/>
        <w:szCs w:val="20"/>
      </w:rPr>
      <w:fldChar w:fldCharType="begin"/>
    </w:r>
    <w:r w:rsidRPr="00586519">
      <w:rPr>
        <w:b w:val="0"/>
        <w:noProof/>
        <w:color w:val="7F7F7F" w:themeColor="text1" w:themeTint="80"/>
        <w:sz w:val="18"/>
        <w:szCs w:val="20"/>
      </w:rPr>
      <w:instrText xml:space="preserve"> STYLEREF  CoverTitle </w:instrText>
    </w:r>
    <w:r w:rsidRPr="00586519">
      <w:rPr>
        <w:b w:val="0"/>
        <w:noProof/>
        <w:color w:val="7F7F7F" w:themeColor="text1" w:themeTint="80"/>
        <w:sz w:val="18"/>
        <w:szCs w:val="20"/>
      </w:rPr>
      <w:fldChar w:fldCharType="separate"/>
    </w:r>
    <w:r w:rsidR="00B177F5">
      <w:rPr>
        <w:b w:val="0"/>
        <w:noProof/>
        <w:color w:val="7F7F7F" w:themeColor="text1" w:themeTint="80"/>
        <w:sz w:val="18"/>
        <w:szCs w:val="20"/>
      </w:rPr>
      <w:t>Hydrogeology of the Beetaloo GBA region</w:t>
    </w:r>
    <w:r w:rsidRPr="00586519">
      <w:rPr>
        <w:b w:val="0"/>
        <w:noProof/>
        <w:color w:val="7F7F7F" w:themeColor="text1" w:themeTint="80"/>
        <w:sz w:val="18"/>
        <w:szCs w:val="20"/>
      </w:rPr>
      <w:fldChar w:fldCharType="end"/>
    </w:r>
    <w:r>
      <w:t>A scientific collaboration between the Departmy, CSIRO and Geoscience Australia</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F548CB" w14:textId="08C27DA9" w:rsidR="006E0CDA" w:rsidRDefault="006E0CDA" w:rsidP="00AE0D97">
    <w:pPr>
      <w:pStyle w:val="Footer"/>
      <w:tabs>
        <w:tab w:val="clear" w:pos="4513"/>
        <w:tab w:val="clear" w:pos="9026"/>
      </w:tabs>
    </w:pPr>
    <w:r w:rsidRPr="00586519">
      <w:rPr>
        <w:rStyle w:val="PageNumber"/>
        <w:noProof/>
        <w:sz w:val="18"/>
        <w:szCs w:val="18"/>
      </w:rPr>
      <w:fldChar w:fldCharType="begin"/>
    </w:r>
    <w:r w:rsidRPr="00586519">
      <w:rPr>
        <w:rStyle w:val="PageNumber"/>
        <w:sz w:val="18"/>
        <w:szCs w:val="18"/>
      </w:rPr>
      <w:instrText xml:space="preserve"> PAGE </w:instrText>
    </w:r>
    <w:r w:rsidRPr="00586519">
      <w:rPr>
        <w:rStyle w:val="PageNumber"/>
        <w:sz w:val="18"/>
        <w:szCs w:val="18"/>
      </w:rPr>
      <w:fldChar w:fldCharType="separate"/>
    </w:r>
    <w:r w:rsidRPr="00586519">
      <w:rPr>
        <w:rStyle w:val="PageNumber"/>
        <w:noProof/>
        <w:sz w:val="18"/>
        <w:szCs w:val="18"/>
      </w:rPr>
      <w:t>92</w:t>
    </w:r>
    <w:r w:rsidRPr="00586519">
      <w:rPr>
        <w:rStyle w:val="PageNumber"/>
        <w:noProof/>
        <w:sz w:val="18"/>
        <w:szCs w:val="18"/>
      </w:rPr>
      <w:fldChar w:fldCharType="end"/>
    </w:r>
    <w:r>
      <w:rPr>
        <w:rStyle w:val="PageNumber"/>
      </w:rPr>
      <w:t xml:space="preserve"> | </w:t>
    </w:r>
    <w:r w:rsidRPr="4ED27E3C">
      <w:fldChar w:fldCharType="begin"/>
    </w:r>
    <w:r>
      <w:rPr>
        <w:noProof/>
      </w:rPr>
      <w:instrText xml:space="preserve"> STYLEREF  CoverTitle </w:instrText>
    </w:r>
    <w:r w:rsidRPr="4ED27E3C">
      <w:rPr>
        <w:noProof/>
      </w:rPr>
      <w:fldChar w:fldCharType="separate"/>
    </w:r>
    <w:r w:rsidR="00B177F5">
      <w:rPr>
        <w:noProof/>
      </w:rPr>
      <w:t>Hydrogeology of the Beetaloo GBA region</w:t>
    </w:r>
    <w:r w:rsidRPr="4ED27E3C">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FC437C" w14:textId="10D12AF9" w:rsidR="006E0CDA" w:rsidRDefault="006E0CDA" w:rsidP="001901B1">
    <w:pPr>
      <w:pStyle w:val="Footer"/>
      <w:jc w:val="right"/>
    </w:pPr>
    <w:r w:rsidRPr="4ED27E3C">
      <w:fldChar w:fldCharType="begin"/>
    </w:r>
    <w:r>
      <w:rPr>
        <w:noProof/>
      </w:rPr>
      <w:instrText xml:space="preserve"> STYLEREF  CoverTitle </w:instrText>
    </w:r>
    <w:r w:rsidRPr="4ED27E3C">
      <w:rPr>
        <w:noProof/>
      </w:rPr>
      <w:fldChar w:fldCharType="separate"/>
    </w:r>
    <w:r w:rsidR="00B177F5">
      <w:rPr>
        <w:noProof/>
      </w:rPr>
      <w:t>Hydrogeology of the Beetaloo GBA region</w:t>
    </w:r>
    <w:r w:rsidRPr="4ED27E3C">
      <w:fldChar w:fldCharType="end"/>
    </w:r>
    <w:r w:rsidRPr="00C0099E">
      <w:t xml:space="preserve"> | </w:t>
    </w:r>
    <w:r w:rsidRPr="4ED27E3C">
      <w:rPr>
        <w:rStyle w:val="PageNumber"/>
        <w:noProof/>
        <w:sz w:val="18"/>
        <w:szCs w:val="18"/>
      </w:rPr>
      <w:fldChar w:fldCharType="begin"/>
    </w:r>
    <w:r w:rsidRPr="00C0099E">
      <w:rPr>
        <w:rStyle w:val="PageNumber"/>
        <w:sz w:val="18"/>
      </w:rPr>
      <w:instrText xml:space="preserve"> PAGE </w:instrText>
    </w:r>
    <w:r w:rsidRPr="4ED27E3C">
      <w:rPr>
        <w:rStyle w:val="PageNumber"/>
        <w:sz w:val="18"/>
      </w:rPr>
      <w:fldChar w:fldCharType="separate"/>
    </w:r>
    <w:r>
      <w:rPr>
        <w:rStyle w:val="PageNumber"/>
        <w:noProof/>
        <w:sz w:val="18"/>
      </w:rPr>
      <w:t>27</w:t>
    </w:r>
    <w:r w:rsidRPr="4ED27E3C">
      <w:rPr>
        <w:rStyle w:val="PageNumber"/>
        <w:noProof/>
        <w:sz w:val="18"/>
        <w:szCs w:val="18"/>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22F2BB" w14:textId="40E3AE7D" w:rsidR="006E0CDA" w:rsidRPr="00C0099E" w:rsidRDefault="006E0CDA" w:rsidP="001901B1">
    <w:pPr>
      <w:pStyle w:val="Footer"/>
      <w:jc w:val="right"/>
    </w:pPr>
    <w:r w:rsidRPr="4ED27E3C">
      <w:fldChar w:fldCharType="begin"/>
    </w:r>
    <w:r>
      <w:rPr>
        <w:noProof/>
      </w:rPr>
      <w:instrText xml:space="preserve"> STYLEREF  CoverTitle </w:instrText>
    </w:r>
    <w:r w:rsidRPr="4ED27E3C">
      <w:rPr>
        <w:noProof/>
      </w:rPr>
      <w:fldChar w:fldCharType="separate"/>
    </w:r>
    <w:r w:rsidR="00B177F5">
      <w:rPr>
        <w:noProof/>
      </w:rPr>
      <w:t>Hydrogeology of the Beetaloo GBA region</w:t>
    </w:r>
    <w:r w:rsidRPr="4ED27E3C">
      <w:fldChar w:fldCharType="end"/>
    </w:r>
    <w:r w:rsidRPr="00C0099E">
      <w:t xml:space="preserve"> | </w:t>
    </w:r>
    <w:r w:rsidRPr="4ED27E3C">
      <w:rPr>
        <w:rStyle w:val="PageNumber"/>
        <w:noProof/>
        <w:sz w:val="18"/>
        <w:szCs w:val="18"/>
      </w:rPr>
      <w:fldChar w:fldCharType="begin"/>
    </w:r>
    <w:r w:rsidRPr="00C0099E">
      <w:rPr>
        <w:rStyle w:val="PageNumber"/>
        <w:sz w:val="18"/>
      </w:rPr>
      <w:instrText xml:space="preserve"> PAGE </w:instrText>
    </w:r>
    <w:r w:rsidRPr="4ED27E3C">
      <w:rPr>
        <w:rStyle w:val="PageNumber"/>
        <w:sz w:val="18"/>
      </w:rPr>
      <w:fldChar w:fldCharType="separate"/>
    </w:r>
    <w:r>
      <w:rPr>
        <w:rStyle w:val="PageNumber"/>
        <w:noProof/>
        <w:sz w:val="18"/>
      </w:rPr>
      <w:t>85</w:t>
    </w:r>
    <w:r w:rsidRPr="4ED27E3C">
      <w:rPr>
        <w:rStyle w:val="PageNumber"/>
        <w:noProof/>
        <w:sz w:val="18"/>
        <w:szCs w:val="18"/>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E184F3" w14:textId="2A1F052D" w:rsidR="006E0CDA" w:rsidRPr="00C0099E" w:rsidRDefault="006E0CDA" w:rsidP="001901B1">
    <w:pPr>
      <w:pStyle w:val="Footer"/>
      <w:jc w:val="right"/>
    </w:pPr>
    <w:r w:rsidRPr="4ED27E3C">
      <w:fldChar w:fldCharType="begin"/>
    </w:r>
    <w:r>
      <w:rPr>
        <w:noProof/>
      </w:rPr>
      <w:instrText xml:space="preserve"> STYLEREF  CoverTitle </w:instrText>
    </w:r>
    <w:r w:rsidRPr="4ED27E3C">
      <w:rPr>
        <w:noProof/>
      </w:rPr>
      <w:fldChar w:fldCharType="separate"/>
    </w:r>
    <w:r w:rsidR="00B177F5">
      <w:rPr>
        <w:noProof/>
      </w:rPr>
      <w:t>Hydrogeology of the Beetaloo GBA region</w:t>
    </w:r>
    <w:r w:rsidRPr="4ED27E3C">
      <w:fldChar w:fldCharType="end"/>
    </w:r>
    <w:r w:rsidRPr="00C0099E">
      <w:t xml:space="preserve"> | </w:t>
    </w:r>
    <w:r w:rsidRPr="4ED27E3C">
      <w:rPr>
        <w:rStyle w:val="PageNumber"/>
        <w:noProof/>
        <w:sz w:val="18"/>
        <w:szCs w:val="18"/>
      </w:rPr>
      <w:fldChar w:fldCharType="begin"/>
    </w:r>
    <w:r w:rsidRPr="00C0099E">
      <w:rPr>
        <w:rStyle w:val="PageNumber"/>
        <w:sz w:val="18"/>
      </w:rPr>
      <w:instrText xml:space="preserve"> PAGE </w:instrText>
    </w:r>
    <w:r w:rsidRPr="4ED27E3C">
      <w:rPr>
        <w:rStyle w:val="PageNumber"/>
        <w:sz w:val="18"/>
      </w:rPr>
      <w:fldChar w:fldCharType="separate"/>
    </w:r>
    <w:r>
      <w:rPr>
        <w:rStyle w:val="PageNumber"/>
        <w:noProof/>
        <w:sz w:val="18"/>
      </w:rPr>
      <w:t>91</w:t>
    </w:r>
    <w:r w:rsidRPr="4ED27E3C">
      <w:rPr>
        <w:rStyle w:val="PageNumber"/>
        <w:noProof/>
        <w:sz w:val="18"/>
        <w:szCs w:val="18"/>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F99E75" w14:textId="653341C1" w:rsidR="006E0CDA" w:rsidRDefault="006E0CDA" w:rsidP="00A823F8">
    <w:pPr>
      <w:pStyle w:val="Footer"/>
      <w:jc w:val="right"/>
    </w:pPr>
    <w:r w:rsidRPr="10423575">
      <w:fldChar w:fldCharType="begin"/>
    </w:r>
    <w:r>
      <w:rPr>
        <w:noProof/>
      </w:rPr>
      <w:instrText xml:space="preserve"> STYLEREF  CoverTitle </w:instrText>
    </w:r>
    <w:r w:rsidRPr="10423575">
      <w:rPr>
        <w:noProof/>
      </w:rPr>
      <w:fldChar w:fldCharType="separate"/>
    </w:r>
    <w:r w:rsidR="00B177F5">
      <w:rPr>
        <w:noProof/>
      </w:rPr>
      <w:t>Hydrogeology of the Beetaloo GBA region</w:t>
    </w:r>
    <w:r w:rsidRPr="10423575">
      <w:fldChar w:fldCharType="end"/>
    </w:r>
    <w:r w:rsidRPr="00C0099E">
      <w:t xml:space="preserve"> | </w:t>
    </w:r>
    <w:r w:rsidRPr="65431716">
      <w:rPr>
        <w:rStyle w:val="PageNumber"/>
      </w:rPr>
      <w:fldChar w:fldCharType="begin"/>
    </w:r>
    <w:r w:rsidRPr="00C0099E">
      <w:rPr>
        <w:rStyle w:val="PageNumber"/>
      </w:rPr>
      <w:instrText xml:space="preserve"> PAGE </w:instrText>
    </w:r>
    <w:r w:rsidRPr="65431716">
      <w:rPr>
        <w:rStyle w:val="PageNumber"/>
      </w:rPr>
      <w:fldChar w:fldCharType="separate"/>
    </w:r>
    <w:r>
      <w:rPr>
        <w:rStyle w:val="PageNumber"/>
        <w:noProof/>
      </w:rPr>
      <w:t>88</w:t>
    </w:r>
    <w:r w:rsidRPr="65431716">
      <w:rPr>
        <w:rStyle w:val="PageNumber"/>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A27037" w14:textId="605D9D4C" w:rsidR="006E0CDA" w:rsidRDefault="006E0CDA" w:rsidP="0069354C">
    <w:pPr>
      <w:pStyle w:val="Footer"/>
      <w:jc w:val="right"/>
    </w:pPr>
    <w:r w:rsidRPr="4ED27E3C">
      <w:fldChar w:fldCharType="begin"/>
    </w:r>
    <w:r>
      <w:rPr>
        <w:noProof/>
      </w:rPr>
      <w:instrText xml:space="preserve"> STYLEREF  CoverTitle </w:instrText>
    </w:r>
    <w:r w:rsidRPr="4ED27E3C">
      <w:rPr>
        <w:noProof/>
      </w:rPr>
      <w:fldChar w:fldCharType="separate"/>
    </w:r>
    <w:r w:rsidR="00B177F5">
      <w:rPr>
        <w:noProof/>
      </w:rPr>
      <w:t>Hydrogeology of the Beetaloo GBA region</w:t>
    </w:r>
    <w:r w:rsidRPr="4ED27E3C">
      <w:fldChar w:fldCharType="end"/>
    </w:r>
    <w:r>
      <w:t xml:space="preserve"> </w:t>
    </w:r>
    <w:r>
      <w:rPr>
        <w:rStyle w:val="PageNumber"/>
      </w:rPr>
      <w:t xml:space="preserve">| </w:t>
    </w:r>
    <w:r w:rsidRPr="00FB1DF1">
      <w:rPr>
        <w:rStyle w:val="PageNumber"/>
        <w:noProof/>
        <w:sz w:val="18"/>
        <w:szCs w:val="18"/>
      </w:rPr>
      <w:fldChar w:fldCharType="begin"/>
    </w:r>
    <w:r w:rsidRPr="00FB1DF1">
      <w:rPr>
        <w:rStyle w:val="PageNumber"/>
        <w:sz w:val="18"/>
        <w:szCs w:val="18"/>
      </w:rPr>
      <w:instrText xml:space="preserve"> PAGE </w:instrText>
    </w:r>
    <w:r w:rsidRPr="00FB1DF1">
      <w:rPr>
        <w:rStyle w:val="PageNumber"/>
        <w:sz w:val="18"/>
        <w:szCs w:val="18"/>
      </w:rPr>
      <w:fldChar w:fldCharType="separate"/>
    </w:r>
    <w:r w:rsidRPr="00FB1DF1">
      <w:rPr>
        <w:rStyle w:val="PageNumber"/>
        <w:noProof/>
        <w:sz w:val="18"/>
        <w:szCs w:val="18"/>
      </w:rPr>
      <w:t>155</w:t>
    </w:r>
    <w:r w:rsidRPr="00FB1DF1">
      <w:rPr>
        <w:rStyle w:val="PageNumber"/>
        <w:noProof/>
        <w:sz w:val="18"/>
        <w:szCs w:val="18"/>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EAE0BE" w14:textId="77777777" w:rsidR="006E0CDA" w:rsidRDefault="006E0CDA" w:rsidP="00AE0D97">
    <w:pPr>
      <w:pStyle w:val="Footer"/>
      <w:tabs>
        <w:tab w:val="clear" w:pos="4513"/>
        <w:tab w:val="clear" w:pos="9026"/>
      </w:tabs>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09E98C" w14:textId="0D1A2F14" w:rsidR="006E0CDA" w:rsidRDefault="006E0CDA">
    <w:pPr>
      <w:pStyle w:val="Footer"/>
    </w:pPr>
    <w:r w:rsidRPr="4ED27E3C">
      <w:fldChar w:fldCharType="begin"/>
    </w:r>
    <w:r>
      <w:rPr>
        <w:noProof/>
      </w:rPr>
      <w:instrText xml:space="preserve"> STYLEREF  CoverTitle </w:instrText>
    </w:r>
    <w:r w:rsidRPr="4ED27E3C">
      <w:rPr>
        <w:noProof/>
      </w:rPr>
      <w:fldChar w:fldCharType="separate"/>
    </w:r>
    <w:r w:rsidR="00B177F5">
      <w:rPr>
        <w:noProof/>
      </w:rPr>
      <w:t>Hydrogeology of the Beetaloo GBA region</w:t>
    </w:r>
    <w:r w:rsidRPr="4ED27E3C">
      <w:fldChar w:fldCharType="end"/>
    </w:r>
    <w:r w:rsidRPr="00C0099E">
      <w:t xml:space="preserve"> | </w:t>
    </w:r>
    <w:r w:rsidRPr="4ED27E3C">
      <w:rPr>
        <w:rStyle w:val="PageNumber"/>
        <w:noProof/>
        <w:sz w:val="18"/>
        <w:szCs w:val="18"/>
      </w:rPr>
      <w:fldChar w:fldCharType="begin"/>
    </w:r>
    <w:r w:rsidRPr="00C0099E">
      <w:rPr>
        <w:rStyle w:val="PageNumber"/>
        <w:sz w:val="18"/>
      </w:rPr>
      <w:instrText xml:space="preserve"> PAGE </w:instrText>
    </w:r>
    <w:r w:rsidRPr="4ED27E3C">
      <w:rPr>
        <w:rStyle w:val="PageNumber"/>
        <w:sz w:val="18"/>
      </w:rPr>
      <w:fldChar w:fldCharType="separate"/>
    </w:r>
    <w:r>
      <w:rPr>
        <w:rStyle w:val="PageNumber"/>
        <w:noProof/>
        <w:sz w:val="18"/>
      </w:rPr>
      <w:t>iii</w:t>
    </w:r>
    <w:r w:rsidRPr="4ED27E3C">
      <w:rPr>
        <w:rStyle w:val="PageNumber"/>
        <w:noProof/>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A58DAF" w14:textId="12E6CCFE" w:rsidR="006E0CDA" w:rsidRPr="00D6286D" w:rsidRDefault="006E0CDA" w:rsidP="00EE62F5">
    <w:pPr>
      <w:pStyle w:val="CoverFooter"/>
    </w:pPr>
    <w:r w:rsidRPr="005B646D">
      <w:t xml:space="preserve">A scientific collaboration between the Department </w:t>
    </w:r>
    <w:r>
      <w:t>of Agriculture, Water and the</w:t>
    </w:r>
    <w:r w:rsidRPr="005B646D">
      <w:t xml:space="preserve"> Environment, </w:t>
    </w:r>
    <w:r>
      <w:br/>
    </w:r>
    <w:r w:rsidRPr="005B646D">
      <w:t>Bureau of Meteorology, CSIRO and Geoscience Australia</w:t>
    </w:r>
    <w:r w:rsidRPr="00D6286D">
      <w:rPr>
        <w:noProof/>
      </w:rPr>
      <w:drawing>
        <wp:anchor distT="0" distB="0" distL="114300" distR="114300" simplePos="0" relativeHeight="251658243" behindDoc="1" locked="1" layoutInCell="1" allowOverlap="1" wp14:anchorId="112CC08C" wp14:editId="27B5BFC6">
          <wp:simplePos x="0" y="0"/>
          <wp:positionH relativeFrom="page">
            <wp:posOffset>0</wp:posOffset>
          </wp:positionH>
          <wp:positionV relativeFrom="page">
            <wp:posOffset>9157335</wp:posOffset>
          </wp:positionV>
          <wp:extent cx="7570470" cy="1838325"/>
          <wp:effectExtent l="0" t="0" r="0" b="9525"/>
          <wp:wrapNone/>
          <wp:docPr id="43" name="Picture 43" descr="backgroun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ackground image"/>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70470" cy="1838325"/>
                  </a:xfrm>
                  <a:prstGeom prst="rect">
                    <a:avLst/>
                  </a:prstGeom>
                  <a:noFill/>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DAC9E3" w14:textId="76DDB569" w:rsidR="006E0CDA" w:rsidRDefault="006E0CDA" w:rsidP="00AE0D97">
    <w:pPr>
      <w:pStyle w:val="Footer"/>
      <w:tabs>
        <w:tab w:val="clear" w:pos="4513"/>
        <w:tab w:val="clear" w:pos="9026"/>
      </w:tabs>
    </w:pPr>
    <w:r w:rsidRPr="4ED27E3C">
      <w:rPr>
        <w:rStyle w:val="PageNumber"/>
        <w:noProof/>
      </w:rPr>
      <w:fldChar w:fldCharType="begin"/>
    </w:r>
    <w:r>
      <w:rPr>
        <w:rStyle w:val="PageNumber"/>
      </w:rPr>
      <w:instrText xml:space="preserve"> PAGE </w:instrText>
    </w:r>
    <w:r w:rsidRPr="4ED27E3C">
      <w:rPr>
        <w:rStyle w:val="PageNumber"/>
      </w:rPr>
      <w:fldChar w:fldCharType="separate"/>
    </w:r>
    <w:r>
      <w:rPr>
        <w:rStyle w:val="PageNumber"/>
        <w:noProof/>
      </w:rPr>
      <w:t>ii</w:t>
    </w:r>
    <w:r w:rsidRPr="4ED27E3C">
      <w:rPr>
        <w:rStyle w:val="PageNumber"/>
        <w:noProof/>
      </w:rPr>
      <w:fldChar w:fldCharType="end"/>
    </w:r>
    <w:r>
      <w:rPr>
        <w:rStyle w:val="PageNumber"/>
      </w:rPr>
      <w:t xml:space="preserve"> | </w:t>
    </w:r>
    <w:r w:rsidRPr="4ED27E3C">
      <w:fldChar w:fldCharType="begin"/>
    </w:r>
    <w:r>
      <w:rPr>
        <w:noProof/>
      </w:rPr>
      <w:instrText xml:space="preserve"> STYLEREF  CoverTitle </w:instrText>
    </w:r>
    <w:r w:rsidRPr="4ED27E3C">
      <w:rPr>
        <w:noProof/>
      </w:rPr>
      <w:fldChar w:fldCharType="separate"/>
    </w:r>
    <w:r w:rsidR="00B177F5">
      <w:rPr>
        <w:noProof/>
      </w:rPr>
      <w:t>Hydrogeology of the Beetaloo GBA region</w:t>
    </w:r>
    <w:r w:rsidRPr="4ED27E3C">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A7CA29" w14:textId="54C67C7B" w:rsidR="006E0CDA" w:rsidRDefault="006E0CDA">
    <w:pPr>
      <w:pStyle w:val="Footer"/>
    </w:pPr>
    <w:r>
      <w:rPr>
        <w:noProof/>
      </w:rPr>
      <w:ptab w:relativeTo="margin" w:alignment="right" w:leader="none"/>
    </w:r>
    <w:r w:rsidRPr="4ED27E3C">
      <w:fldChar w:fldCharType="begin"/>
    </w:r>
    <w:r>
      <w:rPr>
        <w:noProof/>
      </w:rPr>
      <w:instrText xml:space="preserve"> STYLEREF  CoverTitle </w:instrText>
    </w:r>
    <w:r w:rsidRPr="4ED27E3C">
      <w:rPr>
        <w:noProof/>
      </w:rPr>
      <w:fldChar w:fldCharType="separate"/>
    </w:r>
    <w:r w:rsidR="00B177F5">
      <w:rPr>
        <w:noProof/>
      </w:rPr>
      <w:t>Hydrogeology of the Beetaloo GBA region</w:t>
    </w:r>
    <w:r w:rsidRPr="4ED27E3C">
      <w:fldChar w:fldCharType="end"/>
    </w:r>
    <w:r w:rsidRPr="00C0099E">
      <w:t xml:space="preserve"> | </w:t>
    </w:r>
    <w:r w:rsidRPr="4ED27E3C">
      <w:rPr>
        <w:rStyle w:val="PageNumber"/>
        <w:noProof/>
        <w:sz w:val="18"/>
        <w:szCs w:val="18"/>
      </w:rPr>
      <w:fldChar w:fldCharType="begin"/>
    </w:r>
    <w:r w:rsidRPr="00C0099E">
      <w:rPr>
        <w:rStyle w:val="PageNumber"/>
        <w:sz w:val="18"/>
      </w:rPr>
      <w:instrText xml:space="preserve"> PAGE </w:instrText>
    </w:r>
    <w:r w:rsidRPr="4ED27E3C">
      <w:rPr>
        <w:rStyle w:val="PageNumber"/>
        <w:sz w:val="18"/>
      </w:rPr>
      <w:fldChar w:fldCharType="separate"/>
    </w:r>
    <w:r>
      <w:rPr>
        <w:rStyle w:val="PageNumber"/>
        <w:noProof/>
        <w:sz w:val="18"/>
      </w:rPr>
      <w:t>i</w:t>
    </w:r>
    <w:r w:rsidRPr="4ED27E3C">
      <w:rPr>
        <w:rStyle w:val="PageNumber"/>
        <w:noProof/>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A4A568" w14:textId="727FFA9B" w:rsidR="006E0CDA" w:rsidRPr="00D6286D" w:rsidRDefault="006E0CDA" w:rsidP="00EE62F5">
    <w:pPr>
      <w:pStyle w:val="CoverFooter"/>
    </w:pPr>
    <w:r>
      <w:t xml:space="preserve">A scientific collaboration between the Department of the Environment and Energy, </w:t>
    </w:r>
    <w:r>
      <w:br/>
      <w:t>Bureau of Meteorology, CSIRO and Geoscience Australia</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4307B6" w14:textId="2F6470C0" w:rsidR="006E0CDA" w:rsidRDefault="006E0CDA" w:rsidP="00AE0D97">
    <w:pPr>
      <w:pStyle w:val="Footer"/>
      <w:tabs>
        <w:tab w:val="clear" w:pos="4513"/>
        <w:tab w:val="clear" w:pos="9026"/>
      </w:tabs>
    </w:pPr>
    <w:r w:rsidRPr="002B5E26">
      <w:rPr>
        <w:rStyle w:val="PageNumber"/>
        <w:noProof/>
        <w:sz w:val="18"/>
        <w:szCs w:val="18"/>
      </w:rPr>
      <w:fldChar w:fldCharType="begin"/>
    </w:r>
    <w:r w:rsidRPr="002B5E26">
      <w:rPr>
        <w:rStyle w:val="PageNumber"/>
        <w:sz w:val="18"/>
        <w:szCs w:val="18"/>
      </w:rPr>
      <w:instrText xml:space="preserve"> PAGE </w:instrText>
    </w:r>
    <w:r w:rsidRPr="002B5E26">
      <w:rPr>
        <w:rStyle w:val="PageNumber"/>
        <w:sz w:val="18"/>
        <w:szCs w:val="18"/>
      </w:rPr>
      <w:fldChar w:fldCharType="separate"/>
    </w:r>
    <w:r w:rsidRPr="002B5E26">
      <w:rPr>
        <w:rStyle w:val="PageNumber"/>
        <w:noProof/>
        <w:sz w:val="18"/>
        <w:szCs w:val="18"/>
      </w:rPr>
      <w:t>92</w:t>
    </w:r>
    <w:r w:rsidRPr="002B5E26">
      <w:rPr>
        <w:rStyle w:val="PageNumber"/>
        <w:noProof/>
        <w:sz w:val="18"/>
        <w:szCs w:val="18"/>
      </w:rPr>
      <w:fldChar w:fldCharType="end"/>
    </w:r>
    <w:r>
      <w:rPr>
        <w:rStyle w:val="PageNumber"/>
      </w:rPr>
      <w:t xml:space="preserve"> | </w:t>
    </w:r>
    <w:r w:rsidRPr="4ED27E3C">
      <w:fldChar w:fldCharType="begin"/>
    </w:r>
    <w:r>
      <w:rPr>
        <w:noProof/>
      </w:rPr>
      <w:instrText xml:space="preserve"> STYLEREF  CoverTitle </w:instrText>
    </w:r>
    <w:r w:rsidRPr="4ED27E3C">
      <w:rPr>
        <w:noProof/>
      </w:rPr>
      <w:fldChar w:fldCharType="separate"/>
    </w:r>
    <w:r w:rsidR="00B177F5">
      <w:rPr>
        <w:noProof/>
      </w:rPr>
      <w:t>Hydrogeology of the Beetaloo GBA region</w:t>
    </w:r>
    <w:r w:rsidRPr="4ED27E3C">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4839F4" w14:textId="49F26DDE" w:rsidR="006E0CDA" w:rsidRDefault="006E0CDA" w:rsidP="00265B73">
    <w:pPr>
      <w:pStyle w:val="Footer"/>
      <w:jc w:val="right"/>
    </w:pPr>
    <w:r w:rsidRPr="4ED27E3C">
      <w:fldChar w:fldCharType="begin"/>
    </w:r>
    <w:r>
      <w:rPr>
        <w:noProof/>
      </w:rPr>
      <w:instrText xml:space="preserve"> STYLEREF  CoverTitle </w:instrText>
    </w:r>
    <w:r w:rsidRPr="4ED27E3C">
      <w:rPr>
        <w:noProof/>
      </w:rPr>
      <w:fldChar w:fldCharType="separate"/>
    </w:r>
    <w:r w:rsidR="00B177F5">
      <w:rPr>
        <w:noProof/>
      </w:rPr>
      <w:t>Hydrogeology of the Beetaloo GBA region</w:t>
    </w:r>
    <w:r w:rsidRPr="4ED27E3C">
      <w:fldChar w:fldCharType="end"/>
    </w:r>
    <w:r w:rsidRPr="00C0099E">
      <w:t xml:space="preserve"> | </w:t>
    </w:r>
    <w:r w:rsidRPr="4ED27E3C">
      <w:rPr>
        <w:rStyle w:val="PageNumber"/>
        <w:noProof/>
        <w:sz w:val="18"/>
        <w:szCs w:val="18"/>
      </w:rPr>
      <w:fldChar w:fldCharType="begin"/>
    </w:r>
    <w:r w:rsidRPr="00C0099E">
      <w:rPr>
        <w:rStyle w:val="PageNumber"/>
        <w:sz w:val="18"/>
      </w:rPr>
      <w:instrText xml:space="preserve"> PAGE </w:instrText>
    </w:r>
    <w:r w:rsidRPr="4ED27E3C">
      <w:rPr>
        <w:rStyle w:val="PageNumber"/>
        <w:sz w:val="18"/>
      </w:rPr>
      <w:fldChar w:fldCharType="separate"/>
    </w:r>
    <w:r>
      <w:rPr>
        <w:rStyle w:val="PageNumber"/>
        <w:noProof/>
        <w:sz w:val="18"/>
      </w:rPr>
      <w:t>ix</w:t>
    </w:r>
    <w:r w:rsidRPr="4ED27E3C">
      <w:rPr>
        <w:rStyle w:val="PageNumber"/>
        <w:noProof/>
        <w:sz w:val="18"/>
        <w:szCs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DF6FBC" w14:textId="5526DF53" w:rsidR="006E0CDA" w:rsidRPr="00C0099E" w:rsidRDefault="006E0CDA" w:rsidP="001901B1">
    <w:pPr>
      <w:pStyle w:val="Footer"/>
      <w:jc w:val="right"/>
    </w:pPr>
    <w:r w:rsidRPr="4ED27E3C">
      <w:fldChar w:fldCharType="begin"/>
    </w:r>
    <w:r>
      <w:rPr>
        <w:noProof/>
      </w:rPr>
      <w:instrText xml:space="preserve"> STYLEREF  CoverTitle </w:instrText>
    </w:r>
    <w:r w:rsidRPr="4ED27E3C">
      <w:rPr>
        <w:noProof/>
      </w:rPr>
      <w:fldChar w:fldCharType="separate"/>
    </w:r>
    <w:r w:rsidR="00B177F5">
      <w:rPr>
        <w:noProof/>
      </w:rPr>
      <w:t>Hydrogeology of the Beetaloo GBA region</w:t>
    </w:r>
    <w:r w:rsidRPr="4ED27E3C">
      <w:fldChar w:fldCharType="end"/>
    </w:r>
    <w:r w:rsidRPr="00C0099E">
      <w:t xml:space="preserve"> | </w:t>
    </w:r>
    <w:r w:rsidRPr="4ED27E3C">
      <w:rPr>
        <w:rStyle w:val="PageNumber"/>
        <w:noProof/>
        <w:sz w:val="18"/>
        <w:szCs w:val="18"/>
      </w:rPr>
      <w:fldChar w:fldCharType="begin"/>
    </w:r>
    <w:r w:rsidRPr="00C0099E">
      <w:rPr>
        <w:rStyle w:val="PageNumber"/>
        <w:sz w:val="18"/>
      </w:rPr>
      <w:instrText xml:space="preserve"> PAGE </w:instrText>
    </w:r>
    <w:r w:rsidRPr="4ED27E3C">
      <w:rPr>
        <w:rStyle w:val="PageNumber"/>
        <w:sz w:val="18"/>
      </w:rPr>
      <w:fldChar w:fldCharType="separate"/>
    </w:r>
    <w:r>
      <w:rPr>
        <w:rStyle w:val="PageNumber"/>
        <w:noProof/>
        <w:sz w:val="18"/>
      </w:rPr>
      <w:t>27</w:t>
    </w:r>
    <w:r w:rsidRPr="4ED27E3C">
      <w:rPr>
        <w:rStyle w:val="PageNumber"/>
        <w:noProof/>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21E4D8D" w14:textId="77777777" w:rsidR="00C761B1" w:rsidRDefault="00C761B1">
      <w:r>
        <w:separator/>
      </w:r>
    </w:p>
  </w:footnote>
  <w:footnote w:type="continuationSeparator" w:id="0">
    <w:p w14:paraId="75933476" w14:textId="77777777" w:rsidR="00C761B1" w:rsidRDefault="00C761B1">
      <w:r>
        <w:continuationSeparator/>
      </w:r>
    </w:p>
  </w:footnote>
  <w:footnote w:type="continuationNotice" w:id="1">
    <w:p w14:paraId="4A3E6CB5" w14:textId="77777777" w:rsidR="00C761B1" w:rsidRDefault="00C761B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6A0" w:firstRow="1" w:lastRow="0" w:firstColumn="1" w:lastColumn="0" w:noHBand="1" w:noVBand="1"/>
    </w:tblPr>
    <w:tblGrid>
      <w:gridCol w:w="3213"/>
      <w:gridCol w:w="3213"/>
      <w:gridCol w:w="3213"/>
    </w:tblGrid>
    <w:tr w:rsidR="006E0CDA" w14:paraId="12C19CB6" w14:textId="77777777" w:rsidTr="09862F78">
      <w:tc>
        <w:tcPr>
          <w:tcW w:w="3213" w:type="dxa"/>
        </w:tcPr>
        <w:p w14:paraId="7D055E52" w14:textId="7949DF2D" w:rsidR="006E0CDA" w:rsidRDefault="006E0CDA" w:rsidP="09862F78">
          <w:pPr>
            <w:pStyle w:val="Header"/>
            <w:ind w:left="-115"/>
          </w:pPr>
        </w:p>
      </w:tc>
      <w:tc>
        <w:tcPr>
          <w:tcW w:w="3213" w:type="dxa"/>
        </w:tcPr>
        <w:p w14:paraId="051C0752" w14:textId="5E3E4E1F" w:rsidR="006E0CDA" w:rsidRDefault="006E0CDA" w:rsidP="09862F78">
          <w:pPr>
            <w:pStyle w:val="Header"/>
            <w:jc w:val="center"/>
          </w:pPr>
        </w:p>
      </w:tc>
      <w:tc>
        <w:tcPr>
          <w:tcW w:w="3213" w:type="dxa"/>
        </w:tcPr>
        <w:p w14:paraId="3C504C61" w14:textId="779DAE32" w:rsidR="006E0CDA" w:rsidRDefault="006E0CDA" w:rsidP="09862F78">
          <w:pPr>
            <w:pStyle w:val="Header"/>
            <w:ind w:right="-115"/>
            <w:jc w:val="right"/>
          </w:pPr>
        </w:p>
      </w:tc>
    </w:tr>
  </w:tbl>
  <w:p w14:paraId="79C865F4" w14:textId="18457D2C" w:rsidR="006E0CDA" w:rsidRDefault="006E0CDA" w:rsidP="09862F78">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5466C9" w14:textId="2B3020A8" w:rsidR="006E0CDA" w:rsidRPr="00977621" w:rsidRDefault="006E0CDA" w:rsidP="00977621">
    <w:pPr>
      <w:pStyle w:val="HeaderSection"/>
    </w:pPr>
    <w:r>
      <w:rPr>
        <w:noProof/>
      </w:rPr>
      <mc:AlternateContent>
        <mc:Choice Requires="wps">
          <w:drawing>
            <wp:anchor distT="0" distB="0" distL="114300" distR="114300" simplePos="0" relativeHeight="251658247" behindDoc="0" locked="1" layoutInCell="1" allowOverlap="1" wp14:anchorId="46770799" wp14:editId="003EA3C2">
              <wp:simplePos x="0" y="0"/>
              <wp:positionH relativeFrom="column">
                <wp:posOffset>-697230</wp:posOffset>
              </wp:positionH>
              <wp:positionV relativeFrom="margin">
                <wp:posOffset>53975</wp:posOffset>
              </wp:positionV>
              <wp:extent cx="601980" cy="7479030"/>
              <wp:effectExtent l="0" t="0" r="0" b="7620"/>
              <wp:wrapNone/>
              <wp:docPr id="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E27638" w14:textId="77777777" w:rsidR="006E0CDA" w:rsidRPr="00500A4A" w:rsidRDefault="006E0CDA" w:rsidP="00546A3D">
                          <w:pPr>
                            <w:pStyle w:val="HeaderComponent"/>
                            <w:rPr>
                              <w:color w:val="146692" w:themeColor="text2"/>
                            </w:rPr>
                          </w:pPr>
                          <w:r w:rsidRPr="00500A4A">
                            <w:rPr>
                              <w:color w:val="146692" w:themeColor="text2"/>
                            </w:rPr>
                            <w:t>Stage 2:</w:t>
                          </w:r>
                          <w:r>
                            <w:rPr>
                              <w:color w:val="146692" w:themeColor="text2"/>
                            </w:rPr>
                            <w:t xml:space="preserve"> Hydrogeology technical appendix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770799" id="_x0000_t202" coordsize="21600,21600" o:spt="202" path="m,l,21600r21600,l21600,xe">
              <v:stroke joinstyle="miter"/>
              <v:path gradientshapeok="t" o:connecttype="rect"/>
            </v:shapetype>
            <v:shape id="_x0000_s1028" type="#_x0000_t202" style="position:absolute;margin-left:-54.9pt;margin-top:4.25pt;width:47.4pt;height:588.9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" filled="f" stroked="f">
              <v:textbox style="layout-flow:vertical;mso-layout-flow-alt:bottom-to-top">
                <w:txbxContent>
                  <w:p w14:paraId="16E27638" w14:textId="77777777" w:rsidR="006E0CDA" w:rsidRPr="00500A4A" w:rsidRDefault="006E0CDA" w:rsidP="00546A3D">
                    <w:pPr>
                      <w:pStyle w:val="HeaderComponent"/>
                      <w:rPr>
                        <w:color w:val="146692" w:themeColor="text2"/>
                      </w:rPr>
                    </w:pPr>
                    <w:r w:rsidRPr="00500A4A">
                      <w:rPr>
                        <w:color w:val="146692" w:themeColor="text2"/>
                      </w:rPr>
                      <w:t>Stage 2:</w:t>
                    </w:r>
                    <w:r>
                      <w:rPr>
                        <w:color w:val="146692" w:themeColor="text2"/>
                      </w:rPr>
                      <w:t xml:space="preserve"> Hydrogeology technical appendix</w:t>
                    </w:r>
                  </w:p>
                </w:txbxContent>
              </v:textbox>
              <w10:wrap anchory="margin"/>
              <w10:anchorlock/>
            </v:shape>
          </w:pict>
        </mc:Fallback>
      </mc:AlternateContent>
    </w:r>
    <w:r>
      <w:rPr>
        <w:noProof/>
      </w:rPr>
      <w:fldChar w:fldCharType="begin"/>
    </w:r>
    <w:r>
      <w:rPr>
        <w:noProof/>
      </w:rPr>
      <w:instrText xml:space="preserve"> STYLEREF  "Heading 2" \n  \* MERGEFORMAT </w:instrText>
    </w:r>
    <w:r>
      <w:rPr>
        <w:noProof/>
      </w:rPr>
      <w:fldChar w:fldCharType="separate"/>
    </w:r>
    <w:r w:rsidR="00B177F5">
      <w:rPr>
        <w:noProof/>
      </w:rPr>
      <w:t>2</w:t>
    </w:r>
    <w:r>
      <w:rPr>
        <w:noProof/>
      </w:rPr>
      <w:fldChar w:fldCharType="end"/>
    </w:r>
    <w:r>
      <w:t xml:space="preserve"> </w:t>
    </w:r>
    <w:r>
      <w:rPr>
        <w:noProof/>
      </w:rPr>
      <w:fldChar w:fldCharType="begin"/>
    </w:r>
    <w:r>
      <w:rPr>
        <w:noProof/>
      </w:rPr>
      <w:instrText xml:space="preserve"> STYLEREF  "Heading 2" </w:instrText>
    </w:r>
    <w:r>
      <w:rPr>
        <w:noProof/>
      </w:rPr>
      <w:fldChar w:fldCharType="separate"/>
    </w:r>
    <w:r w:rsidR="00B177F5">
      <w:rPr>
        <w:noProof/>
      </w:rPr>
      <w:t>Groundwater data inventory</w:t>
    </w:r>
    <w:r>
      <w:rPr>
        <w:noProof/>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7161C7" w14:textId="180FDFDF" w:rsidR="006E0CDA" w:rsidRPr="00977621" w:rsidRDefault="006E0CDA" w:rsidP="00977621">
    <w:pPr>
      <w:pStyle w:val="HeaderSection"/>
      <w:jc w:val="right"/>
    </w:pPr>
    <w:r>
      <w:rPr>
        <w:noProof/>
      </w:rPr>
      <w:fldChar w:fldCharType="begin"/>
    </w:r>
    <w:r>
      <w:rPr>
        <w:noProof/>
      </w:rPr>
      <w:instrText xml:space="preserve"> STYLEREF  "Heading 2" \n  \* MERGEFORMAT </w:instrText>
    </w:r>
    <w:r>
      <w:rPr>
        <w:noProof/>
      </w:rPr>
      <w:fldChar w:fldCharType="separate"/>
    </w:r>
    <w:r w:rsidR="00B177F5">
      <w:rPr>
        <w:noProof/>
      </w:rPr>
      <w:t>2</w:t>
    </w:r>
    <w:r>
      <w:rPr>
        <w:noProof/>
      </w:rPr>
      <w:fldChar w:fldCharType="end"/>
    </w:r>
    <w:r>
      <w:t xml:space="preserve"> </w:t>
    </w:r>
    <w:r>
      <w:rPr>
        <w:noProof/>
      </w:rPr>
      <w:fldChar w:fldCharType="begin"/>
    </w:r>
    <w:r>
      <w:rPr>
        <w:noProof/>
      </w:rPr>
      <w:instrText xml:space="preserve"> STYLEREF  "Heading 2" </w:instrText>
    </w:r>
    <w:r>
      <w:rPr>
        <w:noProof/>
      </w:rPr>
      <w:fldChar w:fldCharType="separate"/>
    </w:r>
    <w:r w:rsidR="00B177F5">
      <w:rPr>
        <w:noProof/>
      </w:rPr>
      <w:t>Groundwater data inventory</w:t>
    </w:r>
    <w:r>
      <w:rPr>
        <w:noProof/>
      </w:rPr>
      <w:fldChar w:fldCharType="end"/>
    </w:r>
    <w:r>
      <w:rPr>
        <w:noProof/>
      </w:rPr>
      <mc:AlternateContent>
        <mc:Choice Requires="wps">
          <w:drawing>
            <wp:anchor distT="0" distB="0" distL="114300" distR="114300" simplePos="0" relativeHeight="251658242" behindDoc="0" locked="1" layoutInCell="1" allowOverlap="1" wp14:anchorId="46C0BD26" wp14:editId="6B253AEF">
              <wp:simplePos x="0" y="0"/>
              <wp:positionH relativeFrom="column">
                <wp:posOffset>6189345</wp:posOffset>
              </wp:positionH>
              <wp:positionV relativeFrom="margin">
                <wp:posOffset>0</wp:posOffset>
              </wp:positionV>
              <wp:extent cx="683895" cy="7479030"/>
              <wp:effectExtent l="0" t="0" r="0" b="0"/>
              <wp:wrapNone/>
              <wp:docPr id="1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B2ECB9" w14:textId="59C34016" w:rsidR="006E0CDA" w:rsidRPr="00546A3D" w:rsidRDefault="006E0CDA" w:rsidP="005C0B56">
                          <w:pPr>
                            <w:pStyle w:val="HeaderComponent"/>
                            <w:jc w:val="left"/>
                            <w:rPr>
                              <w:color w:val="146692" w:themeColor="text2"/>
                            </w:rPr>
                          </w:pPr>
                          <w:r w:rsidRPr="00500A4A">
                            <w:rPr>
                              <w:color w:val="146692" w:themeColor="text2"/>
                            </w:rPr>
                            <w:t xml:space="preserve">Stage 2: </w:t>
                          </w:r>
                          <w:r>
                            <w:rPr>
                              <w:color w:val="146692" w:themeColor="text2"/>
                            </w:rPr>
                            <w:t>Hydrogeology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C0BD26" id="_x0000_t202" coordsize="21600,21600" o:spt="202" path="m,l,21600r21600,l21600,xe">
              <v:stroke joinstyle="miter"/>
              <v:path gradientshapeok="t" o:connecttype="rect"/>
            </v:shapetype>
            <v:shape id="_x0000_s1029" type="#_x0000_t202" style="position:absolute;left:0;text-align:left;margin-left:487.35pt;margin-top:0;width:53.85pt;height:588.9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" filled="f" stroked="f">
              <v:textbox style="layout-flow:vertical">
                <w:txbxContent>
                  <w:p w14:paraId="73B2ECB9" w14:textId="59C34016" w:rsidR="006E0CDA" w:rsidRPr="00546A3D" w:rsidRDefault="006E0CDA" w:rsidP="005C0B56">
                    <w:pPr>
                      <w:pStyle w:val="HeaderComponent"/>
                      <w:jc w:val="left"/>
                      <w:rPr>
                        <w:color w:val="146692" w:themeColor="text2"/>
                      </w:rPr>
                    </w:pPr>
                    <w:r w:rsidRPr="00500A4A">
                      <w:rPr>
                        <w:color w:val="146692" w:themeColor="text2"/>
                      </w:rPr>
                      <w:t xml:space="preserve">Stage 2: </w:t>
                    </w:r>
                    <w:r>
                      <w:rPr>
                        <w:color w:val="146692" w:themeColor="text2"/>
                      </w:rPr>
                      <w:t>Hydrogeology technical appendix</w:t>
                    </w:r>
                  </w:p>
                </w:txbxContent>
              </v:textbox>
              <w10:wrap anchory="margin"/>
              <w10:anchorlock/>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FED67C" w14:textId="206B80B0" w:rsidR="006E0CDA" w:rsidRPr="00977621" w:rsidRDefault="006E0CDA" w:rsidP="00977621">
    <w:pPr>
      <w:pStyle w:val="HeaderSection"/>
    </w:pPr>
    <w:r>
      <w:rPr>
        <w:noProof/>
      </w:rPr>
      <mc:AlternateContent>
        <mc:Choice Requires="wps">
          <w:drawing>
            <wp:anchor distT="0" distB="0" distL="114300" distR="114300" simplePos="0" relativeHeight="251658248" behindDoc="0" locked="1" layoutInCell="1" allowOverlap="1" wp14:anchorId="48770C4B" wp14:editId="1A1F6A65">
              <wp:simplePos x="0" y="0"/>
              <wp:positionH relativeFrom="column">
                <wp:posOffset>-697230</wp:posOffset>
              </wp:positionH>
              <wp:positionV relativeFrom="margin">
                <wp:posOffset>53975</wp:posOffset>
              </wp:positionV>
              <wp:extent cx="601980" cy="7479030"/>
              <wp:effectExtent l="0" t="0" r="0" b="7620"/>
              <wp:wrapNone/>
              <wp:docPr id="1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CDE16B" w14:textId="77777777" w:rsidR="006E0CDA" w:rsidRPr="00500A4A" w:rsidRDefault="006E0CDA" w:rsidP="00546A3D">
                          <w:pPr>
                            <w:pStyle w:val="HeaderComponent"/>
                            <w:rPr>
                              <w:color w:val="146692" w:themeColor="text2"/>
                            </w:rPr>
                          </w:pPr>
                          <w:r w:rsidRPr="00500A4A">
                            <w:rPr>
                              <w:color w:val="146692" w:themeColor="text2"/>
                            </w:rPr>
                            <w:t>Stage 2:</w:t>
                          </w:r>
                          <w:r>
                            <w:rPr>
                              <w:color w:val="146692" w:themeColor="text2"/>
                            </w:rPr>
                            <w:t xml:space="preserve"> Hydrogeology technical appendix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770C4B" id="_x0000_t202" coordsize="21600,21600" o:spt="202" path="m,l,21600r21600,l21600,xe">
              <v:stroke joinstyle="miter"/>
              <v:path gradientshapeok="t" o:connecttype="rect"/>
            </v:shapetype>
            <v:shape id="_x0000_s1030" type="#_x0000_t202" style="position:absolute;margin-left:-54.9pt;margin-top:4.25pt;width:47.4pt;height:588.9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" filled="f" stroked="f">
              <v:textbox style="layout-flow:vertical;mso-layout-flow-alt:bottom-to-top">
                <w:txbxContent>
                  <w:p w14:paraId="0CCDE16B" w14:textId="77777777" w:rsidR="006E0CDA" w:rsidRPr="00500A4A" w:rsidRDefault="006E0CDA" w:rsidP="00546A3D">
                    <w:pPr>
                      <w:pStyle w:val="HeaderComponent"/>
                      <w:rPr>
                        <w:color w:val="146692" w:themeColor="text2"/>
                      </w:rPr>
                    </w:pPr>
                    <w:r w:rsidRPr="00500A4A">
                      <w:rPr>
                        <w:color w:val="146692" w:themeColor="text2"/>
                      </w:rPr>
                      <w:t>Stage 2:</w:t>
                    </w:r>
                    <w:r>
                      <w:rPr>
                        <w:color w:val="146692" w:themeColor="text2"/>
                      </w:rPr>
                      <w:t xml:space="preserve"> Hydrogeology technical appendix</w:t>
                    </w:r>
                  </w:p>
                </w:txbxContent>
              </v:textbox>
              <w10:wrap anchory="margin"/>
              <w10:anchorlock/>
            </v:shape>
          </w:pict>
        </mc:Fallback>
      </mc:AlternateContent>
    </w:r>
    <w:r>
      <w:rPr>
        <w:noProof/>
      </w:rPr>
      <w:fldChar w:fldCharType="begin"/>
    </w:r>
    <w:r>
      <w:rPr>
        <w:noProof/>
      </w:rPr>
      <w:instrText xml:space="preserve"> STYLEREF  "Heading 2" \n  \* MERGEFORMAT </w:instrText>
    </w:r>
    <w:r>
      <w:rPr>
        <w:noProof/>
      </w:rPr>
      <w:fldChar w:fldCharType="separate"/>
    </w:r>
    <w:r w:rsidR="00B177F5">
      <w:rPr>
        <w:noProof/>
      </w:rPr>
      <w:t>2</w:t>
    </w:r>
    <w:r>
      <w:rPr>
        <w:noProof/>
      </w:rPr>
      <w:fldChar w:fldCharType="end"/>
    </w:r>
    <w:r>
      <w:t xml:space="preserve"> </w:t>
    </w:r>
    <w:r>
      <w:rPr>
        <w:noProof/>
      </w:rPr>
      <w:fldChar w:fldCharType="begin"/>
    </w:r>
    <w:r>
      <w:rPr>
        <w:noProof/>
      </w:rPr>
      <w:instrText xml:space="preserve"> STYLEREF  "Heading 2" </w:instrText>
    </w:r>
    <w:r>
      <w:rPr>
        <w:noProof/>
      </w:rPr>
      <w:fldChar w:fldCharType="separate"/>
    </w:r>
    <w:r w:rsidR="00B177F5">
      <w:rPr>
        <w:noProof/>
      </w:rPr>
      <w:t>Groundwater data inventory</w:t>
    </w:r>
    <w:r>
      <w:rPr>
        <w:noProof/>
      </w:rPr>
      <w:fldChar w:fldCharType="end"/>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46C2D3" w14:textId="089BEF6F" w:rsidR="006E0CDA" w:rsidRPr="00977621" w:rsidRDefault="006E0CDA" w:rsidP="00977621">
    <w:pPr>
      <w:pStyle w:val="HeaderSection"/>
      <w:jc w:val="right"/>
    </w:pPr>
    <w:r>
      <w:rPr>
        <w:noProof/>
      </w:rPr>
      <mc:AlternateContent>
        <mc:Choice Requires="wps">
          <w:drawing>
            <wp:anchor distT="0" distB="0" distL="114300" distR="114300" simplePos="0" relativeHeight="251658250" behindDoc="0" locked="1" layoutInCell="1" allowOverlap="1" wp14:anchorId="721A8283" wp14:editId="7D34CC9A">
              <wp:simplePos x="0" y="0"/>
              <wp:positionH relativeFrom="column">
                <wp:posOffset>9267825</wp:posOffset>
              </wp:positionH>
              <wp:positionV relativeFrom="margin">
                <wp:posOffset>-4445</wp:posOffset>
              </wp:positionV>
              <wp:extent cx="683895" cy="7479030"/>
              <wp:effectExtent l="0" t="0" r="0" b="0"/>
              <wp:wrapNone/>
              <wp:docPr id="20"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339138" w14:textId="77777777" w:rsidR="006E0CDA" w:rsidRPr="00546A3D" w:rsidRDefault="006E0CDA" w:rsidP="00546A3D">
                          <w:pPr>
                            <w:pStyle w:val="HeaderComponent"/>
                            <w:jc w:val="left"/>
                            <w:rPr>
                              <w:color w:val="146692" w:themeColor="text2"/>
                            </w:rPr>
                          </w:pPr>
                          <w:r w:rsidRPr="00500A4A">
                            <w:rPr>
                              <w:color w:val="146692" w:themeColor="text2"/>
                            </w:rPr>
                            <w:t xml:space="preserve">Stage 2: </w:t>
                          </w:r>
                          <w:r>
                            <w:rPr>
                              <w:color w:val="146692" w:themeColor="text2"/>
                            </w:rPr>
                            <w:t>Hydrogeology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1A8283" id="_x0000_t202" coordsize="21600,21600" o:spt="202" path="m,l,21600r21600,l21600,xe">
              <v:stroke joinstyle="miter"/>
              <v:path gradientshapeok="t" o:connecttype="rect"/>
            </v:shapetype>
            <v:shape id="_x0000_s1031" type="#_x0000_t202" style="position:absolute;left:0;text-align:left;margin-left:729.75pt;margin-top:-.35pt;width:53.85pt;height:588.9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" filled="f" stroked="f">
              <v:textbox style="layout-flow:vertical">
                <w:txbxContent>
                  <w:p w14:paraId="56339138" w14:textId="77777777" w:rsidR="006E0CDA" w:rsidRPr="00546A3D" w:rsidRDefault="006E0CDA" w:rsidP="00546A3D">
                    <w:pPr>
                      <w:pStyle w:val="HeaderComponent"/>
                      <w:jc w:val="left"/>
                      <w:rPr>
                        <w:color w:val="146692" w:themeColor="text2"/>
                      </w:rPr>
                    </w:pPr>
                    <w:r w:rsidRPr="00500A4A">
                      <w:rPr>
                        <w:color w:val="146692" w:themeColor="text2"/>
                      </w:rPr>
                      <w:t xml:space="preserve">Stage 2: </w:t>
                    </w:r>
                    <w:r>
                      <w:rPr>
                        <w:color w:val="146692" w:themeColor="text2"/>
                      </w:rPr>
                      <w:t>Hydrogeology technical appendix</w:t>
                    </w:r>
                  </w:p>
                </w:txbxContent>
              </v:textbox>
              <w10:wrap anchory="margin"/>
              <w10:anchorlock/>
            </v:shape>
          </w:pict>
        </mc:Fallback>
      </mc:AlternateContent>
    </w:r>
    <w:r>
      <w:rPr>
        <w:noProof/>
      </w:rPr>
      <w:fldChar w:fldCharType="begin"/>
    </w:r>
    <w:r>
      <w:rPr>
        <w:noProof/>
      </w:rPr>
      <w:instrText xml:space="preserve"> STYLEREF  "Heading 2" \n  \* MERGEFORMAT </w:instrText>
    </w:r>
    <w:r>
      <w:rPr>
        <w:noProof/>
      </w:rPr>
      <w:fldChar w:fldCharType="separate"/>
    </w:r>
    <w:r w:rsidR="00B177F5">
      <w:rPr>
        <w:noProof/>
      </w:rPr>
      <w:t>2</w:t>
    </w:r>
    <w:r>
      <w:rPr>
        <w:noProof/>
      </w:rPr>
      <w:fldChar w:fldCharType="end"/>
    </w:r>
    <w:r>
      <w:t xml:space="preserve"> </w:t>
    </w:r>
    <w:r>
      <w:rPr>
        <w:noProof/>
      </w:rPr>
      <w:fldChar w:fldCharType="begin"/>
    </w:r>
    <w:r>
      <w:rPr>
        <w:noProof/>
      </w:rPr>
      <w:instrText xml:space="preserve"> STYLEREF  "Heading 2" </w:instrText>
    </w:r>
    <w:r>
      <w:rPr>
        <w:noProof/>
      </w:rPr>
      <w:fldChar w:fldCharType="separate"/>
    </w:r>
    <w:r w:rsidR="00B177F5">
      <w:rPr>
        <w:noProof/>
      </w:rPr>
      <w:t>Groundwater data inventory</w:t>
    </w:r>
    <w:r>
      <w:rPr>
        <w:noProof/>
      </w:rPr>
      <w:fldChar w:fldCharType="end"/>
    </w:r>
    <w:r>
      <w:rPr>
        <w:noProof/>
      </w:rPr>
      <mc:AlternateContent>
        <mc:Choice Requires="wps">
          <w:drawing>
            <wp:anchor distT="0" distB="0" distL="114300" distR="114300" simplePos="0" relativeHeight="251658249" behindDoc="0" locked="1" layoutInCell="1" allowOverlap="1" wp14:anchorId="05ACDC51" wp14:editId="538CC3BA">
              <wp:simplePos x="0" y="0"/>
              <wp:positionH relativeFrom="column">
                <wp:posOffset>6189345</wp:posOffset>
              </wp:positionH>
              <wp:positionV relativeFrom="margin">
                <wp:posOffset>0</wp:posOffset>
              </wp:positionV>
              <wp:extent cx="683895" cy="7479030"/>
              <wp:effectExtent l="0" t="0" r="0" b="0"/>
              <wp:wrapNone/>
              <wp:docPr id="1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9099BB" w14:textId="77777777" w:rsidR="006E0CDA" w:rsidRPr="00546A3D" w:rsidRDefault="006E0CDA" w:rsidP="005C0B56">
                          <w:pPr>
                            <w:pStyle w:val="HeaderComponent"/>
                            <w:jc w:val="left"/>
                            <w:rPr>
                              <w:color w:val="146692" w:themeColor="text2"/>
                            </w:rPr>
                          </w:pPr>
                          <w:r w:rsidRPr="00500A4A">
                            <w:rPr>
                              <w:color w:val="146692" w:themeColor="text2"/>
                            </w:rPr>
                            <w:t xml:space="preserve">Stage 2: </w:t>
                          </w:r>
                          <w:r>
                            <w:rPr>
                              <w:color w:val="146692" w:themeColor="text2"/>
                            </w:rPr>
                            <w:t>Hydrogeology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ACDC51" id="_x0000_s1032" type="#_x0000_t202" style="position:absolute;left:0;text-align:left;margin-left:487.35pt;margin-top:0;width:53.85pt;height:588.9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" filled="f" stroked="f">
              <v:textbox style="layout-flow:vertical">
                <w:txbxContent>
                  <w:p w14:paraId="5A9099BB" w14:textId="77777777" w:rsidR="006E0CDA" w:rsidRPr="00546A3D" w:rsidRDefault="006E0CDA" w:rsidP="005C0B56">
                    <w:pPr>
                      <w:pStyle w:val="HeaderComponent"/>
                      <w:jc w:val="left"/>
                      <w:rPr>
                        <w:color w:val="146692" w:themeColor="text2"/>
                      </w:rPr>
                    </w:pPr>
                    <w:r w:rsidRPr="00500A4A">
                      <w:rPr>
                        <w:color w:val="146692" w:themeColor="text2"/>
                      </w:rPr>
                      <w:t xml:space="preserve">Stage 2: </w:t>
                    </w:r>
                    <w:r>
                      <w:rPr>
                        <w:color w:val="146692" w:themeColor="text2"/>
                      </w:rPr>
                      <w:t>Hydrogeology technical appendix</w:t>
                    </w:r>
                  </w:p>
                </w:txbxContent>
              </v:textbox>
              <w10:wrap anchory="margin"/>
              <w10:anchorlock/>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4E588B" w14:textId="1869C2AC" w:rsidR="006E0CDA" w:rsidRPr="00977621" w:rsidRDefault="006E0CDA" w:rsidP="00977621">
    <w:pPr>
      <w:pStyle w:val="HeaderSection"/>
    </w:pPr>
    <w:r>
      <w:rPr>
        <w:noProof/>
      </w:rPr>
      <w:fldChar w:fldCharType="begin"/>
    </w:r>
    <w:r>
      <w:rPr>
        <w:noProof/>
      </w:rPr>
      <w:instrText xml:space="preserve"> STYLEREF  "Heading 2" \n  \* MERGEFORMAT </w:instrText>
    </w:r>
    <w:r>
      <w:rPr>
        <w:noProof/>
      </w:rPr>
      <w:fldChar w:fldCharType="separate"/>
    </w:r>
    <w:r w:rsidR="00B177F5">
      <w:rPr>
        <w:noProof/>
      </w:rPr>
      <w:t>3</w:t>
    </w:r>
    <w:r>
      <w:rPr>
        <w:noProof/>
      </w:rPr>
      <w:fldChar w:fldCharType="end"/>
    </w:r>
    <w:r>
      <w:t xml:space="preserve"> </w:t>
    </w:r>
    <w:r>
      <w:rPr>
        <w:noProof/>
      </w:rPr>
      <w:fldChar w:fldCharType="begin"/>
    </w:r>
    <w:r>
      <w:rPr>
        <w:noProof/>
      </w:rPr>
      <w:instrText xml:space="preserve"> STYLEREF  "Heading 2" </w:instrText>
    </w:r>
    <w:r>
      <w:rPr>
        <w:noProof/>
      </w:rPr>
      <w:fldChar w:fldCharType="separate"/>
    </w:r>
    <w:r w:rsidR="00B177F5">
      <w:rPr>
        <w:noProof/>
      </w:rPr>
      <w:t>Groundwater system conceptualisation</w:t>
    </w:r>
    <w:r>
      <w:rPr>
        <w:noProof/>
      </w:rPr>
      <w:fldChar w:fldCharType="end"/>
    </w:r>
    <w:r>
      <w:rPr>
        <w:noProof/>
      </w:rPr>
      <mc:AlternateContent>
        <mc:Choice Requires="wps">
          <w:drawing>
            <wp:anchor distT="0" distB="0" distL="114300" distR="114300" simplePos="0" relativeHeight="251658244" behindDoc="0" locked="1" layoutInCell="1" allowOverlap="1" wp14:anchorId="39A7A1FD" wp14:editId="593AC48A">
              <wp:simplePos x="0" y="0"/>
              <wp:positionH relativeFrom="column">
                <wp:posOffset>-773430</wp:posOffset>
              </wp:positionH>
              <wp:positionV relativeFrom="margin">
                <wp:posOffset>635</wp:posOffset>
              </wp:positionV>
              <wp:extent cx="685800" cy="7479030"/>
              <wp:effectExtent l="0" t="0" r="0" b="7620"/>
              <wp:wrapNone/>
              <wp:docPr id="1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A07305" w14:textId="4761720F" w:rsidR="006E0CDA" w:rsidRPr="00500A4A" w:rsidRDefault="006E0CDA" w:rsidP="00500A4A">
                          <w:pPr>
                            <w:pStyle w:val="HeaderComponent"/>
                            <w:rPr>
                              <w:color w:val="146692" w:themeColor="text2"/>
                            </w:rPr>
                          </w:pPr>
                          <w:r w:rsidRPr="00500A4A">
                            <w:rPr>
                              <w:color w:val="146692" w:themeColor="text2"/>
                            </w:rPr>
                            <w:t>Stage 2:</w:t>
                          </w:r>
                          <w:r>
                            <w:rPr>
                              <w:color w:val="146692" w:themeColor="text2"/>
                            </w:rPr>
                            <w:t xml:space="preserve"> Hydrogeology technical appendix</w:t>
                          </w:r>
                        </w:p>
                        <w:p w14:paraId="6269819F" w14:textId="2A104212" w:rsidR="006E0CDA" w:rsidRPr="005C0B56" w:rsidRDefault="006E0CDA" w:rsidP="00ED7E9D">
                          <w:pPr>
                            <w:pStyle w:val="HeaderComponent"/>
                            <w:jc w:val="left"/>
                            <w:rPr>
                              <w:color w:val="0093CD" w:themeColor="accent1"/>
                            </w:rPr>
                          </w:pPr>
                          <w:r>
                            <w:rPr>
                              <w:color w:val="0093CD" w:themeColor="accent1"/>
                            </w:rPr>
                            <w:t>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A7A1FD" id="_x0000_t202" coordsize="21600,21600" o:spt="202" path="m,l,21600r21600,l21600,xe">
              <v:stroke joinstyle="miter"/>
              <v:path gradientshapeok="t" o:connecttype="rect"/>
            </v:shapetype>
            <v:shape id="_x0000_s1033" type="#_x0000_t202" style="position:absolute;margin-left:-60.9pt;margin-top:.05pt;width:54pt;height:588.9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" filled="f" stroked="f">
              <v:textbox style="layout-flow:vertical;mso-layout-flow-alt:bottom-to-top">
                <w:txbxContent>
                  <w:p w14:paraId="6CA07305" w14:textId="4761720F" w:rsidR="006E0CDA" w:rsidRPr="00500A4A" w:rsidRDefault="006E0CDA" w:rsidP="00500A4A">
                    <w:pPr>
                      <w:pStyle w:val="HeaderComponent"/>
                      <w:rPr>
                        <w:color w:val="146692" w:themeColor="text2"/>
                      </w:rPr>
                    </w:pPr>
                    <w:r w:rsidRPr="00500A4A">
                      <w:rPr>
                        <w:color w:val="146692" w:themeColor="text2"/>
                      </w:rPr>
                      <w:t>Stage 2:</w:t>
                    </w:r>
                    <w:r>
                      <w:rPr>
                        <w:color w:val="146692" w:themeColor="text2"/>
                      </w:rPr>
                      <w:t xml:space="preserve"> Hydrogeology technical appendix</w:t>
                    </w:r>
                  </w:p>
                  <w:p w14:paraId="6269819F" w14:textId="2A104212" w:rsidR="006E0CDA" w:rsidRPr="005C0B56" w:rsidRDefault="006E0CDA" w:rsidP="00ED7E9D">
                    <w:pPr>
                      <w:pStyle w:val="HeaderComponent"/>
                      <w:jc w:val="left"/>
                      <w:rPr>
                        <w:color w:val="0093CD" w:themeColor="accent1"/>
                      </w:rPr>
                    </w:pPr>
                    <w:r>
                      <w:rPr>
                        <w:color w:val="0093CD" w:themeColor="accent1"/>
                      </w:rPr>
                      <w:t>dix</w:t>
                    </w:r>
                  </w:p>
                </w:txbxContent>
              </v:textbox>
              <w10:wrap anchory="margin"/>
              <w10:anchorlock/>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EEADC1" w14:textId="31149BC1" w:rsidR="006E0CDA" w:rsidRPr="00977621" w:rsidRDefault="006E0CDA" w:rsidP="00977621">
    <w:pPr>
      <w:pStyle w:val="HeaderSection"/>
      <w:jc w:val="right"/>
    </w:pPr>
    <w:r>
      <w:rPr>
        <w:noProof/>
      </w:rPr>
      <w:fldChar w:fldCharType="begin"/>
    </w:r>
    <w:r>
      <w:rPr>
        <w:noProof/>
      </w:rPr>
      <w:instrText xml:space="preserve"> STYLEREF  "Heading 2" \n  \* MERGEFORMAT </w:instrText>
    </w:r>
    <w:r>
      <w:rPr>
        <w:noProof/>
      </w:rPr>
      <w:fldChar w:fldCharType="separate"/>
    </w:r>
    <w:r w:rsidR="00B177F5">
      <w:rPr>
        <w:noProof/>
      </w:rPr>
      <w:t>3</w:t>
    </w:r>
    <w:r>
      <w:rPr>
        <w:noProof/>
      </w:rPr>
      <w:fldChar w:fldCharType="end"/>
    </w:r>
    <w:r>
      <w:t xml:space="preserve"> </w:t>
    </w:r>
    <w:r>
      <w:rPr>
        <w:noProof/>
      </w:rPr>
      <w:fldChar w:fldCharType="begin"/>
    </w:r>
    <w:r>
      <w:rPr>
        <w:noProof/>
      </w:rPr>
      <w:instrText xml:space="preserve"> STYLEREF  "Heading 2" </w:instrText>
    </w:r>
    <w:r>
      <w:rPr>
        <w:noProof/>
      </w:rPr>
      <w:fldChar w:fldCharType="separate"/>
    </w:r>
    <w:r w:rsidR="00B177F5">
      <w:rPr>
        <w:noProof/>
      </w:rPr>
      <w:t>Groundwater system conceptualisation</w:t>
    </w:r>
    <w:r>
      <w:rPr>
        <w:noProof/>
      </w:rPr>
      <w:fldChar w:fldCharType="end"/>
    </w:r>
    <w:r>
      <w:rPr>
        <w:noProof/>
      </w:rPr>
      <mc:AlternateContent>
        <mc:Choice Requires="wps">
          <w:drawing>
            <wp:anchor distT="0" distB="0" distL="114300" distR="114300" simplePos="0" relativeHeight="251658245" behindDoc="0" locked="1" layoutInCell="1" allowOverlap="1" wp14:anchorId="2C8CA180" wp14:editId="2A1C83EB">
              <wp:simplePos x="0" y="0"/>
              <wp:positionH relativeFrom="column">
                <wp:posOffset>6189345</wp:posOffset>
              </wp:positionH>
              <wp:positionV relativeFrom="margin">
                <wp:posOffset>0</wp:posOffset>
              </wp:positionV>
              <wp:extent cx="683895" cy="7479030"/>
              <wp:effectExtent l="0" t="0" r="0" b="0"/>
              <wp:wrapNone/>
              <wp:docPr id="1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C7A8AD" w14:textId="0077EBBD" w:rsidR="006E0CDA" w:rsidRPr="00500A4A" w:rsidRDefault="006E0CDA" w:rsidP="001565E5">
                          <w:pPr>
                            <w:pStyle w:val="HeaderComponent"/>
                            <w:jc w:val="left"/>
                            <w:rPr>
                              <w:color w:val="146692" w:themeColor="text2"/>
                            </w:rPr>
                          </w:pPr>
                          <w:r w:rsidRPr="00500A4A">
                            <w:rPr>
                              <w:color w:val="146692" w:themeColor="text2"/>
                            </w:rPr>
                            <w:t>Stage 2</w:t>
                          </w:r>
                          <w:r>
                            <w:rPr>
                              <w:color w:val="146692" w:themeColor="text2"/>
                            </w:rPr>
                            <w:t>: Hydrogeology technical appendix</w:t>
                          </w:r>
                        </w:p>
                        <w:p w14:paraId="459ED92D" w14:textId="77777777" w:rsidR="006E0CDA" w:rsidRPr="005C0B56" w:rsidRDefault="006E0CDA" w:rsidP="005C0B56">
                          <w:pPr>
                            <w:pStyle w:val="HeaderComponent"/>
                            <w:jc w:val="left"/>
                            <w:rPr>
                              <w:color w:val="0093CD" w:themeColor="accent1"/>
                            </w:rPr>
                          </w:pP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8CA180" id="_x0000_t202" coordsize="21600,21600" o:spt="202" path="m,l,21600r21600,l21600,xe">
              <v:stroke joinstyle="miter"/>
              <v:path gradientshapeok="t" o:connecttype="rect"/>
            </v:shapetype>
            <v:shape id="_x0000_s1034" type="#_x0000_t202" style="position:absolute;left:0;text-align:left;margin-left:487.35pt;margin-top:0;width:53.85pt;height:588.9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" filled="f" stroked="f">
              <v:textbox style="layout-flow:vertical">
                <w:txbxContent>
                  <w:p w14:paraId="4BC7A8AD" w14:textId="0077EBBD" w:rsidR="006E0CDA" w:rsidRPr="00500A4A" w:rsidRDefault="006E0CDA" w:rsidP="001565E5">
                    <w:pPr>
                      <w:pStyle w:val="HeaderComponent"/>
                      <w:jc w:val="left"/>
                      <w:rPr>
                        <w:color w:val="146692" w:themeColor="text2"/>
                      </w:rPr>
                    </w:pPr>
                    <w:r w:rsidRPr="00500A4A">
                      <w:rPr>
                        <w:color w:val="146692" w:themeColor="text2"/>
                      </w:rPr>
                      <w:t>Stage 2</w:t>
                    </w:r>
                    <w:r>
                      <w:rPr>
                        <w:color w:val="146692" w:themeColor="text2"/>
                      </w:rPr>
                      <w:t>: Hydrogeology technical appendix</w:t>
                    </w:r>
                  </w:p>
                  <w:p w14:paraId="459ED92D" w14:textId="77777777" w:rsidR="006E0CDA" w:rsidRPr="005C0B56" w:rsidRDefault="006E0CDA" w:rsidP="005C0B56">
                    <w:pPr>
                      <w:pStyle w:val="HeaderComponent"/>
                      <w:jc w:val="left"/>
                      <w:rPr>
                        <w:color w:val="0093CD" w:themeColor="accent1"/>
                      </w:rPr>
                    </w:pPr>
                  </w:p>
                </w:txbxContent>
              </v:textbox>
              <w10:wrap anchory="margin"/>
              <w10:anchorlock/>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ED6D20" w14:textId="483BE025" w:rsidR="006E0CDA" w:rsidRPr="00977621" w:rsidRDefault="006E0CDA" w:rsidP="00977621">
    <w:pPr>
      <w:pStyle w:val="HeaderSection"/>
      <w:jc w:val="right"/>
    </w:pPr>
    <w:r>
      <w:rPr>
        <w:noProof/>
      </w:rPr>
      <w:fldChar w:fldCharType="begin"/>
    </w:r>
    <w:r>
      <w:rPr>
        <w:noProof/>
      </w:rPr>
      <w:instrText xml:space="preserve"> STYLEREF  "Heading 2" \n  \* MERGEFORMAT </w:instrText>
    </w:r>
    <w:r>
      <w:rPr>
        <w:noProof/>
      </w:rPr>
      <w:fldChar w:fldCharType="separate"/>
    </w:r>
    <w:r w:rsidR="00B177F5">
      <w:rPr>
        <w:noProof/>
      </w:rPr>
      <w:t>3</w:t>
    </w:r>
    <w:r>
      <w:rPr>
        <w:noProof/>
      </w:rPr>
      <w:fldChar w:fldCharType="end"/>
    </w:r>
    <w:r>
      <w:t xml:space="preserve"> </w:t>
    </w:r>
    <w:r>
      <w:rPr>
        <w:noProof/>
      </w:rPr>
      <w:fldChar w:fldCharType="begin"/>
    </w:r>
    <w:r>
      <w:rPr>
        <w:noProof/>
      </w:rPr>
      <w:instrText xml:space="preserve"> STYLEREF  "Heading 2" </w:instrText>
    </w:r>
    <w:r>
      <w:rPr>
        <w:noProof/>
      </w:rPr>
      <w:fldChar w:fldCharType="separate"/>
    </w:r>
    <w:r w:rsidR="00B177F5">
      <w:rPr>
        <w:noProof/>
      </w:rPr>
      <w:t>Groundwater system conceptualisation</w:t>
    </w:r>
    <w:r>
      <w:rPr>
        <w:noProof/>
      </w:rPr>
      <w:fldChar w:fldCharType="end"/>
    </w:r>
    <w:r>
      <w:rPr>
        <w:noProof/>
      </w:rPr>
      <mc:AlternateContent>
        <mc:Choice Requires="wps">
          <w:drawing>
            <wp:anchor distT="0" distB="0" distL="114300" distR="114300" simplePos="0" relativeHeight="251658257" behindDoc="0" locked="1" layoutInCell="1" allowOverlap="1" wp14:anchorId="038055B2" wp14:editId="6C037300">
              <wp:simplePos x="0" y="0"/>
              <wp:positionH relativeFrom="column">
                <wp:posOffset>9275445</wp:posOffset>
              </wp:positionH>
              <wp:positionV relativeFrom="margin">
                <wp:posOffset>0</wp:posOffset>
              </wp:positionV>
              <wp:extent cx="683895" cy="7479030"/>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1438BA" w14:textId="77777777" w:rsidR="006E0CDA" w:rsidRPr="00500A4A" w:rsidRDefault="006E0CDA" w:rsidP="001565E5">
                          <w:pPr>
                            <w:pStyle w:val="HeaderComponent"/>
                            <w:jc w:val="left"/>
                            <w:rPr>
                              <w:color w:val="146692" w:themeColor="text2"/>
                            </w:rPr>
                          </w:pPr>
                          <w:r w:rsidRPr="00500A4A">
                            <w:rPr>
                              <w:color w:val="146692" w:themeColor="text2"/>
                            </w:rPr>
                            <w:t>Stage 2</w:t>
                          </w:r>
                          <w:r>
                            <w:rPr>
                              <w:color w:val="146692" w:themeColor="text2"/>
                            </w:rPr>
                            <w:t>: Hydrogeology technical appendix</w:t>
                          </w:r>
                        </w:p>
                        <w:p w14:paraId="64D0F203" w14:textId="77777777" w:rsidR="006E0CDA" w:rsidRPr="005C0B56" w:rsidRDefault="006E0CDA" w:rsidP="005C0B56">
                          <w:pPr>
                            <w:pStyle w:val="HeaderComponent"/>
                            <w:jc w:val="left"/>
                            <w:rPr>
                              <w:color w:val="0093CD" w:themeColor="accent1"/>
                            </w:rPr>
                          </w:pP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8055B2" id="_x0000_t202" coordsize="21600,21600" o:spt="202" path="m,l,21600r21600,l21600,xe">
              <v:stroke joinstyle="miter"/>
              <v:path gradientshapeok="t" o:connecttype="rect"/>
            </v:shapetype>
            <v:shape id="_x0000_s1035" type="#_x0000_t202" style="position:absolute;left:0;text-align:left;margin-left:730.35pt;margin-top:0;width:53.85pt;height:588.9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" filled="f" stroked="f">
              <v:textbox style="layout-flow:vertical">
                <w:txbxContent>
                  <w:p w14:paraId="2A1438BA" w14:textId="77777777" w:rsidR="006E0CDA" w:rsidRPr="00500A4A" w:rsidRDefault="006E0CDA" w:rsidP="001565E5">
                    <w:pPr>
                      <w:pStyle w:val="HeaderComponent"/>
                      <w:jc w:val="left"/>
                      <w:rPr>
                        <w:color w:val="146692" w:themeColor="text2"/>
                      </w:rPr>
                    </w:pPr>
                    <w:r w:rsidRPr="00500A4A">
                      <w:rPr>
                        <w:color w:val="146692" w:themeColor="text2"/>
                      </w:rPr>
                      <w:t>Stage 2</w:t>
                    </w:r>
                    <w:r>
                      <w:rPr>
                        <w:color w:val="146692" w:themeColor="text2"/>
                      </w:rPr>
                      <w:t>: Hydrogeology technical appendix</w:t>
                    </w:r>
                  </w:p>
                  <w:p w14:paraId="64D0F203" w14:textId="77777777" w:rsidR="006E0CDA" w:rsidRPr="005C0B56" w:rsidRDefault="006E0CDA" w:rsidP="005C0B56">
                    <w:pPr>
                      <w:pStyle w:val="HeaderComponent"/>
                      <w:jc w:val="left"/>
                      <w:rPr>
                        <w:color w:val="0093CD" w:themeColor="accent1"/>
                      </w:rPr>
                    </w:pPr>
                  </w:p>
                </w:txbxContent>
              </v:textbox>
              <w10:wrap anchory="margin"/>
              <w10:anchorlock/>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2520D9" w14:textId="0D4C79DC" w:rsidR="006E0CDA" w:rsidRPr="00977621" w:rsidRDefault="006E0CDA" w:rsidP="00977621">
    <w:pPr>
      <w:pStyle w:val="HeaderSection"/>
    </w:pPr>
    <w:r>
      <w:rPr>
        <w:noProof/>
      </w:rPr>
      <w:fldChar w:fldCharType="begin"/>
    </w:r>
    <w:r>
      <w:rPr>
        <w:noProof/>
      </w:rPr>
      <w:instrText xml:space="preserve"> STYLEREF  "Heading 2" \n  \* MERGEFORMAT </w:instrText>
    </w:r>
    <w:r>
      <w:rPr>
        <w:noProof/>
      </w:rPr>
      <w:fldChar w:fldCharType="separate"/>
    </w:r>
    <w:r w:rsidR="00B177F5">
      <w:rPr>
        <w:noProof/>
      </w:rPr>
      <w:t>3</w:t>
    </w:r>
    <w:r>
      <w:rPr>
        <w:noProof/>
      </w:rPr>
      <w:fldChar w:fldCharType="end"/>
    </w:r>
    <w:r>
      <w:t xml:space="preserve"> </w:t>
    </w:r>
    <w:r>
      <w:rPr>
        <w:noProof/>
      </w:rPr>
      <w:fldChar w:fldCharType="begin"/>
    </w:r>
    <w:r>
      <w:rPr>
        <w:noProof/>
      </w:rPr>
      <w:instrText xml:space="preserve"> STYLEREF  "Heading 2" </w:instrText>
    </w:r>
    <w:r>
      <w:rPr>
        <w:noProof/>
      </w:rPr>
      <w:fldChar w:fldCharType="separate"/>
    </w:r>
    <w:r w:rsidR="00B177F5">
      <w:rPr>
        <w:noProof/>
      </w:rPr>
      <w:t>Groundwater system conceptualisation</w:t>
    </w:r>
    <w:r>
      <w:rPr>
        <w:noProof/>
      </w:rPr>
      <w:fldChar w:fldCharType="end"/>
    </w:r>
    <w:r>
      <w:rPr>
        <w:noProof/>
      </w:rPr>
      <mc:AlternateContent>
        <mc:Choice Requires="wps">
          <w:drawing>
            <wp:anchor distT="0" distB="0" distL="114300" distR="114300" simplePos="0" relativeHeight="251658252" behindDoc="0" locked="1" layoutInCell="1" allowOverlap="1" wp14:anchorId="5669EDD0" wp14:editId="38D51B41">
              <wp:simplePos x="0" y="0"/>
              <wp:positionH relativeFrom="column">
                <wp:posOffset>-773430</wp:posOffset>
              </wp:positionH>
              <wp:positionV relativeFrom="margin">
                <wp:posOffset>635</wp:posOffset>
              </wp:positionV>
              <wp:extent cx="685800" cy="7479030"/>
              <wp:effectExtent l="0" t="0" r="0" b="7620"/>
              <wp:wrapNone/>
              <wp:docPr id="2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90CE5D" w14:textId="53448F6F" w:rsidR="006E0CDA" w:rsidRPr="00ED7E9D" w:rsidRDefault="006E0CDA" w:rsidP="00ED7E9D">
                          <w:pPr>
                            <w:pStyle w:val="HeaderComponent"/>
                            <w:rPr>
                              <w:color w:val="146692" w:themeColor="text2"/>
                            </w:rPr>
                          </w:pPr>
                          <w:r w:rsidRPr="00500A4A">
                            <w:rPr>
                              <w:color w:val="146692" w:themeColor="text2"/>
                            </w:rPr>
                            <w:t>Stage 2:</w:t>
                          </w:r>
                          <w:r>
                            <w:rPr>
                              <w:color w:val="146692" w:themeColor="text2"/>
                            </w:rPr>
                            <w:t xml:space="preserve"> Hydrogeology technical appendix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69EDD0" id="_x0000_t202" coordsize="21600,21600" o:spt="202" path="m,l,21600r21600,l21600,xe">
              <v:stroke joinstyle="miter"/>
              <v:path gradientshapeok="t" o:connecttype="rect"/>
            </v:shapetype>
            <v:shape id="_x0000_s1036" type="#_x0000_t202" style="position:absolute;margin-left:-60.9pt;margin-top:.05pt;width:54pt;height:588.9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" filled="f" stroked="f">
              <v:textbox style="layout-flow:vertical;mso-layout-flow-alt:bottom-to-top">
                <w:txbxContent>
                  <w:p w14:paraId="2290CE5D" w14:textId="53448F6F" w:rsidR="006E0CDA" w:rsidRPr="00ED7E9D" w:rsidRDefault="006E0CDA" w:rsidP="00ED7E9D">
                    <w:pPr>
                      <w:pStyle w:val="HeaderComponent"/>
                      <w:rPr>
                        <w:color w:val="146692" w:themeColor="text2"/>
                      </w:rPr>
                    </w:pPr>
                    <w:r w:rsidRPr="00500A4A">
                      <w:rPr>
                        <w:color w:val="146692" w:themeColor="text2"/>
                      </w:rPr>
                      <w:t>Stage 2:</w:t>
                    </w:r>
                    <w:r>
                      <w:rPr>
                        <w:color w:val="146692" w:themeColor="text2"/>
                      </w:rPr>
                      <w:t xml:space="preserve"> Hydrogeology technical appendix</w:t>
                    </w:r>
                  </w:p>
                </w:txbxContent>
              </v:textbox>
              <w10:wrap anchory="margin"/>
              <w10:anchorlock/>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A40C28" w14:textId="14405548" w:rsidR="006E0CDA" w:rsidRPr="00977621" w:rsidRDefault="006E0CDA" w:rsidP="00977621">
    <w:pPr>
      <w:pStyle w:val="HeaderSection"/>
      <w:jc w:val="right"/>
    </w:pPr>
    <w:r>
      <w:rPr>
        <w:noProof/>
      </w:rPr>
      <w:fldChar w:fldCharType="begin"/>
    </w:r>
    <w:r>
      <w:rPr>
        <w:noProof/>
      </w:rPr>
      <w:instrText xml:space="preserve"> STYLEREF  "Heading 2" \n  \* MERGEFORMAT </w:instrText>
    </w:r>
    <w:r>
      <w:rPr>
        <w:noProof/>
      </w:rPr>
      <w:fldChar w:fldCharType="separate"/>
    </w:r>
    <w:r w:rsidR="00B177F5">
      <w:rPr>
        <w:noProof/>
      </w:rPr>
      <w:t>3</w:t>
    </w:r>
    <w:r>
      <w:rPr>
        <w:noProof/>
      </w:rPr>
      <w:fldChar w:fldCharType="end"/>
    </w:r>
    <w:r>
      <w:t xml:space="preserve"> </w:t>
    </w:r>
    <w:r>
      <w:rPr>
        <w:noProof/>
      </w:rPr>
      <w:fldChar w:fldCharType="begin"/>
    </w:r>
    <w:r>
      <w:rPr>
        <w:noProof/>
      </w:rPr>
      <w:instrText xml:space="preserve"> STYLEREF  "Heading 2" </w:instrText>
    </w:r>
    <w:r>
      <w:rPr>
        <w:noProof/>
      </w:rPr>
      <w:fldChar w:fldCharType="separate"/>
    </w:r>
    <w:r w:rsidR="00B177F5">
      <w:rPr>
        <w:noProof/>
      </w:rPr>
      <w:t>Groundwater system conceptualisation</w:t>
    </w:r>
    <w:r>
      <w:rPr>
        <w:noProof/>
      </w:rPr>
      <w:fldChar w:fldCharType="end"/>
    </w:r>
    <w:r>
      <w:rPr>
        <w:noProof/>
      </w:rPr>
      <mc:AlternateContent>
        <mc:Choice Requires="wps">
          <w:drawing>
            <wp:anchor distT="0" distB="0" distL="114300" distR="114300" simplePos="0" relativeHeight="251658251" behindDoc="0" locked="1" layoutInCell="1" allowOverlap="1" wp14:anchorId="2D7314C1" wp14:editId="32EFE8C3">
              <wp:simplePos x="0" y="0"/>
              <wp:positionH relativeFrom="column">
                <wp:posOffset>6189345</wp:posOffset>
              </wp:positionH>
              <wp:positionV relativeFrom="margin">
                <wp:posOffset>0</wp:posOffset>
              </wp:positionV>
              <wp:extent cx="683895" cy="7479030"/>
              <wp:effectExtent l="0" t="0" r="0" b="0"/>
              <wp:wrapNone/>
              <wp:docPr id="21"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E4FEB7" w14:textId="199A7C40" w:rsidR="006E0CDA" w:rsidRPr="00ED7E9D" w:rsidRDefault="006E0CDA" w:rsidP="005C0B56">
                          <w:pPr>
                            <w:pStyle w:val="HeaderComponent"/>
                            <w:jc w:val="left"/>
                            <w:rPr>
                              <w:color w:val="146692" w:themeColor="text2"/>
                            </w:rPr>
                          </w:pPr>
                          <w:r w:rsidRPr="00500A4A">
                            <w:rPr>
                              <w:color w:val="146692" w:themeColor="text2"/>
                            </w:rPr>
                            <w:t>Stage 2</w:t>
                          </w:r>
                          <w:r>
                            <w:rPr>
                              <w:color w:val="146692" w:themeColor="text2"/>
                            </w:rPr>
                            <w:t>: Hydrogeology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7314C1" id="_x0000_t202" coordsize="21600,21600" o:spt="202" path="m,l,21600r21600,l21600,xe">
              <v:stroke joinstyle="miter"/>
              <v:path gradientshapeok="t" o:connecttype="rect"/>
            </v:shapetype>
            <v:shape id="_x0000_s1037" type="#_x0000_t202" style="position:absolute;left:0;text-align:left;margin-left:487.35pt;margin-top:0;width:53.85pt;height:588.9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" filled="f" stroked="f">
              <v:textbox style="layout-flow:vertical">
                <w:txbxContent>
                  <w:p w14:paraId="13E4FEB7" w14:textId="199A7C40" w:rsidR="006E0CDA" w:rsidRPr="00ED7E9D" w:rsidRDefault="006E0CDA" w:rsidP="005C0B56">
                    <w:pPr>
                      <w:pStyle w:val="HeaderComponent"/>
                      <w:jc w:val="left"/>
                      <w:rPr>
                        <w:color w:val="146692" w:themeColor="text2"/>
                      </w:rPr>
                    </w:pPr>
                    <w:r w:rsidRPr="00500A4A">
                      <w:rPr>
                        <w:color w:val="146692" w:themeColor="text2"/>
                      </w:rPr>
                      <w:t>Stage 2</w:t>
                    </w:r>
                    <w:r>
                      <w:rPr>
                        <w:color w:val="146692" w:themeColor="text2"/>
                      </w:rPr>
                      <w:t>: Hydrogeology technical appendix</w:t>
                    </w:r>
                  </w:p>
                </w:txbxContent>
              </v:textbox>
              <w10:wrap anchory="margin"/>
              <w10:anchorlock/>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A178D6" w14:textId="5FAA3E63" w:rsidR="006E0CDA" w:rsidRPr="00977621" w:rsidRDefault="006E0CDA" w:rsidP="00977621">
    <w:pPr>
      <w:pStyle w:val="HeaderSection"/>
      <w:jc w:val="right"/>
    </w:pPr>
    <w:r>
      <w:rPr>
        <w:noProof/>
      </w:rPr>
      <mc:AlternateContent>
        <mc:Choice Requires="wps">
          <w:drawing>
            <wp:anchor distT="0" distB="0" distL="114300" distR="114300" simplePos="0" relativeHeight="251658258" behindDoc="0" locked="1" layoutInCell="1" allowOverlap="1" wp14:anchorId="6C9BB157" wp14:editId="64F13C83">
              <wp:simplePos x="0" y="0"/>
              <wp:positionH relativeFrom="column">
                <wp:posOffset>9275445</wp:posOffset>
              </wp:positionH>
              <wp:positionV relativeFrom="margin">
                <wp:posOffset>3175</wp:posOffset>
              </wp:positionV>
              <wp:extent cx="683895" cy="7479030"/>
              <wp:effectExtent l="0" t="0" r="0" b="0"/>
              <wp:wrapNone/>
              <wp:docPr id="1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5FF9C0" w14:textId="77777777" w:rsidR="006E0CDA" w:rsidRPr="00ED7E9D" w:rsidRDefault="006E0CDA" w:rsidP="00FB72C5">
                          <w:pPr>
                            <w:pStyle w:val="HeaderComponent"/>
                            <w:jc w:val="left"/>
                            <w:rPr>
                              <w:color w:val="146692" w:themeColor="text2"/>
                            </w:rPr>
                          </w:pPr>
                          <w:r w:rsidRPr="00500A4A">
                            <w:rPr>
                              <w:color w:val="146692" w:themeColor="text2"/>
                            </w:rPr>
                            <w:t>Stage 2</w:t>
                          </w:r>
                          <w:r>
                            <w:rPr>
                              <w:color w:val="146692" w:themeColor="text2"/>
                            </w:rPr>
                            <w:t>: Hydrogeology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9BB157" id="_x0000_t202" coordsize="21600,21600" o:spt="202" path="m,l,21600r21600,l21600,xe">
              <v:stroke joinstyle="miter"/>
              <v:path gradientshapeok="t" o:connecttype="rect"/>
            </v:shapetype>
            <v:shape id="_x0000_s1038" type="#_x0000_t202" style="position:absolute;left:0;text-align:left;margin-left:730.35pt;margin-top:.25pt;width:53.85pt;height:588.9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" filled="f" stroked="f">
              <v:textbox style="layout-flow:vertical">
                <w:txbxContent>
                  <w:p w14:paraId="315FF9C0" w14:textId="77777777" w:rsidR="006E0CDA" w:rsidRPr="00ED7E9D" w:rsidRDefault="006E0CDA" w:rsidP="00FB72C5">
                    <w:pPr>
                      <w:pStyle w:val="HeaderComponent"/>
                      <w:jc w:val="left"/>
                      <w:rPr>
                        <w:color w:val="146692" w:themeColor="text2"/>
                      </w:rPr>
                    </w:pPr>
                    <w:r w:rsidRPr="00500A4A">
                      <w:rPr>
                        <w:color w:val="146692" w:themeColor="text2"/>
                      </w:rPr>
                      <w:t>Stage 2</w:t>
                    </w:r>
                    <w:r>
                      <w:rPr>
                        <w:color w:val="146692" w:themeColor="text2"/>
                      </w:rPr>
                      <w:t>: Hydrogeology technical appendix</w:t>
                    </w:r>
                  </w:p>
                </w:txbxContent>
              </v:textbox>
              <w10:wrap anchory="margin"/>
              <w10:anchorlock/>
            </v:shape>
          </w:pict>
        </mc:Fallback>
      </mc:AlternateContent>
    </w:r>
    <w:r>
      <w:rPr>
        <w:noProof/>
      </w:rPr>
      <w:fldChar w:fldCharType="begin"/>
    </w:r>
    <w:r>
      <w:rPr>
        <w:noProof/>
      </w:rPr>
      <w:instrText xml:space="preserve"> STYLEREF  "Heading 2" \n  \* MERGEFORMAT </w:instrText>
    </w:r>
    <w:r>
      <w:rPr>
        <w:noProof/>
      </w:rPr>
      <w:fldChar w:fldCharType="separate"/>
    </w:r>
    <w:r w:rsidR="00B177F5">
      <w:rPr>
        <w:noProof/>
      </w:rPr>
      <w:t>3</w:t>
    </w:r>
    <w:r>
      <w:rPr>
        <w:noProof/>
      </w:rPr>
      <w:fldChar w:fldCharType="end"/>
    </w:r>
    <w:r>
      <w:t xml:space="preserve"> </w:t>
    </w:r>
    <w:r>
      <w:rPr>
        <w:noProof/>
      </w:rPr>
      <w:fldChar w:fldCharType="begin"/>
    </w:r>
    <w:r>
      <w:rPr>
        <w:noProof/>
      </w:rPr>
      <w:instrText xml:space="preserve"> STYLEREF  "Heading 2" </w:instrText>
    </w:r>
    <w:r>
      <w:rPr>
        <w:noProof/>
      </w:rPr>
      <w:fldChar w:fldCharType="separate"/>
    </w:r>
    <w:r w:rsidR="00B177F5">
      <w:rPr>
        <w:noProof/>
      </w:rPr>
      <w:t>Groundwater system conceptualisation</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867F48" w14:textId="77777777" w:rsidR="00B177F5" w:rsidRDefault="00B177F5">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16E2EA" w14:textId="046B81D2" w:rsidR="006E0CDA" w:rsidRPr="00977621" w:rsidRDefault="006E0CDA" w:rsidP="00977621">
    <w:pPr>
      <w:pStyle w:val="HeaderSection"/>
    </w:pPr>
    <w:r>
      <w:rPr>
        <w:noProof/>
      </w:rPr>
      <w:fldChar w:fldCharType="begin"/>
    </w:r>
    <w:r>
      <w:rPr>
        <w:noProof/>
      </w:rPr>
      <w:instrText xml:space="preserve"> STYLEREF  "Heading 2" \n  \* MERGEFORMAT </w:instrText>
    </w:r>
    <w:r>
      <w:rPr>
        <w:noProof/>
      </w:rPr>
      <w:fldChar w:fldCharType="separate"/>
    </w:r>
    <w:r w:rsidR="00B177F5">
      <w:rPr>
        <w:noProof/>
      </w:rPr>
      <w:t>4</w:t>
    </w:r>
    <w:r>
      <w:rPr>
        <w:noProof/>
      </w:rPr>
      <w:fldChar w:fldCharType="end"/>
    </w:r>
    <w:r>
      <w:t xml:space="preserve"> </w:t>
    </w:r>
    <w:r>
      <w:rPr>
        <w:noProof/>
      </w:rPr>
      <w:fldChar w:fldCharType="begin"/>
    </w:r>
    <w:r>
      <w:rPr>
        <w:noProof/>
      </w:rPr>
      <w:instrText xml:space="preserve"> STYLEREF  "Heading 2" </w:instrText>
    </w:r>
    <w:r>
      <w:rPr>
        <w:noProof/>
      </w:rPr>
      <w:fldChar w:fldCharType="separate"/>
    </w:r>
    <w:r w:rsidR="00B177F5">
      <w:rPr>
        <w:noProof/>
      </w:rPr>
      <w:t>Potential hydrological connections</w:t>
    </w:r>
    <w:r>
      <w:rPr>
        <w:noProof/>
      </w:rPr>
      <w:fldChar w:fldCharType="end"/>
    </w:r>
    <w:r>
      <w:rPr>
        <w:noProof/>
      </w:rPr>
      <mc:AlternateContent>
        <mc:Choice Requires="wps">
          <w:drawing>
            <wp:anchor distT="0" distB="0" distL="114300" distR="114300" simplePos="0" relativeHeight="251658254" behindDoc="0" locked="1" layoutInCell="1" allowOverlap="1" wp14:anchorId="010C1C3B" wp14:editId="48A3A227">
              <wp:simplePos x="0" y="0"/>
              <wp:positionH relativeFrom="column">
                <wp:posOffset>-773430</wp:posOffset>
              </wp:positionH>
              <wp:positionV relativeFrom="margin">
                <wp:posOffset>635</wp:posOffset>
              </wp:positionV>
              <wp:extent cx="685800" cy="7479030"/>
              <wp:effectExtent l="0" t="0" r="0" b="7620"/>
              <wp:wrapNone/>
              <wp:docPr id="2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1C4F32" w14:textId="77777777" w:rsidR="006E0CDA" w:rsidRPr="00ED7E9D" w:rsidRDefault="006E0CDA" w:rsidP="00ED7E9D">
                          <w:pPr>
                            <w:pStyle w:val="HeaderComponent"/>
                            <w:rPr>
                              <w:color w:val="146692" w:themeColor="text2"/>
                            </w:rPr>
                          </w:pPr>
                          <w:r w:rsidRPr="00500A4A">
                            <w:rPr>
                              <w:color w:val="146692" w:themeColor="text2"/>
                            </w:rPr>
                            <w:t>Stage 2:</w:t>
                          </w:r>
                          <w:r>
                            <w:rPr>
                              <w:color w:val="146692" w:themeColor="text2"/>
                            </w:rPr>
                            <w:t xml:space="preserve"> Hydrogeology technical appendix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0C1C3B" id="_x0000_t202" coordsize="21600,21600" o:spt="202" path="m,l,21600r21600,l21600,xe">
              <v:stroke joinstyle="miter"/>
              <v:path gradientshapeok="t" o:connecttype="rect"/>
            </v:shapetype>
            <v:shape id="_x0000_s1039" type="#_x0000_t202" style="position:absolute;margin-left:-60.9pt;margin-top:.05pt;width:54pt;height:588.9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" filled="f" stroked="f">
              <v:textbox style="layout-flow:vertical;mso-layout-flow-alt:bottom-to-top">
                <w:txbxContent>
                  <w:p w14:paraId="0B1C4F32" w14:textId="77777777" w:rsidR="006E0CDA" w:rsidRPr="00ED7E9D" w:rsidRDefault="006E0CDA" w:rsidP="00ED7E9D">
                    <w:pPr>
                      <w:pStyle w:val="HeaderComponent"/>
                      <w:rPr>
                        <w:color w:val="146692" w:themeColor="text2"/>
                      </w:rPr>
                    </w:pPr>
                    <w:r w:rsidRPr="00500A4A">
                      <w:rPr>
                        <w:color w:val="146692" w:themeColor="text2"/>
                      </w:rPr>
                      <w:t>Stage 2:</w:t>
                    </w:r>
                    <w:r>
                      <w:rPr>
                        <w:color w:val="146692" w:themeColor="text2"/>
                      </w:rPr>
                      <w:t xml:space="preserve"> Hydrogeology technical appendix</w:t>
                    </w:r>
                  </w:p>
                </w:txbxContent>
              </v:textbox>
              <w10:wrap anchory="margin"/>
              <w10:anchorlock/>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5E62C7" w14:textId="4BFAC702" w:rsidR="000276CD" w:rsidRPr="00977621" w:rsidRDefault="000276CD" w:rsidP="00977621">
    <w:pPr>
      <w:pStyle w:val="HeaderSection"/>
      <w:jc w:val="right"/>
    </w:pPr>
    <w:r>
      <w:rPr>
        <w:noProof/>
      </w:rPr>
      <mc:AlternateContent>
        <mc:Choice Requires="wps">
          <w:drawing>
            <wp:anchor distT="0" distB="0" distL="114300" distR="114300" simplePos="0" relativeHeight="251662356" behindDoc="0" locked="1" layoutInCell="1" allowOverlap="1" wp14:anchorId="24B30A1C" wp14:editId="039788B3">
              <wp:simplePos x="0" y="0"/>
              <wp:positionH relativeFrom="column">
                <wp:posOffset>6189345</wp:posOffset>
              </wp:positionH>
              <wp:positionV relativeFrom="margin">
                <wp:posOffset>0</wp:posOffset>
              </wp:positionV>
              <wp:extent cx="683895" cy="7479030"/>
              <wp:effectExtent l="0" t="0" r="0" b="0"/>
              <wp:wrapNone/>
              <wp:docPr id="3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E813F1" w14:textId="77777777" w:rsidR="000276CD" w:rsidRPr="00ED7E9D" w:rsidRDefault="000276CD" w:rsidP="000276CD">
                          <w:pPr>
                            <w:pStyle w:val="HeaderComponent"/>
                            <w:jc w:val="left"/>
                            <w:rPr>
                              <w:color w:val="146692" w:themeColor="text2"/>
                            </w:rPr>
                          </w:pPr>
                          <w:r w:rsidRPr="00500A4A">
                            <w:rPr>
                              <w:color w:val="146692" w:themeColor="text2"/>
                            </w:rPr>
                            <w:t>Stage 2</w:t>
                          </w:r>
                          <w:r>
                            <w:rPr>
                              <w:color w:val="146692" w:themeColor="text2"/>
                            </w:rPr>
                            <w:t>: Hydrogeology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B30A1C" id="_x0000_t202" coordsize="21600,21600" o:spt="202" path="m,l,21600r21600,l21600,xe">
              <v:stroke joinstyle="miter"/>
              <v:path gradientshapeok="t" o:connecttype="rect"/>
            </v:shapetype>
            <v:shape id="_x0000_s1040" type="#_x0000_t202" style="position:absolute;left:0;text-align:left;margin-left:487.35pt;margin-top:0;width:53.85pt;height:588.9pt;z-index:25166235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" filled="f" stroked="f">
              <v:textbox style="layout-flow:vertical">
                <w:txbxContent>
                  <w:p w14:paraId="7BE813F1" w14:textId="77777777" w:rsidR="000276CD" w:rsidRPr="00ED7E9D" w:rsidRDefault="000276CD" w:rsidP="000276CD">
                    <w:pPr>
                      <w:pStyle w:val="HeaderComponent"/>
                      <w:jc w:val="left"/>
                      <w:rPr>
                        <w:color w:val="146692" w:themeColor="text2"/>
                      </w:rPr>
                    </w:pPr>
                    <w:r w:rsidRPr="00500A4A">
                      <w:rPr>
                        <w:color w:val="146692" w:themeColor="text2"/>
                      </w:rPr>
                      <w:t>Stage 2</w:t>
                    </w:r>
                    <w:r>
                      <w:rPr>
                        <w:color w:val="146692" w:themeColor="text2"/>
                      </w:rPr>
                      <w:t>: Hydrogeology technical appendix</w:t>
                    </w:r>
                  </w:p>
                </w:txbxContent>
              </v:textbox>
              <w10:wrap anchory="margin"/>
              <w10:anchorlock/>
            </v:shape>
          </w:pict>
        </mc:Fallback>
      </mc:AlternateContent>
    </w:r>
    <w:r>
      <w:rPr>
        <w:noProof/>
      </w:rPr>
      <mc:AlternateContent>
        <mc:Choice Requires="wps">
          <w:drawing>
            <wp:anchor distT="0" distB="0" distL="114300" distR="114300" simplePos="0" relativeHeight="251660308" behindDoc="0" locked="1" layoutInCell="1" allowOverlap="1" wp14:anchorId="7F005078" wp14:editId="4A1C062D">
              <wp:simplePos x="0" y="0"/>
              <wp:positionH relativeFrom="column">
                <wp:posOffset>9275445</wp:posOffset>
              </wp:positionH>
              <wp:positionV relativeFrom="margin">
                <wp:posOffset>3175</wp:posOffset>
              </wp:positionV>
              <wp:extent cx="683895" cy="7479030"/>
              <wp:effectExtent l="0" t="0" r="0" b="0"/>
              <wp:wrapNone/>
              <wp:docPr id="3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A6B444" w14:textId="77777777" w:rsidR="000276CD" w:rsidRPr="00ED7E9D" w:rsidRDefault="000276CD" w:rsidP="00FB72C5">
                          <w:pPr>
                            <w:pStyle w:val="HeaderComponent"/>
                            <w:jc w:val="left"/>
                            <w:rPr>
                              <w:color w:val="146692" w:themeColor="text2"/>
                            </w:rPr>
                          </w:pPr>
                          <w:r w:rsidRPr="00500A4A">
                            <w:rPr>
                              <w:color w:val="146692" w:themeColor="text2"/>
                            </w:rPr>
                            <w:t>Stage 2</w:t>
                          </w:r>
                          <w:r>
                            <w:rPr>
                              <w:color w:val="146692" w:themeColor="text2"/>
                            </w:rPr>
                            <w:t>: Hydrogeology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005078" id="_x0000_s1041" type="#_x0000_t202" style="position:absolute;left:0;text-align:left;margin-left:730.35pt;margin-top:.25pt;width:53.85pt;height:588.9pt;z-index:25166030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" filled="f" stroked="f">
              <v:textbox style="layout-flow:vertical">
                <w:txbxContent>
                  <w:p w14:paraId="39A6B444" w14:textId="77777777" w:rsidR="000276CD" w:rsidRPr="00ED7E9D" w:rsidRDefault="000276CD" w:rsidP="00FB72C5">
                    <w:pPr>
                      <w:pStyle w:val="HeaderComponent"/>
                      <w:jc w:val="left"/>
                      <w:rPr>
                        <w:color w:val="146692" w:themeColor="text2"/>
                      </w:rPr>
                    </w:pPr>
                    <w:r w:rsidRPr="00500A4A">
                      <w:rPr>
                        <w:color w:val="146692" w:themeColor="text2"/>
                      </w:rPr>
                      <w:t>Stage 2</w:t>
                    </w:r>
                    <w:r>
                      <w:rPr>
                        <w:color w:val="146692" w:themeColor="text2"/>
                      </w:rPr>
                      <w:t>: Hydrogeology technical appendix</w:t>
                    </w:r>
                  </w:p>
                </w:txbxContent>
              </v:textbox>
              <w10:wrap anchory="margin"/>
              <w10:anchorlock/>
            </v:shape>
          </w:pict>
        </mc:Fallback>
      </mc:AlternateContent>
    </w:r>
    <w:r>
      <w:rPr>
        <w:noProof/>
      </w:rPr>
      <w:fldChar w:fldCharType="begin"/>
    </w:r>
    <w:r>
      <w:rPr>
        <w:noProof/>
      </w:rPr>
      <w:instrText xml:space="preserve"> STYLEREF  "Heading 2" \n  \* MERGEFORMAT </w:instrText>
    </w:r>
    <w:r>
      <w:rPr>
        <w:noProof/>
      </w:rPr>
      <w:fldChar w:fldCharType="separate"/>
    </w:r>
    <w:r w:rsidR="00B177F5">
      <w:rPr>
        <w:noProof/>
      </w:rPr>
      <w:t>4</w:t>
    </w:r>
    <w:r>
      <w:rPr>
        <w:noProof/>
      </w:rPr>
      <w:fldChar w:fldCharType="end"/>
    </w:r>
    <w:r>
      <w:t xml:space="preserve"> </w:t>
    </w:r>
    <w:r>
      <w:rPr>
        <w:noProof/>
      </w:rPr>
      <w:fldChar w:fldCharType="begin"/>
    </w:r>
    <w:r>
      <w:rPr>
        <w:noProof/>
      </w:rPr>
      <w:instrText xml:space="preserve"> STYLEREF  "Heading 2" </w:instrText>
    </w:r>
    <w:r>
      <w:rPr>
        <w:noProof/>
      </w:rPr>
      <w:fldChar w:fldCharType="separate"/>
    </w:r>
    <w:r w:rsidR="00B177F5">
      <w:rPr>
        <w:noProof/>
      </w:rPr>
      <w:t>Potential hydrological connections</w:t>
    </w:r>
    <w:r>
      <w:rPr>
        <w:noProof/>
      </w:rPr>
      <w:fldChar w:fldCharType="end"/>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3FCB66" w14:textId="7415CE1B" w:rsidR="006E0CDA" w:rsidRPr="006001FE" w:rsidRDefault="006E0CDA" w:rsidP="00A823F8">
    <w:pPr>
      <w:pStyle w:val="HeaderSection"/>
      <w:jc w:val="right"/>
      <w:rPr>
        <w:sz w:val="22"/>
      </w:rPr>
    </w:pPr>
    <w:r>
      <w:rPr>
        <w:noProof/>
      </w:rPr>
      <mc:AlternateContent>
        <mc:Choice Requires="wps">
          <w:drawing>
            <wp:anchor distT="0" distB="0" distL="114300" distR="114300" simplePos="0" relativeHeight="251658253" behindDoc="0" locked="1" layoutInCell="1" allowOverlap="1" wp14:anchorId="380A6839" wp14:editId="62668331">
              <wp:simplePos x="0" y="0"/>
              <wp:positionH relativeFrom="column">
                <wp:posOffset>9298305</wp:posOffset>
              </wp:positionH>
              <wp:positionV relativeFrom="margin">
                <wp:posOffset>3175</wp:posOffset>
              </wp:positionV>
              <wp:extent cx="683895" cy="7479030"/>
              <wp:effectExtent l="0" t="0" r="0" b="0"/>
              <wp:wrapNone/>
              <wp:docPr id="2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51AC4F" w14:textId="77777777" w:rsidR="006E0CDA" w:rsidRPr="00ED7E9D" w:rsidRDefault="006E0CDA" w:rsidP="0069354C">
                          <w:pPr>
                            <w:pStyle w:val="HeaderComponent"/>
                            <w:jc w:val="left"/>
                            <w:rPr>
                              <w:color w:val="146692" w:themeColor="text2"/>
                            </w:rPr>
                          </w:pPr>
                          <w:r w:rsidRPr="00500A4A">
                            <w:rPr>
                              <w:color w:val="146692" w:themeColor="text2"/>
                            </w:rPr>
                            <w:t>Stage 2</w:t>
                          </w:r>
                          <w:r>
                            <w:rPr>
                              <w:color w:val="146692" w:themeColor="text2"/>
                            </w:rPr>
                            <w:t>: Hydrogeology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0A6839" id="_x0000_t202" coordsize="21600,21600" o:spt="202" path="m,l,21600r21600,l21600,xe">
              <v:stroke joinstyle="miter"/>
              <v:path gradientshapeok="t" o:connecttype="rect"/>
            </v:shapetype>
            <v:shape id="_x0000_s1042" type="#_x0000_t202" style="position:absolute;left:0;text-align:left;margin-left:732.15pt;margin-top:.25pt;width:53.85pt;height:588.9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" filled="f" stroked="f">
              <v:textbox style="layout-flow:vertical">
                <w:txbxContent>
                  <w:p w14:paraId="7151AC4F" w14:textId="77777777" w:rsidR="006E0CDA" w:rsidRPr="00ED7E9D" w:rsidRDefault="006E0CDA" w:rsidP="0069354C">
                    <w:pPr>
                      <w:pStyle w:val="HeaderComponent"/>
                      <w:jc w:val="left"/>
                      <w:rPr>
                        <w:color w:val="146692" w:themeColor="text2"/>
                      </w:rPr>
                    </w:pPr>
                    <w:r w:rsidRPr="00500A4A">
                      <w:rPr>
                        <w:color w:val="146692" w:themeColor="text2"/>
                      </w:rPr>
                      <w:t>Stage 2</w:t>
                    </w:r>
                    <w:r>
                      <w:rPr>
                        <w:color w:val="146692" w:themeColor="text2"/>
                      </w:rPr>
                      <w:t>: Hydrogeology technical appendix</w:t>
                    </w:r>
                  </w:p>
                </w:txbxContent>
              </v:textbox>
              <w10:wrap anchory="margin"/>
              <w10:anchorlock/>
            </v:shape>
          </w:pict>
        </mc:Fallback>
      </mc:AlternateContent>
    </w:r>
    <w:r>
      <w:rPr>
        <w:bCs/>
        <w:noProof/>
      </w:rPr>
      <w:fldChar w:fldCharType="begin"/>
    </w:r>
    <w:r>
      <w:rPr>
        <w:bCs/>
        <w:noProof/>
      </w:rPr>
      <w:instrText xml:space="preserve"> STYLEREF  "Heading 2" \r  \* MERGEFORMAT </w:instrText>
    </w:r>
    <w:r>
      <w:rPr>
        <w:bCs/>
        <w:noProof/>
      </w:rPr>
      <w:fldChar w:fldCharType="separate"/>
    </w:r>
    <w:r w:rsidR="00B177F5" w:rsidRPr="00B177F5">
      <w:rPr>
        <w:b/>
        <w:noProof/>
        <w:lang w:val="en-US"/>
      </w:rPr>
      <w:t>3</w:t>
    </w:r>
    <w:r>
      <w:rPr>
        <w:bCs/>
        <w:noProof/>
      </w:rPr>
      <w:fldChar w:fldCharType="end"/>
    </w:r>
    <w:r w:rsidRPr="00977621">
      <w:rPr>
        <w:bCs/>
      </w:rPr>
      <w:t xml:space="preserve"> </w:t>
    </w:r>
    <w:r>
      <w:rPr>
        <w:noProof/>
      </w:rPr>
      <w:fldChar w:fldCharType="begin"/>
    </w:r>
    <w:r>
      <w:rPr>
        <w:noProof/>
      </w:rPr>
      <w:instrText xml:space="preserve"> STYLEREF  "Heading 2" </w:instrText>
    </w:r>
    <w:r>
      <w:rPr>
        <w:noProof/>
      </w:rPr>
      <w:fldChar w:fldCharType="separate"/>
    </w:r>
    <w:r w:rsidR="00B177F5">
      <w:rPr>
        <w:noProof/>
      </w:rPr>
      <w:t>Groundwater system conceptualisation</w:t>
    </w:r>
    <w:r>
      <w:rPr>
        <w:noProof/>
      </w:rPr>
      <w:fldChar w:fldCharType="end"/>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7697BA" w14:textId="1C4A8C5C" w:rsidR="006E0CDA" w:rsidRPr="00977621" w:rsidRDefault="000276CD" w:rsidP="00977621">
    <w:pPr>
      <w:pStyle w:val="HeaderSection"/>
      <w:jc w:val="right"/>
    </w:pPr>
    <w:r>
      <w:rPr>
        <w:noProof/>
      </w:rPr>
      <mc:AlternateContent>
        <mc:Choice Requires="wps">
          <w:drawing>
            <wp:anchor distT="0" distB="0" distL="114300" distR="114300" simplePos="0" relativeHeight="251664404" behindDoc="0" locked="1" layoutInCell="1" allowOverlap="1" wp14:anchorId="40B31543" wp14:editId="31438E9F">
              <wp:simplePos x="0" y="0"/>
              <wp:positionH relativeFrom="column">
                <wp:posOffset>6189345</wp:posOffset>
              </wp:positionH>
              <wp:positionV relativeFrom="margin">
                <wp:posOffset>0</wp:posOffset>
              </wp:positionV>
              <wp:extent cx="683895" cy="7479030"/>
              <wp:effectExtent l="0" t="0" r="0" b="0"/>
              <wp:wrapNone/>
              <wp:docPr id="3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D20607" w14:textId="77777777" w:rsidR="000276CD" w:rsidRPr="00ED7E9D" w:rsidRDefault="000276CD" w:rsidP="000276CD">
                          <w:pPr>
                            <w:pStyle w:val="HeaderComponent"/>
                            <w:jc w:val="left"/>
                            <w:rPr>
                              <w:color w:val="146692" w:themeColor="text2"/>
                            </w:rPr>
                          </w:pPr>
                          <w:r w:rsidRPr="00500A4A">
                            <w:rPr>
                              <w:color w:val="146692" w:themeColor="text2"/>
                            </w:rPr>
                            <w:t>Stage 2</w:t>
                          </w:r>
                          <w:r>
                            <w:rPr>
                              <w:color w:val="146692" w:themeColor="text2"/>
                            </w:rPr>
                            <w:t>: Hydrogeology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B31543" id="_x0000_t202" coordsize="21600,21600" o:spt="202" path="m,l,21600r21600,l21600,xe">
              <v:stroke joinstyle="miter"/>
              <v:path gradientshapeok="t" o:connecttype="rect"/>
            </v:shapetype>
            <v:shape id="_x0000_s1043" type="#_x0000_t202" style="position:absolute;left:0;text-align:left;margin-left:487.35pt;margin-top:0;width:53.85pt;height:588.9pt;z-index:25166440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" filled="f" stroked="f">
              <v:textbox style="layout-flow:vertical">
                <w:txbxContent>
                  <w:p w14:paraId="3DD20607" w14:textId="77777777" w:rsidR="000276CD" w:rsidRPr="00ED7E9D" w:rsidRDefault="000276CD" w:rsidP="000276CD">
                    <w:pPr>
                      <w:pStyle w:val="HeaderComponent"/>
                      <w:jc w:val="left"/>
                      <w:rPr>
                        <w:color w:val="146692" w:themeColor="text2"/>
                      </w:rPr>
                    </w:pPr>
                    <w:r w:rsidRPr="00500A4A">
                      <w:rPr>
                        <w:color w:val="146692" w:themeColor="text2"/>
                      </w:rPr>
                      <w:t>Stage 2</w:t>
                    </w:r>
                    <w:r>
                      <w:rPr>
                        <w:color w:val="146692" w:themeColor="text2"/>
                      </w:rPr>
                      <w:t>: Hydrogeology technical appendix</w:t>
                    </w:r>
                  </w:p>
                </w:txbxContent>
              </v:textbox>
              <w10:wrap anchory="margin"/>
              <w10:anchorlock/>
            </v:shape>
          </w:pict>
        </mc:Fallback>
      </mc:AlternateContent>
    </w:r>
    <w:r w:rsidR="006E0CDA">
      <w:rPr>
        <w:noProof/>
      </w:rPr>
      <w:fldChar w:fldCharType="begin"/>
    </w:r>
    <w:r w:rsidR="006E0CDA">
      <w:rPr>
        <w:noProof/>
      </w:rPr>
      <w:instrText xml:space="preserve"> STYLEREF  "Heading 2" \n </w:instrText>
    </w:r>
    <w:r w:rsidR="006E0CDA">
      <w:rPr>
        <w:noProof/>
      </w:rPr>
      <w:fldChar w:fldCharType="separate"/>
    </w:r>
    <w:r w:rsidR="00B177F5">
      <w:rPr>
        <w:noProof/>
      </w:rPr>
      <w:t>4</w:t>
    </w:r>
    <w:r w:rsidR="006E0CDA">
      <w:rPr>
        <w:noProof/>
      </w:rPr>
      <w:fldChar w:fldCharType="end"/>
    </w:r>
    <w:r w:rsidR="006E0CDA">
      <w:rPr>
        <w:noProof/>
      </w:rPr>
      <w:t xml:space="preserve"> </w:t>
    </w:r>
    <w:r w:rsidR="006E0CDA">
      <w:rPr>
        <w:noProof/>
      </w:rPr>
      <w:fldChar w:fldCharType="begin"/>
    </w:r>
    <w:r w:rsidR="006E0CDA">
      <w:rPr>
        <w:noProof/>
      </w:rPr>
      <w:instrText xml:space="preserve"> STYLEREF  "Heading 2" </w:instrText>
    </w:r>
    <w:r w:rsidR="006E0CDA">
      <w:rPr>
        <w:noProof/>
      </w:rPr>
      <w:fldChar w:fldCharType="separate"/>
    </w:r>
    <w:r w:rsidR="00B177F5">
      <w:rPr>
        <w:noProof/>
      </w:rPr>
      <w:t>Potential hydrological connections</w:t>
    </w:r>
    <w:r w:rsidR="006E0CDA">
      <w:rPr>
        <w:noProof/>
      </w:rPr>
      <w:fldChar w:fldCharType="end"/>
    </w:r>
    <w:r w:rsidR="006E0CDA">
      <w:rPr>
        <w:noProof/>
      </w:rPr>
      <mc:AlternateContent>
        <mc:Choice Requires="wps">
          <w:drawing>
            <wp:anchor distT="0" distB="0" distL="114300" distR="114300" simplePos="0" relativeHeight="251658246" behindDoc="0" locked="1" layoutInCell="1" allowOverlap="1" wp14:anchorId="71A7A052" wp14:editId="67F26414">
              <wp:simplePos x="0" y="0"/>
              <wp:positionH relativeFrom="column">
                <wp:posOffset>13430885</wp:posOffset>
              </wp:positionH>
              <wp:positionV relativeFrom="margin">
                <wp:posOffset>0</wp:posOffset>
              </wp:positionV>
              <wp:extent cx="683895" cy="7479030"/>
              <wp:effectExtent l="0" t="0" r="0" b="0"/>
              <wp:wrapNone/>
              <wp:docPr id="200635942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CA4B0A" w14:textId="6BF5B654" w:rsidR="006E0CDA" w:rsidRPr="00500A4A" w:rsidRDefault="006E0CDA" w:rsidP="001565E5">
                          <w:pPr>
                            <w:pStyle w:val="HeaderComponent"/>
                            <w:jc w:val="left"/>
                            <w:rPr>
                              <w:color w:val="146692" w:themeColor="text2"/>
                            </w:rPr>
                          </w:pPr>
                          <w:r w:rsidRPr="00500A4A">
                            <w:rPr>
                              <w:color w:val="146692" w:themeColor="text2"/>
                            </w:rPr>
                            <w:t xml:space="preserve">Stage 2: </w:t>
                          </w:r>
                          <w:r>
                            <w:rPr>
                              <w:color w:val="146692" w:themeColor="text2"/>
                            </w:rPr>
                            <w:t>Hydrogeology technical appendix</w:t>
                          </w:r>
                        </w:p>
                        <w:p w14:paraId="7CADAB20" w14:textId="77777777" w:rsidR="006E0CDA" w:rsidRPr="005C0B56" w:rsidRDefault="006E0CDA" w:rsidP="005C0B56">
                          <w:pPr>
                            <w:pStyle w:val="HeaderComponent"/>
                            <w:jc w:val="left"/>
                            <w:rPr>
                              <w:color w:val="0093CD" w:themeColor="accent1"/>
                            </w:rPr>
                          </w:pP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A7A052" id="_x0000_s1044" type="#_x0000_t202" style="position:absolute;left:0;text-align:left;margin-left:1057.55pt;margin-top:0;width:53.85pt;height:588.9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" filled="f" stroked="f">
              <v:textbox style="layout-flow:vertical">
                <w:txbxContent>
                  <w:p w14:paraId="45CA4B0A" w14:textId="6BF5B654" w:rsidR="006E0CDA" w:rsidRPr="00500A4A" w:rsidRDefault="006E0CDA" w:rsidP="001565E5">
                    <w:pPr>
                      <w:pStyle w:val="HeaderComponent"/>
                      <w:jc w:val="left"/>
                      <w:rPr>
                        <w:color w:val="146692" w:themeColor="text2"/>
                      </w:rPr>
                    </w:pPr>
                    <w:r w:rsidRPr="00500A4A">
                      <w:rPr>
                        <w:color w:val="146692" w:themeColor="text2"/>
                      </w:rPr>
                      <w:t xml:space="preserve">Stage 2: </w:t>
                    </w:r>
                    <w:r>
                      <w:rPr>
                        <w:color w:val="146692" w:themeColor="text2"/>
                      </w:rPr>
                      <w:t>Hydrogeology technical appendix</w:t>
                    </w:r>
                  </w:p>
                  <w:p w14:paraId="7CADAB20" w14:textId="77777777" w:rsidR="006E0CDA" w:rsidRPr="005C0B56" w:rsidRDefault="006E0CDA" w:rsidP="005C0B56">
                    <w:pPr>
                      <w:pStyle w:val="HeaderComponent"/>
                      <w:jc w:val="left"/>
                      <w:rPr>
                        <w:color w:val="0093CD" w:themeColor="accent1"/>
                      </w:rPr>
                    </w:pPr>
                  </w:p>
                </w:txbxContent>
              </v:textbox>
              <w10:wrap anchory="margin"/>
              <w10:anchorlock/>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B7C569" w14:textId="37EC05EA" w:rsidR="000276CD" w:rsidRPr="00977621" w:rsidRDefault="000276CD" w:rsidP="00977621">
    <w:pPr>
      <w:pStyle w:val="HeaderSection"/>
      <w:jc w:val="right"/>
    </w:pPr>
    <w:r>
      <w:rPr>
        <w:noProof/>
      </w:rPr>
      <w:fldChar w:fldCharType="begin"/>
    </w:r>
    <w:r>
      <w:rPr>
        <w:noProof/>
      </w:rPr>
      <w:instrText xml:space="preserve"> STYLEREF  "Heading 2" \n </w:instrText>
    </w:r>
    <w:r>
      <w:rPr>
        <w:noProof/>
      </w:rPr>
      <w:fldChar w:fldCharType="separate"/>
    </w:r>
    <w:r w:rsidR="00B177F5">
      <w:rPr>
        <w:noProof/>
      </w:rPr>
      <w:t>4</w:t>
    </w:r>
    <w:r>
      <w:rPr>
        <w:noProof/>
      </w:rPr>
      <w:fldChar w:fldCharType="end"/>
    </w:r>
    <w:r>
      <w:rPr>
        <w:noProof/>
      </w:rPr>
      <w:t xml:space="preserve"> </w:t>
    </w:r>
    <w:r>
      <w:rPr>
        <w:noProof/>
      </w:rPr>
      <w:fldChar w:fldCharType="begin"/>
    </w:r>
    <w:r>
      <w:rPr>
        <w:noProof/>
      </w:rPr>
      <w:instrText xml:space="preserve"> STYLEREF  "Heading 2" </w:instrText>
    </w:r>
    <w:r>
      <w:rPr>
        <w:noProof/>
      </w:rPr>
      <w:fldChar w:fldCharType="separate"/>
    </w:r>
    <w:r w:rsidR="00B177F5">
      <w:rPr>
        <w:noProof/>
      </w:rPr>
      <w:t>Potential hydrological connections</w:t>
    </w:r>
    <w:r>
      <w:rPr>
        <w:noProof/>
      </w:rPr>
      <w:fldChar w:fldCharType="end"/>
    </w:r>
    <w:r>
      <w:rPr>
        <w:noProof/>
      </w:rPr>
      <mc:AlternateContent>
        <mc:Choice Requires="wps">
          <w:drawing>
            <wp:anchor distT="0" distB="0" distL="114300" distR="114300" simplePos="0" relativeHeight="251666452" behindDoc="0" locked="1" layoutInCell="1" allowOverlap="1" wp14:anchorId="525ABAB9" wp14:editId="7DBA2199">
              <wp:simplePos x="0" y="0"/>
              <wp:positionH relativeFrom="column">
                <wp:posOffset>13430885</wp:posOffset>
              </wp:positionH>
              <wp:positionV relativeFrom="margin">
                <wp:posOffset>0</wp:posOffset>
              </wp:positionV>
              <wp:extent cx="683895" cy="7479030"/>
              <wp:effectExtent l="0" t="0" r="0" b="0"/>
              <wp:wrapNone/>
              <wp:docPr id="3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AB55F1" w14:textId="77777777" w:rsidR="000276CD" w:rsidRPr="00500A4A" w:rsidRDefault="000276CD" w:rsidP="001565E5">
                          <w:pPr>
                            <w:pStyle w:val="HeaderComponent"/>
                            <w:jc w:val="left"/>
                            <w:rPr>
                              <w:color w:val="146692" w:themeColor="text2"/>
                            </w:rPr>
                          </w:pPr>
                          <w:r w:rsidRPr="00500A4A">
                            <w:rPr>
                              <w:color w:val="146692" w:themeColor="text2"/>
                            </w:rPr>
                            <w:t xml:space="preserve">Stage 2: </w:t>
                          </w:r>
                          <w:r>
                            <w:rPr>
                              <w:color w:val="146692" w:themeColor="text2"/>
                            </w:rPr>
                            <w:t>Hydrogeology technical appendix</w:t>
                          </w:r>
                        </w:p>
                        <w:p w14:paraId="030CFA90" w14:textId="77777777" w:rsidR="000276CD" w:rsidRPr="005C0B56" w:rsidRDefault="000276CD" w:rsidP="005C0B56">
                          <w:pPr>
                            <w:pStyle w:val="HeaderComponent"/>
                            <w:jc w:val="left"/>
                            <w:rPr>
                              <w:color w:val="0093CD" w:themeColor="accent1"/>
                            </w:rPr>
                          </w:pP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5ABAB9" id="_x0000_t202" coordsize="21600,21600" o:spt="202" path="m,l,21600r21600,l21600,xe">
              <v:stroke joinstyle="miter"/>
              <v:path gradientshapeok="t" o:connecttype="rect"/>
            </v:shapetype>
            <v:shape id="_x0000_s1045" type="#_x0000_t202" style="position:absolute;left:0;text-align:left;margin-left:1057.55pt;margin-top:0;width:53.85pt;height:588.9pt;z-index:25166645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" filled="f" stroked="f">
              <v:textbox style="layout-flow:vertical">
                <w:txbxContent>
                  <w:p w14:paraId="77AB55F1" w14:textId="77777777" w:rsidR="000276CD" w:rsidRPr="00500A4A" w:rsidRDefault="000276CD" w:rsidP="001565E5">
                    <w:pPr>
                      <w:pStyle w:val="HeaderComponent"/>
                      <w:jc w:val="left"/>
                      <w:rPr>
                        <w:color w:val="146692" w:themeColor="text2"/>
                      </w:rPr>
                    </w:pPr>
                    <w:r w:rsidRPr="00500A4A">
                      <w:rPr>
                        <w:color w:val="146692" w:themeColor="text2"/>
                      </w:rPr>
                      <w:t xml:space="preserve">Stage 2: </w:t>
                    </w:r>
                    <w:r>
                      <w:rPr>
                        <w:color w:val="146692" w:themeColor="text2"/>
                      </w:rPr>
                      <w:t>Hydrogeology technical appendix</w:t>
                    </w:r>
                  </w:p>
                  <w:p w14:paraId="030CFA90" w14:textId="77777777" w:rsidR="000276CD" w:rsidRPr="005C0B56" w:rsidRDefault="000276CD" w:rsidP="005C0B56">
                    <w:pPr>
                      <w:pStyle w:val="HeaderComponent"/>
                      <w:jc w:val="left"/>
                      <w:rPr>
                        <w:color w:val="0093CD" w:themeColor="accent1"/>
                      </w:rPr>
                    </w:pPr>
                  </w:p>
                </w:txbxContent>
              </v:textbox>
              <w10:wrap anchory="margin"/>
              <w10:anchorlock/>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5CED58" w14:textId="5659C664" w:rsidR="006E0CDA" w:rsidRPr="00977621" w:rsidRDefault="006E0CDA" w:rsidP="00977621">
    <w:pPr>
      <w:pStyle w:val="HeaderSection"/>
    </w:pPr>
    <w:r>
      <w:rPr>
        <w:noProof/>
      </w:rPr>
      <w:fldChar w:fldCharType="begin"/>
    </w:r>
    <w:r>
      <w:rPr>
        <w:noProof/>
      </w:rPr>
      <w:instrText xml:space="preserve"> STYLEREF  "Heading 2" \n </w:instrText>
    </w:r>
    <w:r>
      <w:rPr>
        <w:noProof/>
      </w:rPr>
      <w:fldChar w:fldCharType="separate"/>
    </w:r>
    <w:r w:rsidR="00B177F5">
      <w:rPr>
        <w:noProof/>
      </w:rPr>
      <w:t>5</w:t>
    </w:r>
    <w:r>
      <w:rPr>
        <w:noProof/>
      </w:rPr>
      <w:fldChar w:fldCharType="end"/>
    </w:r>
    <w:r>
      <w:rPr>
        <w:noProof/>
      </w:rPr>
      <mc:AlternateContent>
        <mc:Choice Requires="wps">
          <w:drawing>
            <wp:anchor distT="0" distB="0" distL="114300" distR="114300" simplePos="0" relativeHeight="251658255" behindDoc="0" locked="1" layoutInCell="1" allowOverlap="1" wp14:anchorId="2C6A8B30" wp14:editId="0E6A772C">
              <wp:simplePos x="0" y="0"/>
              <wp:positionH relativeFrom="column">
                <wp:posOffset>-773430</wp:posOffset>
              </wp:positionH>
              <wp:positionV relativeFrom="margin">
                <wp:posOffset>635</wp:posOffset>
              </wp:positionV>
              <wp:extent cx="685800" cy="7479030"/>
              <wp:effectExtent l="0" t="0" r="0" b="7620"/>
              <wp:wrapNone/>
              <wp:docPr id="34"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93B1A0" w14:textId="77777777" w:rsidR="006E0CDA" w:rsidRPr="00ED7E9D" w:rsidRDefault="006E0CDA" w:rsidP="0069354C">
                          <w:pPr>
                            <w:pStyle w:val="HeaderComponent"/>
                            <w:rPr>
                              <w:color w:val="146692" w:themeColor="text2"/>
                            </w:rPr>
                          </w:pPr>
                          <w:r w:rsidRPr="00500A4A">
                            <w:rPr>
                              <w:color w:val="146692" w:themeColor="text2"/>
                            </w:rPr>
                            <w:t>Stage 2:</w:t>
                          </w:r>
                          <w:r>
                            <w:rPr>
                              <w:color w:val="146692" w:themeColor="text2"/>
                            </w:rPr>
                            <w:t xml:space="preserve"> Hydrogeology technical appendix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6A8B30" id="_x0000_t202" coordsize="21600,21600" o:spt="202" path="m,l,21600r21600,l21600,xe">
              <v:stroke joinstyle="miter"/>
              <v:path gradientshapeok="t" o:connecttype="rect"/>
            </v:shapetype>
            <v:shape id="_x0000_s1046" type="#_x0000_t202" style="position:absolute;margin-left:-60.9pt;margin-top:.05pt;width:54pt;height:588.9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" filled="f" stroked="f">
              <v:textbox style="layout-flow:vertical;mso-layout-flow-alt:bottom-to-top">
                <w:txbxContent>
                  <w:p w14:paraId="3093B1A0" w14:textId="77777777" w:rsidR="006E0CDA" w:rsidRPr="00ED7E9D" w:rsidRDefault="006E0CDA" w:rsidP="0069354C">
                    <w:pPr>
                      <w:pStyle w:val="HeaderComponent"/>
                      <w:rPr>
                        <w:color w:val="146692" w:themeColor="text2"/>
                      </w:rPr>
                    </w:pPr>
                    <w:r w:rsidRPr="00500A4A">
                      <w:rPr>
                        <w:color w:val="146692" w:themeColor="text2"/>
                      </w:rPr>
                      <w:t>Stage 2:</w:t>
                    </w:r>
                    <w:r>
                      <w:rPr>
                        <w:color w:val="146692" w:themeColor="text2"/>
                      </w:rPr>
                      <w:t xml:space="preserve"> Hydrogeology technical appendix</w:t>
                    </w:r>
                  </w:p>
                </w:txbxContent>
              </v:textbox>
              <w10:wrap anchory="margin"/>
              <w10:anchorlock/>
            </v:shape>
          </w:pict>
        </mc:Fallback>
      </mc:AlternateContent>
    </w:r>
    <w:r>
      <w:rPr>
        <w:noProof/>
      </w:rPr>
      <w:t xml:space="preserve"> </w:t>
    </w:r>
    <w:r>
      <w:rPr>
        <w:noProof/>
      </w:rPr>
      <w:fldChar w:fldCharType="begin"/>
    </w:r>
    <w:r>
      <w:rPr>
        <w:noProof/>
      </w:rPr>
      <w:instrText xml:space="preserve"> STYLEREF  "Heading 2" </w:instrText>
    </w:r>
    <w:r>
      <w:rPr>
        <w:noProof/>
      </w:rPr>
      <w:fldChar w:fldCharType="separate"/>
    </w:r>
    <w:r w:rsidR="00B177F5">
      <w:rPr>
        <w:noProof/>
      </w:rPr>
      <w:t>Conclusions</w:t>
    </w:r>
    <w:r>
      <w:rPr>
        <w:noProof/>
      </w:rPr>
      <w:fldChar w:fldCharType="end"/>
    </w:r>
    <w:r w:rsidRPr="008B4858">
      <w:rPr>
        <w:noProof/>
      </w:rPr>
      <w:t xml:space="preserve"> </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36564E" w14:textId="34BB72A6" w:rsidR="006E0CDA" w:rsidRPr="00977621" w:rsidRDefault="006E0CDA" w:rsidP="0005578E">
    <w:pPr>
      <w:pStyle w:val="HeaderSection"/>
      <w:jc w:val="right"/>
    </w:pPr>
    <w:r>
      <w:rPr>
        <w:noProof/>
      </w:rPr>
      <mc:AlternateContent>
        <mc:Choice Requires="wps">
          <w:drawing>
            <wp:anchor distT="0" distB="0" distL="114300" distR="114300" simplePos="0" relativeHeight="251658256" behindDoc="0" locked="1" layoutInCell="1" allowOverlap="1" wp14:anchorId="0437466E" wp14:editId="5795A5D4">
              <wp:simplePos x="0" y="0"/>
              <wp:positionH relativeFrom="column">
                <wp:posOffset>6189345</wp:posOffset>
              </wp:positionH>
              <wp:positionV relativeFrom="margin">
                <wp:posOffset>0</wp:posOffset>
              </wp:positionV>
              <wp:extent cx="683895" cy="7479030"/>
              <wp:effectExtent l="0" t="0" r="0" b="0"/>
              <wp:wrapNone/>
              <wp:docPr id="3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171F0A" w14:textId="77777777" w:rsidR="006E0CDA" w:rsidRPr="00ED7E9D" w:rsidRDefault="006E0CDA" w:rsidP="0069354C">
                          <w:pPr>
                            <w:pStyle w:val="HeaderComponent"/>
                            <w:jc w:val="left"/>
                            <w:rPr>
                              <w:color w:val="146692" w:themeColor="text2"/>
                            </w:rPr>
                          </w:pPr>
                          <w:r w:rsidRPr="00500A4A">
                            <w:rPr>
                              <w:color w:val="146692" w:themeColor="text2"/>
                            </w:rPr>
                            <w:t>Stage 2</w:t>
                          </w:r>
                          <w:r>
                            <w:rPr>
                              <w:color w:val="146692" w:themeColor="text2"/>
                            </w:rPr>
                            <w:t>: Hydrogeology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37466E" id="_x0000_t202" coordsize="21600,21600" o:spt="202" path="m,l,21600r21600,l21600,xe">
              <v:stroke joinstyle="miter"/>
              <v:path gradientshapeok="t" o:connecttype="rect"/>
            </v:shapetype>
            <v:shape id="_x0000_s1047" type="#_x0000_t202" style="position:absolute;left:0;text-align:left;margin-left:487.35pt;margin-top:0;width:53.85pt;height:588.9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" filled="f" stroked="f">
              <v:textbox style="layout-flow:vertical">
                <w:txbxContent>
                  <w:p w14:paraId="22171F0A" w14:textId="77777777" w:rsidR="006E0CDA" w:rsidRPr="00ED7E9D" w:rsidRDefault="006E0CDA" w:rsidP="0069354C">
                    <w:pPr>
                      <w:pStyle w:val="HeaderComponent"/>
                      <w:jc w:val="left"/>
                      <w:rPr>
                        <w:color w:val="146692" w:themeColor="text2"/>
                      </w:rPr>
                    </w:pPr>
                    <w:r w:rsidRPr="00500A4A">
                      <w:rPr>
                        <w:color w:val="146692" w:themeColor="text2"/>
                      </w:rPr>
                      <w:t>Stage 2</w:t>
                    </w:r>
                    <w:r>
                      <w:rPr>
                        <w:color w:val="146692" w:themeColor="text2"/>
                      </w:rPr>
                      <w:t>: Hydrogeology technical appendix</w:t>
                    </w:r>
                  </w:p>
                </w:txbxContent>
              </v:textbox>
              <w10:wrap anchory="margin"/>
              <w10:anchorlock/>
            </v:shape>
          </w:pict>
        </mc:Fallback>
      </mc:AlternateContent>
    </w:r>
    <w:r>
      <w:rPr>
        <w:noProof/>
      </w:rPr>
      <w:fldChar w:fldCharType="begin"/>
    </w:r>
    <w:r>
      <w:rPr>
        <w:noProof/>
      </w:rPr>
      <w:instrText xml:space="preserve"> STYLEREF  "Heading 2" \n </w:instrText>
    </w:r>
    <w:r>
      <w:rPr>
        <w:noProof/>
      </w:rPr>
      <w:fldChar w:fldCharType="separate"/>
    </w:r>
    <w:r w:rsidR="00B177F5">
      <w:rPr>
        <w:noProof/>
      </w:rPr>
      <w:t>5</w:t>
    </w:r>
    <w:r>
      <w:rPr>
        <w:noProof/>
      </w:rPr>
      <w:fldChar w:fldCharType="end"/>
    </w:r>
    <w:r>
      <w:t xml:space="preserve"> </w:t>
    </w:r>
    <w:r>
      <w:rPr>
        <w:noProof/>
      </w:rPr>
      <w:fldChar w:fldCharType="begin"/>
    </w:r>
    <w:r>
      <w:rPr>
        <w:noProof/>
      </w:rPr>
      <w:instrText xml:space="preserve"> STYLEREF  "Heading 2" </w:instrText>
    </w:r>
    <w:r>
      <w:rPr>
        <w:noProof/>
      </w:rPr>
      <w:fldChar w:fldCharType="separate"/>
    </w:r>
    <w:r w:rsidR="00B177F5">
      <w:rPr>
        <w:noProof/>
      </w:rPr>
      <w:t>Conclusions</w:t>
    </w:r>
    <w:r>
      <w:rPr>
        <w:noProof/>
      </w:rPr>
      <w:fldChar w:fldCharType="end"/>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E5A318" w14:textId="78DB03AC" w:rsidR="006E0CDA" w:rsidRPr="00977621" w:rsidRDefault="006E0CDA" w:rsidP="00977621">
    <w:pPr>
      <w:pStyle w:val="HeaderSection"/>
    </w:pPr>
    <w:r>
      <w:rPr>
        <w:noProof/>
      </w:rPr>
      <mc:AlternateContent>
        <mc:Choice Requires="wps">
          <w:drawing>
            <wp:anchor distT="0" distB="0" distL="114300" distR="114300" simplePos="0" relativeHeight="251658259" behindDoc="0" locked="1" layoutInCell="1" allowOverlap="1" wp14:anchorId="78AE8A03" wp14:editId="5AF17B11">
              <wp:simplePos x="0" y="0"/>
              <wp:positionH relativeFrom="column">
                <wp:posOffset>-773430</wp:posOffset>
              </wp:positionH>
              <wp:positionV relativeFrom="margin">
                <wp:posOffset>635</wp:posOffset>
              </wp:positionV>
              <wp:extent cx="685800" cy="7479030"/>
              <wp:effectExtent l="0" t="0" r="0" b="7620"/>
              <wp:wrapNone/>
              <wp:docPr id="1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CE239C" w14:textId="77777777" w:rsidR="006E0CDA" w:rsidRPr="00ED7E9D" w:rsidRDefault="006E0CDA" w:rsidP="0069354C">
                          <w:pPr>
                            <w:pStyle w:val="HeaderComponent"/>
                            <w:rPr>
                              <w:color w:val="146692" w:themeColor="text2"/>
                            </w:rPr>
                          </w:pPr>
                          <w:r w:rsidRPr="00500A4A">
                            <w:rPr>
                              <w:color w:val="146692" w:themeColor="text2"/>
                            </w:rPr>
                            <w:t>Stage 2:</w:t>
                          </w:r>
                          <w:r>
                            <w:rPr>
                              <w:color w:val="146692" w:themeColor="text2"/>
                            </w:rPr>
                            <w:t xml:space="preserve"> Hydrogeology technical appendix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8AE8A03" id="_x0000_t202" coordsize="21600,21600" o:spt="202" path="m,l,21600r21600,l21600,xe">
              <v:stroke joinstyle="miter"/>
              <v:path gradientshapeok="t" o:connecttype="rect"/>
            </v:shapetype>
            <v:shape id="_x0000_s1048" type="#_x0000_t202" style="position:absolute;margin-left:-60.9pt;margin-top:.05pt;width:54pt;height:588.9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" filled="f" stroked="f">
              <v:textbox style="layout-flow:vertical;mso-layout-flow-alt:bottom-to-top">
                <w:txbxContent>
                  <w:p w14:paraId="71CE239C" w14:textId="77777777" w:rsidR="006E0CDA" w:rsidRPr="00ED7E9D" w:rsidRDefault="006E0CDA" w:rsidP="0069354C">
                    <w:pPr>
                      <w:pStyle w:val="HeaderComponent"/>
                      <w:rPr>
                        <w:color w:val="146692" w:themeColor="text2"/>
                      </w:rPr>
                    </w:pPr>
                    <w:r w:rsidRPr="00500A4A">
                      <w:rPr>
                        <w:color w:val="146692" w:themeColor="text2"/>
                      </w:rPr>
                      <w:t>Stage 2:</w:t>
                    </w:r>
                    <w:r>
                      <w:rPr>
                        <w:color w:val="146692" w:themeColor="text2"/>
                      </w:rPr>
                      <w:t xml:space="preserve"> Hydrogeology technical appendix</w:t>
                    </w:r>
                  </w:p>
                </w:txbxContent>
              </v:textbox>
              <w10:wrap anchory="margin"/>
              <w10:anchorlock/>
            </v:shape>
          </w:pict>
        </mc:Fallback>
      </mc:AlternateContent>
    </w:r>
    <w:r>
      <w:rPr>
        <w:noProof/>
      </w:rPr>
      <w:fldChar w:fldCharType="begin"/>
    </w:r>
    <w:r>
      <w:rPr>
        <w:noProof/>
      </w:rPr>
      <w:instrText xml:space="preserve"> STYLEREF  "Heading 2 not numbered" </w:instrText>
    </w:r>
    <w:r>
      <w:rPr>
        <w:noProof/>
      </w:rPr>
      <w:fldChar w:fldCharType="separate"/>
    </w:r>
    <w:r w:rsidR="00B177F5">
      <w:rPr>
        <w:noProof/>
      </w:rPr>
      <w:t>References</w:t>
    </w:r>
    <w:r>
      <w:rPr>
        <w:noProof/>
      </w:rPr>
      <w:fldChar w:fldCharType="end"/>
    </w:r>
    <w:r w:rsidRPr="008B4858">
      <w:rPr>
        <w:noProof/>
      </w:rPr>
      <w:t xml:space="preserve"> </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5A8DC9" w14:textId="57722916" w:rsidR="006E0CDA" w:rsidRPr="00977621" w:rsidRDefault="006E0CDA" w:rsidP="0005578E">
    <w:pPr>
      <w:pStyle w:val="HeaderSection"/>
      <w:jc w:val="right"/>
    </w:pPr>
    <w:r>
      <w:rPr>
        <w:noProof/>
      </w:rPr>
      <mc:AlternateContent>
        <mc:Choice Requires="wps">
          <w:drawing>
            <wp:anchor distT="0" distB="0" distL="114300" distR="114300" simplePos="0" relativeHeight="251658260" behindDoc="0" locked="1" layoutInCell="1" allowOverlap="1" wp14:anchorId="6DFE2485" wp14:editId="49CBED9D">
              <wp:simplePos x="0" y="0"/>
              <wp:positionH relativeFrom="column">
                <wp:posOffset>6189345</wp:posOffset>
              </wp:positionH>
              <wp:positionV relativeFrom="margin">
                <wp:posOffset>0</wp:posOffset>
              </wp:positionV>
              <wp:extent cx="683895" cy="7479030"/>
              <wp:effectExtent l="0" t="0" r="0" b="0"/>
              <wp:wrapNone/>
              <wp:docPr id="2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E58482" w14:textId="77777777" w:rsidR="006E0CDA" w:rsidRPr="00ED7E9D" w:rsidRDefault="006E0CDA" w:rsidP="0069354C">
                          <w:pPr>
                            <w:pStyle w:val="HeaderComponent"/>
                            <w:jc w:val="left"/>
                            <w:rPr>
                              <w:color w:val="146692" w:themeColor="text2"/>
                            </w:rPr>
                          </w:pPr>
                          <w:r w:rsidRPr="00500A4A">
                            <w:rPr>
                              <w:color w:val="146692" w:themeColor="text2"/>
                            </w:rPr>
                            <w:t>Stage 2</w:t>
                          </w:r>
                          <w:r>
                            <w:rPr>
                              <w:color w:val="146692" w:themeColor="text2"/>
                            </w:rPr>
                            <w:t>: Hydrogeology technical appendix</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FE2485" id="_x0000_t202" coordsize="21600,21600" o:spt="202" path="m,l,21600r21600,l21600,xe">
              <v:stroke joinstyle="miter"/>
              <v:path gradientshapeok="t" o:connecttype="rect"/>
            </v:shapetype>
            <v:shape id="_x0000_s1049" type="#_x0000_t202" style="position:absolute;left:0;text-align:left;margin-left:487.35pt;margin-top:0;width:53.85pt;height:588.9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" filled="f" stroked="f">
              <v:textbox style="layout-flow:vertical">
                <w:txbxContent>
                  <w:p w14:paraId="34E58482" w14:textId="77777777" w:rsidR="006E0CDA" w:rsidRPr="00ED7E9D" w:rsidRDefault="006E0CDA" w:rsidP="0069354C">
                    <w:pPr>
                      <w:pStyle w:val="HeaderComponent"/>
                      <w:jc w:val="left"/>
                      <w:rPr>
                        <w:color w:val="146692" w:themeColor="text2"/>
                      </w:rPr>
                    </w:pPr>
                    <w:r w:rsidRPr="00500A4A">
                      <w:rPr>
                        <w:color w:val="146692" w:themeColor="text2"/>
                      </w:rPr>
                      <w:t>Stage 2</w:t>
                    </w:r>
                    <w:r>
                      <w:rPr>
                        <w:color w:val="146692" w:themeColor="text2"/>
                      </w:rPr>
                      <w:t>: Hydrogeology technical appendix</w:t>
                    </w:r>
                  </w:p>
                </w:txbxContent>
              </v:textbox>
              <w10:wrap anchory="margin"/>
              <w10:anchorlock/>
            </v:shape>
          </w:pict>
        </mc:Fallback>
      </mc:AlternateContent>
    </w:r>
    <w:r>
      <w:rPr>
        <w:noProof/>
      </w:rPr>
      <w:fldChar w:fldCharType="begin"/>
    </w:r>
    <w:r>
      <w:rPr>
        <w:noProof/>
      </w:rPr>
      <w:instrText xml:space="preserve"> STYLEREF  "Heading 2 not numbered" </w:instrText>
    </w:r>
    <w:r>
      <w:rPr>
        <w:noProof/>
      </w:rPr>
      <w:fldChar w:fldCharType="separate"/>
    </w:r>
    <w:r w:rsidR="00B177F5">
      <w:rPr>
        <w:noProof/>
      </w:rPr>
      <w:t>Glossary</w:t>
    </w:r>
    <w:r>
      <w:rPr>
        <w:noProof/>
      </w:rPr>
      <w:fldChar w:fldCharType="end"/>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DD954F" w14:textId="77777777" w:rsidR="006E0CDA" w:rsidRPr="000902F6" w:rsidRDefault="006E0CDA" w:rsidP="000902F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438031" w14:textId="77777777" w:rsidR="00B177F5" w:rsidRDefault="00B177F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D6D2D6" w14:textId="77777777" w:rsidR="006E0CDA" w:rsidRDefault="006E0CDA">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CB62D5" w14:textId="77777777" w:rsidR="006E0CDA" w:rsidRDefault="006E0CDA">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6B96B5" w14:textId="77777777" w:rsidR="006E0CDA" w:rsidRPr="005C0B56" w:rsidRDefault="006E0CDA" w:rsidP="0013472C">
    <w:pPr>
      <w:pStyle w:val="HeaderSection"/>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16419D" w14:textId="77777777" w:rsidR="006E0CDA" w:rsidRDefault="006E0CDA" w:rsidP="0013472C">
    <w:pPr>
      <w:pStyle w:val="HeaderSection"/>
      <w:jc w:val="righ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0881B2" w14:textId="3E9B2B67" w:rsidR="006E0CDA" w:rsidRPr="00977621" w:rsidRDefault="006E0CDA" w:rsidP="00977621">
    <w:pPr>
      <w:pStyle w:val="HeaderSection"/>
    </w:pPr>
    <w:r>
      <w:rPr>
        <w:noProof/>
      </w:rPr>
      <mc:AlternateContent>
        <mc:Choice Requires="wps">
          <w:drawing>
            <wp:anchor distT="0" distB="0" distL="114300" distR="114300" simplePos="0" relativeHeight="251658240" behindDoc="0" locked="1" layoutInCell="1" allowOverlap="1" wp14:anchorId="236464A1" wp14:editId="7855474A">
              <wp:simplePos x="0" y="0"/>
              <wp:positionH relativeFrom="column">
                <wp:posOffset>-697230</wp:posOffset>
              </wp:positionH>
              <wp:positionV relativeFrom="margin">
                <wp:posOffset>53975</wp:posOffset>
              </wp:positionV>
              <wp:extent cx="647700" cy="7479030"/>
              <wp:effectExtent l="0" t="0" r="0" b="7620"/>
              <wp:wrapNone/>
              <wp:docPr id="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2D94BF" w14:textId="501CB57F" w:rsidR="006E0CDA" w:rsidRPr="00500A4A" w:rsidRDefault="006E0CDA" w:rsidP="00500A4A">
                          <w:pPr>
                            <w:pStyle w:val="HeaderComponent"/>
                            <w:rPr>
                              <w:color w:val="146692" w:themeColor="text2"/>
                            </w:rPr>
                          </w:pPr>
                          <w:r w:rsidRPr="00500A4A">
                            <w:rPr>
                              <w:color w:val="146692" w:themeColor="text2"/>
                            </w:rPr>
                            <w:t>Stage 2:</w:t>
                          </w:r>
                          <w:r>
                            <w:rPr>
                              <w:color w:val="146692" w:themeColor="text2"/>
                            </w:rPr>
                            <w:t xml:space="preserve"> Hydrogeology technical appendix</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6464A1" id="_x0000_t202" coordsize="21600,21600" o:spt="202" path="m,l,21600r21600,l21600,xe">
              <v:stroke joinstyle="miter"/>
              <v:path gradientshapeok="t" o:connecttype="rect"/>
            </v:shapetype>
            <v:shape id="Text Box 15" o:spid="_x0000_s1026" type="#_x0000_t202" style="position:absolute;margin-left:-54.9pt;margin-top:4.25pt;width:51pt;height:588.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" filled="f" stroked="f">
              <v:textbox style="layout-flow:vertical;mso-layout-flow-alt:bottom-to-top">
                <w:txbxContent>
                  <w:p w14:paraId="502D94BF" w14:textId="501CB57F" w:rsidR="006E0CDA" w:rsidRPr="00500A4A" w:rsidRDefault="006E0CDA" w:rsidP="00500A4A">
                    <w:pPr>
                      <w:pStyle w:val="HeaderComponent"/>
                      <w:rPr>
                        <w:color w:val="146692" w:themeColor="text2"/>
                      </w:rPr>
                    </w:pPr>
                    <w:r w:rsidRPr="00500A4A">
                      <w:rPr>
                        <w:color w:val="146692" w:themeColor="text2"/>
                      </w:rPr>
                      <w:t>Stage 2:</w:t>
                    </w:r>
                    <w:r>
                      <w:rPr>
                        <w:color w:val="146692" w:themeColor="text2"/>
                      </w:rPr>
                      <w:t xml:space="preserve"> Hydrogeology technical appendix</w:t>
                    </w:r>
                  </w:p>
                </w:txbxContent>
              </v:textbox>
              <w10:wrap anchory="margin"/>
              <w10:anchorlock/>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2CF5E2" w14:textId="773D4E6C" w:rsidR="006E0CDA" w:rsidRPr="00977621" w:rsidRDefault="006E0CDA" w:rsidP="00977621">
    <w:pPr>
      <w:pStyle w:val="HeaderSection"/>
      <w:jc w:val="right"/>
    </w:pPr>
    <w:r>
      <w:rPr>
        <w:noProof/>
      </w:rPr>
      <mc:AlternateContent>
        <mc:Choice Requires="wps">
          <w:drawing>
            <wp:anchor distT="0" distB="0" distL="114300" distR="114300" simplePos="0" relativeHeight="251658241" behindDoc="0" locked="1" layoutInCell="1" allowOverlap="1" wp14:anchorId="53E1A72F" wp14:editId="12D785E0">
              <wp:simplePos x="0" y="0"/>
              <wp:positionH relativeFrom="column">
                <wp:posOffset>6189345</wp:posOffset>
              </wp:positionH>
              <wp:positionV relativeFrom="margin">
                <wp:posOffset>0</wp:posOffset>
              </wp:positionV>
              <wp:extent cx="683895" cy="7479030"/>
              <wp:effectExtent l="0" t="0" r="0" b="0"/>
              <wp:wrapNone/>
              <wp:docPr id="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895" cy="7479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53E567" w14:textId="16CA0732" w:rsidR="006E0CDA" w:rsidRPr="00500A4A" w:rsidRDefault="006E0CDA" w:rsidP="001565E5">
                          <w:pPr>
                            <w:pStyle w:val="HeaderComponent"/>
                            <w:jc w:val="left"/>
                            <w:rPr>
                              <w:color w:val="146692" w:themeColor="text2"/>
                            </w:rPr>
                          </w:pPr>
                          <w:r w:rsidRPr="00500A4A">
                            <w:rPr>
                              <w:color w:val="146692" w:themeColor="text2"/>
                            </w:rPr>
                            <w:t>Stage 2</w:t>
                          </w:r>
                          <w:r>
                            <w:rPr>
                              <w:color w:val="146692" w:themeColor="text2"/>
                            </w:rPr>
                            <w:t xml:space="preserve">: Hydrogeology technical appendix </w:t>
                          </w:r>
                        </w:p>
                        <w:p w14:paraId="72944834" w14:textId="77777777" w:rsidR="006E0CDA" w:rsidRPr="005C0B56" w:rsidRDefault="006E0CDA" w:rsidP="005C0B56">
                          <w:pPr>
                            <w:pStyle w:val="HeaderComponent"/>
                            <w:jc w:val="left"/>
                            <w:rPr>
                              <w:color w:val="0093CD" w:themeColor="accent1"/>
                            </w:rPr>
                          </w:pP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E1A72F" id="_x0000_t202" coordsize="21600,21600" o:spt="202" path="m,l,21600r21600,l21600,xe">
              <v:stroke joinstyle="miter"/>
              <v:path gradientshapeok="t" o:connecttype="rect"/>
            </v:shapetype>
            <v:shape id="Text Box 16" o:spid="_x0000_s1027" type="#_x0000_t202" style="position:absolute;left:0;text-align:left;margin-left:487.35pt;margin-top:0;width:53.85pt;height:588.9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" filled="f" stroked="f">
              <v:textbox style="layout-flow:vertical">
                <w:txbxContent>
                  <w:p w14:paraId="0953E567" w14:textId="16CA0732" w:rsidR="006E0CDA" w:rsidRPr="00500A4A" w:rsidRDefault="006E0CDA" w:rsidP="001565E5">
                    <w:pPr>
                      <w:pStyle w:val="HeaderComponent"/>
                      <w:jc w:val="left"/>
                      <w:rPr>
                        <w:color w:val="146692" w:themeColor="text2"/>
                      </w:rPr>
                    </w:pPr>
                    <w:r w:rsidRPr="00500A4A">
                      <w:rPr>
                        <w:color w:val="146692" w:themeColor="text2"/>
                      </w:rPr>
                      <w:t>Stage 2</w:t>
                    </w:r>
                    <w:r>
                      <w:rPr>
                        <w:color w:val="146692" w:themeColor="text2"/>
                      </w:rPr>
                      <w:t xml:space="preserve">: Hydrogeology technical appendix </w:t>
                    </w:r>
                  </w:p>
                  <w:p w14:paraId="72944834" w14:textId="77777777" w:rsidR="006E0CDA" w:rsidRPr="005C0B56" w:rsidRDefault="006E0CDA" w:rsidP="005C0B56">
                    <w:pPr>
                      <w:pStyle w:val="HeaderComponent"/>
                      <w:jc w:val="left"/>
                      <w:rPr>
                        <w:color w:val="0093CD" w:themeColor="accent1"/>
                      </w:rPr>
                    </w:pPr>
                  </w:p>
                </w:txbxContent>
              </v:textbox>
              <w10:wrap anchory="margin"/>
              <w10:anchorlock/>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909E9A70"/>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AC61F0C"/>
    <w:styleLink w:val="TableBullets1"/>
    <w:lvl w:ilvl="0">
      <w:start w:val="1"/>
      <w:numFmt w:val="decimal"/>
      <w:pStyle w:val="ListNumber4"/>
      <w:lvlText w:val="%1."/>
      <w:lvlJc w:val="left"/>
      <w:pPr>
        <w:tabs>
          <w:tab w:val="num" w:pos="1209"/>
        </w:tabs>
        <w:ind w:left="1209" w:hanging="360"/>
      </w:pPr>
    </w:lvl>
  </w:abstractNum>
  <w:abstractNum w:abstractNumId="2" w15:restartNumberingAfterBreak="0">
    <w:nsid w:val="FFFFFF82"/>
    <w:multiLevelType w:val="singleLevel"/>
    <w:tmpl w:val="860A9B14"/>
    <w:lvl w:ilvl="0">
      <w:start w:val="1"/>
      <w:numFmt w:val="bullet"/>
      <w:pStyle w:val="ListNumber3"/>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4" w15:restartNumberingAfterBreak="0">
    <w:nsid w:val="FFFFFF88"/>
    <w:multiLevelType w:val="singleLevel"/>
    <w:tmpl w:val="6F70AC30"/>
    <w:lvl w:ilvl="0">
      <w:start w:val="1"/>
      <w:numFmt w:val="decimal"/>
      <w:pStyle w:val="ListBullet4"/>
      <w:lvlText w:val="%1."/>
      <w:lvlJc w:val="left"/>
      <w:pPr>
        <w:ind w:left="360" w:hanging="360"/>
      </w:pPr>
      <w:rPr>
        <w:rFonts w:cs="Times New Roman"/>
      </w:rPr>
    </w:lvl>
  </w:abstractNum>
  <w:abstractNum w:abstractNumId="5" w15:restartNumberingAfterBreak="0">
    <w:nsid w:val="01C80A0C"/>
    <w:multiLevelType w:val="multilevel"/>
    <w:tmpl w:val="2272F062"/>
    <w:lvl w:ilvl="0">
      <w:start w:val="1"/>
      <w:numFmt w:val="bullet"/>
      <w:pStyle w:val="ListBullet"/>
      <w:lvlText w:val=""/>
      <w:lvlJc w:val="left"/>
      <w:pPr>
        <w:tabs>
          <w:tab w:val="num" w:pos="567"/>
        </w:tabs>
        <w:ind w:left="567" w:hanging="283"/>
      </w:pPr>
      <w:rPr>
        <w:rFonts w:ascii="Symbol" w:hAnsi="Symbol" w:hint="default"/>
        <w:color w:val="auto"/>
      </w:rPr>
    </w:lvl>
    <w:lvl w:ilvl="1">
      <w:start w:val="1"/>
      <w:numFmt w:val="bullet"/>
      <w:pStyle w:val="ListBullet2"/>
      <w:lvlText w:val=""/>
      <w:lvlJc w:val="left"/>
      <w:pPr>
        <w:tabs>
          <w:tab w:val="num" w:pos="851"/>
        </w:tabs>
        <w:ind w:left="851" w:hanging="284"/>
      </w:pPr>
      <w:rPr>
        <w:rFonts w:ascii="Symbol" w:hAnsi="Symbol" w:hint="default"/>
        <w:color w:val="auto"/>
      </w:rPr>
    </w:lvl>
    <w:lvl w:ilvl="2">
      <w:start w:val="1"/>
      <w:numFmt w:val="none"/>
      <w:pStyle w:val="ListBullet3"/>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6" w15:restartNumberingAfterBreak="0">
    <w:nsid w:val="182334A5"/>
    <w:multiLevelType w:val="multilevel"/>
    <w:tmpl w:val="114E1C7E"/>
    <w:lvl w:ilvl="0">
      <w:start w:val="1"/>
      <w:numFmt w:val="decimal"/>
      <w:pStyle w:val="Heading2"/>
      <w:lvlText w:val="%1"/>
      <w:lvlJc w:val="left"/>
      <w:pPr>
        <w:ind w:left="1134" w:hanging="1134"/>
      </w:pPr>
      <w:rPr>
        <w:rFonts w:hint="default"/>
      </w:rPr>
    </w:lvl>
    <w:lvl w:ilvl="1">
      <w:start w:val="1"/>
      <w:numFmt w:val="decimal"/>
      <w:pStyle w:val="Heading3"/>
      <w:lvlText w:val="%1.%2"/>
      <w:lvlJc w:val="left"/>
      <w:pPr>
        <w:ind w:left="1134" w:hanging="1134"/>
      </w:pPr>
      <w:rPr>
        <w:rFonts w:hint="default"/>
      </w:rPr>
    </w:lvl>
    <w:lvl w:ilvl="2">
      <w:start w:val="1"/>
      <w:numFmt w:val="decimal"/>
      <w:pStyle w:val="Heading4"/>
      <w:lvlText w:val="%1.%2.%3"/>
      <w:lvlJc w:val="left"/>
      <w:pPr>
        <w:ind w:left="1134" w:hanging="1134"/>
      </w:pPr>
      <w:rPr>
        <w:rFonts w:hint="default"/>
      </w:rPr>
    </w:lvl>
    <w:lvl w:ilvl="3">
      <w:start w:val="1"/>
      <w:numFmt w:val="decimal"/>
      <w:pStyle w:val="Heading5"/>
      <w:lvlText w:val="%1.%2.%3.%4"/>
      <w:lvlJc w:val="left"/>
      <w:pPr>
        <w:ind w:left="1134" w:hanging="1134"/>
      </w:pPr>
      <w:rPr>
        <w:rFonts w:hint="default"/>
      </w:rPr>
    </w:lvl>
    <w:lvl w:ilvl="4">
      <w:start w:val="1"/>
      <w:numFmt w:val="none"/>
      <w:pStyle w:val="Heading6"/>
      <w:lvlText w:val="%1.%2.%3.%4"/>
      <w:lvlJc w:val="left"/>
      <w:pPr>
        <w:tabs>
          <w:tab w:val="num" w:pos="1134"/>
        </w:tabs>
        <w:ind w:left="1134" w:hanging="1134"/>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Roman"/>
      <w:pStyle w:val="AppendixHeading6"/>
      <w:lvlText w:val="%6."/>
      <w:lvlJc w:val="right"/>
      <w:pPr>
        <w:ind w:left="1134" w:hanging="1134"/>
      </w:pPr>
      <w:rPr>
        <w:rFonts w:hint="default"/>
      </w:rPr>
    </w:lvl>
    <w:lvl w:ilvl="6">
      <w:start w:val="1"/>
      <w:numFmt w:val="decimal"/>
      <w:lvlText w:val="%7."/>
      <w:lvlJc w:val="left"/>
      <w:pPr>
        <w:ind w:left="1134" w:hanging="1134"/>
      </w:pPr>
      <w:rPr>
        <w:rFonts w:hint="default"/>
      </w:rPr>
    </w:lvl>
    <w:lvl w:ilvl="7">
      <w:start w:val="1"/>
      <w:numFmt w:val="lowerLetter"/>
      <w:lvlText w:val="%8."/>
      <w:lvlJc w:val="left"/>
      <w:pPr>
        <w:ind w:left="1134" w:hanging="1134"/>
      </w:pPr>
      <w:rPr>
        <w:rFonts w:hint="default"/>
      </w:rPr>
    </w:lvl>
    <w:lvl w:ilvl="8">
      <w:start w:val="1"/>
      <w:numFmt w:val="lowerRoman"/>
      <w:lvlText w:val="%9."/>
      <w:lvlJc w:val="right"/>
      <w:pPr>
        <w:ind w:left="1134" w:hanging="1134"/>
      </w:pPr>
      <w:rPr>
        <w:rFonts w:hint="default"/>
      </w:rPr>
    </w:lvl>
  </w:abstractNum>
  <w:abstractNum w:abstractNumId="7" w15:restartNumberingAfterBreak="0">
    <w:nsid w:val="1F5C43CC"/>
    <w:multiLevelType w:val="hybridMultilevel"/>
    <w:tmpl w:val="77EC1916"/>
    <w:lvl w:ilvl="0" w:tplc="FFFFFFFF">
      <w:start w:val="1"/>
      <w:numFmt w:val="bullet"/>
      <w:pStyle w:val="TableBullet"/>
      <w:lvlText w:val=""/>
      <w:lvlJc w:val="left"/>
      <w:pPr>
        <w:ind w:left="720" w:hanging="360"/>
      </w:pPr>
      <w:rPr>
        <w:rFonts w:ascii="Symbol" w:hAnsi="Symbol" w:hint="default"/>
      </w:rPr>
    </w:lvl>
    <w:lvl w:ilvl="1" w:tplc="8BBABF22" w:tentative="1">
      <w:start w:val="1"/>
      <w:numFmt w:val="bullet"/>
      <w:lvlText w:val="o"/>
      <w:lvlJc w:val="left"/>
      <w:pPr>
        <w:ind w:left="1440" w:hanging="360"/>
      </w:pPr>
      <w:rPr>
        <w:rFonts w:ascii="Courier New" w:hAnsi="Courier New" w:cs="Courier New" w:hint="default"/>
      </w:rPr>
    </w:lvl>
    <w:lvl w:ilvl="2" w:tplc="0644AB76" w:tentative="1">
      <w:start w:val="1"/>
      <w:numFmt w:val="bullet"/>
      <w:lvlText w:val=""/>
      <w:lvlJc w:val="left"/>
      <w:pPr>
        <w:ind w:left="2160" w:hanging="360"/>
      </w:pPr>
      <w:rPr>
        <w:rFonts w:ascii="Wingdings" w:hAnsi="Wingdings" w:hint="default"/>
      </w:rPr>
    </w:lvl>
    <w:lvl w:ilvl="3" w:tplc="5FDE6042" w:tentative="1">
      <w:start w:val="1"/>
      <w:numFmt w:val="bullet"/>
      <w:lvlText w:val=""/>
      <w:lvlJc w:val="left"/>
      <w:pPr>
        <w:ind w:left="2880" w:hanging="360"/>
      </w:pPr>
      <w:rPr>
        <w:rFonts w:ascii="Symbol" w:hAnsi="Symbol" w:hint="default"/>
      </w:rPr>
    </w:lvl>
    <w:lvl w:ilvl="4" w:tplc="3B94FE2A" w:tentative="1">
      <w:start w:val="1"/>
      <w:numFmt w:val="bullet"/>
      <w:lvlText w:val="o"/>
      <w:lvlJc w:val="left"/>
      <w:pPr>
        <w:ind w:left="3600" w:hanging="360"/>
      </w:pPr>
      <w:rPr>
        <w:rFonts w:ascii="Courier New" w:hAnsi="Courier New" w:cs="Courier New" w:hint="default"/>
      </w:rPr>
    </w:lvl>
    <w:lvl w:ilvl="5" w:tplc="158AB62E" w:tentative="1">
      <w:start w:val="1"/>
      <w:numFmt w:val="bullet"/>
      <w:lvlText w:val=""/>
      <w:lvlJc w:val="left"/>
      <w:pPr>
        <w:ind w:left="4320" w:hanging="360"/>
      </w:pPr>
      <w:rPr>
        <w:rFonts w:ascii="Wingdings" w:hAnsi="Wingdings" w:hint="default"/>
      </w:rPr>
    </w:lvl>
    <w:lvl w:ilvl="6" w:tplc="A080CB26" w:tentative="1">
      <w:start w:val="1"/>
      <w:numFmt w:val="bullet"/>
      <w:lvlText w:val=""/>
      <w:lvlJc w:val="left"/>
      <w:pPr>
        <w:ind w:left="5040" w:hanging="360"/>
      </w:pPr>
      <w:rPr>
        <w:rFonts w:ascii="Symbol" w:hAnsi="Symbol" w:hint="default"/>
      </w:rPr>
    </w:lvl>
    <w:lvl w:ilvl="7" w:tplc="061CBB5C" w:tentative="1">
      <w:start w:val="1"/>
      <w:numFmt w:val="bullet"/>
      <w:lvlText w:val="o"/>
      <w:lvlJc w:val="left"/>
      <w:pPr>
        <w:ind w:left="5760" w:hanging="360"/>
      </w:pPr>
      <w:rPr>
        <w:rFonts w:ascii="Courier New" w:hAnsi="Courier New" w:cs="Courier New" w:hint="default"/>
      </w:rPr>
    </w:lvl>
    <w:lvl w:ilvl="8" w:tplc="48A2E13E" w:tentative="1">
      <w:start w:val="1"/>
      <w:numFmt w:val="bullet"/>
      <w:lvlText w:val=""/>
      <w:lvlJc w:val="left"/>
      <w:pPr>
        <w:ind w:left="6480" w:hanging="360"/>
      </w:pPr>
      <w:rPr>
        <w:rFonts w:ascii="Wingdings" w:hAnsi="Wingdings" w:hint="default"/>
      </w:rPr>
    </w:lvl>
  </w:abstractNum>
  <w:abstractNum w:abstractNumId="8" w15:restartNumberingAfterBreak="0">
    <w:nsid w:val="383C0FAF"/>
    <w:multiLevelType w:val="multilevel"/>
    <w:tmpl w:val="A3F807B0"/>
    <w:styleLink w:val="TableBullets"/>
    <w:lvl w:ilvl="0">
      <w:start w:val="1"/>
      <w:numFmt w:val="upperLetter"/>
      <w:suff w:val="space"/>
      <w:lvlText w:val="Appendix %1"/>
      <w:lvlJc w:val="left"/>
      <w:pPr>
        <w:ind w:left="1134" w:hanging="1134"/>
      </w:pPr>
      <w:rPr>
        <w:rFonts w:hint="default"/>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1">
      <w:start w:val="1"/>
      <w:numFmt w:val="decimal"/>
      <w:suff w:val="space"/>
      <w:lvlText w:val="%1.%2"/>
      <w:lvlJc w:val="left"/>
      <w:pPr>
        <w:ind w:left="1134" w:hanging="1134"/>
      </w:pPr>
      <w:rPr>
        <w:rFonts w:hint="default"/>
      </w:rPr>
    </w:lvl>
    <w:lvl w:ilvl="2">
      <w:start w:val="1"/>
      <w:numFmt w:val="decimal"/>
      <w:suff w:val="space"/>
      <w:lvlText w:val="%1.%2.%3"/>
      <w:lvlJc w:val="left"/>
      <w:pPr>
        <w:ind w:left="1134" w:hanging="1134"/>
      </w:pPr>
      <w:rPr>
        <w:rFonts w:hint="default"/>
      </w:rPr>
    </w:lvl>
    <w:lvl w:ilvl="3">
      <w:start w:val="1"/>
      <w:numFmt w:val="decimal"/>
      <w:suff w:val="space"/>
      <w:lvlText w:val="%1.%2.%3.%4"/>
      <w:lvlJc w:val="left"/>
      <w:pPr>
        <w:ind w:left="1134" w:hanging="1134"/>
      </w:pPr>
      <w:rPr>
        <w:rFonts w:hint="default"/>
      </w:rPr>
    </w:lvl>
    <w:lvl w:ilvl="4">
      <w:start w:val="1"/>
      <w:numFmt w:val="decimal"/>
      <w:suff w:val="space"/>
      <w:lvlText w:val="%1.%2.%3.%4.%5"/>
      <w:lvlJc w:val="left"/>
      <w:pPr>
        <w:ind w:left="1134" w:hanging="1134"/>
      </w:pPr>
      <w:rPr>
        <w:rFonts w:hint="default"/>
      </w:rPr>
    </w:lvl>
    <w:lvl w:ilvl="5">
      <w:start w:val="1"/>
      <w:numFmt w:val="decimal"/>
      <w:suff w:val="space"/>
      <w:lvlText w:val="%1.%2.%3.%4.%5.%6"/>
      <w:lvlJc w:val="left"/>
      <w:pPr>
        <w:ind w:left="10206" w:hanging="1134"/>
      </w:pPr>
      <w:rPr>
        <w:rFonts w:hint="default"/>
      </w:rPr>
    </w:lvl>
    <w:lvl w:ilvl="6">
      <w:start w:val="1"/>
      <w:numFmt w:val="decimal"/>
      <w:suff w:val="space"/>
      <w:lvlText w:val="%1.%2.%3.%4.%5.%6.%7"/>
      <w:lvlJc w:val="left"/>
      <w:pPr>
        <w:ind w:left="11340" w:hanging="1134"/>
      </w:pPr>
      <w:rPr>
        <w:rFonts w:hint="default"/>
      </w:rPr>
    </w:lvl>
    <w:lvl w:ilvl="7">
      <w:start w:val="1"/>
      <w:numFmt w:val="decimal"/>
      <w:suff w:val="space"/>
      <w:lvlText w:val="%1.%2.%3.%4.%5.%6.%7.%8"/>
      <w:lvlJc w:val="left"/>
      <w:pPr>
        <w:ind w:left="12474" w:hanging="1134"/>
      </w:pPr>
      <w:rPr>
        <w:rFonts w:hint="default"/>
      </w:rPr>
    </w:lvl>
    <w:lvl w:ilvl="8">
      <w:start w:val="1"/>
      <w:numFmt w:val="decimal"/>
      <w:suff w:val="space"/>
      <w:lvlText w:val="%1.%2.%3.%4.%5.%6.%7.%8.%9"/>
      <w:lvlJc w:val="left"/>
      <w:pPr>
        <w:ind w:left="13608" w:hanging="1134"/>
      </w:pPr>
      <w:rPr>
        <w:rFonts w:hint="default"/>
      </w:rPr>
    </w:lvl>
  </w:abstractNum>
  <w:abstractNum w:abstractNumId="9" w15:restartNumberingAfterBreak="0">
    <w:nsid w:val="5BE538A6"/>
    <w:multiLevelType w:val="hybridMultilevel"/>
    <w:tmpl w:val="219CA502"/>
    <w:lvl w:ilvl="0" w:tplc="6E38F13C">
      <w:start w:val="1"/>
      <w:numFmt w:val="decimal"/>
      <w:pStyle w:val="ListNumber"/>
      <w:lvlText w:val="%1."/>
      <w:lvlJc w:val="left"/>
      <w:pPr>
        <w:ind w:left="624" w:hanging="340"/>
      </w:pPr>
      <w:rPr>
        <w:rFonts w:hint="default"/>
      </w:rPr>
    </w:lvl>
    <w:lvl w:ilvl="1" w:tplc="3CC48EFA" w:tentative="1">
      <w:start w:val="1"/>
      <w:numFmt w:val="lowerLetter"/>
      <w:lvlText w:val="%2."/>
      <w:lvlJc w:val="left"/>
      <w:pPr>
        <w:ind w:left="1724" w:hanging="360"/>
      </w:pPr>
    </w:lvl>
    <w:lvl w:ilvl="2" w:tplc="9D7060A0">
      <w:start w:val="1"/>
      <w:numFmt w:val="lowerRoman"/>
      <w:lvlText w:val="%3."/>
      <w:lvlJc w:val="right"/>
      <w:pPr>
        <w:ind w:left="2444" w:hanging="180"/>
      </w:pPr>
    </w:lvl>
    <w:lvl w:ilvl="3" w:tplc="3ED855C0" w:tentative="1">
      <w:start w:val="1"/>
      <w:numFmt w:val="decimal"/>
      <w:lvlText w:val="%4."/>
      <w:lvlJc w:val="left"/>
      <w:pPr>
        <w:ind w:left="3164" w:hanging="360"/>
      </w:pPr>
    </w:lvl>
    <w:lvl w:ilvl="4" w:tplc="FAF4209E" w:tentative="1">
      <w:start w:val="1"/>
      <w:numFmt w:val="lowerLetter"/>
      <w:lvlText w:val="%5."/>
      <w:lvlJc w:val="left"/>
      <w:pPr>
        <w:ind w:left="3884" w:hanging="360"/>
      </w:pPr>
    </w:lvl>
    <w:lvl w:ilvl="5" w:tplc="90A45796" w:tentative="1">
      <w:start w:val="1"/>
      <w:numFmt w:val="lowerRoman"/>
      <w:lvlText w:val="%6."/>
      <w:lvlJc w:val="right"/>
      <w:pPr>
        <w:ind w:left="4604" w:hanging="180"/>
      </w:pPr>
    </w:lvl>
    <w:lvl w:ilvl="6" w:tplc="7952BBA4" w:tentative="1">
      <w:start w:val="1"/>
      <w:numFmt w:val="decimal"/>
      <w:lvlText w:val="%7."/>
      <w:lvlJc w:val="left"/>
      <w:pPr>
        <w:ind w:left="5324" w:hanging="360"/>
      </w:pPr>
    </w:lvl>
    <w:lvl w:ilvl="7" w:tplc="06FC304C" w:tentative="1">
      <w:start w:val="1"/>
      <w:numFmt w:val="lowerLetter"/>
      <w:lvlText w:val="%8."/>
      <w:lvlJc w:val="left"/>
      <w:pPr>
        <w:ind w:left="6044" w:hanging="360"/>
      </w:pPr>
    </w:lvl>
    <w:lvl w:ilvl="8" w:tplc="4490DD50" w:tentative="1">
      <w:start w:val="1"/>
      <w:numFmt w:val="lowerRoman"/>
      <w:lvlText w:val="%9."/>
      <w:lvlJc w:val="right"/>
      <w:pPr>
        <w:ind w:left="6764" w:hanging="180"/>
      </w:pPr>
    </w:lvl>
  </w:abstractNum>
  <w:abstractNum w:abstractNumId="10" w15:restartNumberingAfterBreak="0">
    <w:nsid w:val="5DC2180C"/>
    <w:multiLevelType w:val="hybridMultilevel"/>
    <w:tmpl w:val="5D5CF190"/>
    <w:lvl w:ilvl="0" w:tplc="1F5C8B50">
      <w:start w:val="1"/>
      <w:numFmt w:val="decimal"/>
      <w:pStyle w:val="TableBulletNumbered"/>
      <w:lvlText w:val="%1."/>
      <w:lvlJc w:val="left"/>
      <w:pPr>
        <w:ind w:left="720" w:hanging="360"/>
      </w:pPr>
    </w:lvl>
    <w:lvl w:ilvl="1" w:tplc="FAA65C28" w:tentative="1">
      <w:start w:val="1"/>
      <w:numFmt w:val="lowerLetter"/>
      <w:lvlText w:val="%2."/>
      <w:lvlJc w:val="left"/>
      <w:pPr>
        <w:ind w:left="1440" w:hanging="360"/>
      </w:pPr>
    </w:lvl>
    <w:lvl w:ilvl="2" w:tplc="EB628E52" w:tentative="1">
      <w:start w:val="1"/>
      <w:numFmt w:val="lowerRoman"/>
      <w:lvlText w:val="%3."/>
      <w:lvlJc w:val="right"/>
      <w:pPr>
        <w:ind w:left="2160" w:hanging="180"/>
      </w:pPr>
    </w:lvl>
    <w:lvl w:ilvl="3" w:tplc="6CDA552A" w:tentative="1">
      <w:start w:val="1"/>
      <w:numFmt w:val="decimal"/>
      <w:lvlText w:val="%4."/>
      <w:lvlJc w:val="left"/>
      <w:pPr>
        <w:ind w:left="2880" w:hanging="360"/>
      </w:pPr>
    </w:lvl>
    <w:lvl w:ilvl="4" w:tplc="C640269E" w:tentative="1">
      <w:start w:val="1"/>
      <w:numFmt w:val="lowerLetter"/>
      <w:lvlText w:val="%5."/>
      <w:lvlJc w:val="left"/>
      <w:pPr>
        <w:ind w:left="3600" w:hanging="360"/>
      </w:pPr>
    </w:lvl>
    <w:lvl w:ilvl="5" w:tplc="CE2AC4DA" w:tentative="1">
      <w:start w:val="1"/>
      <w:numFmt w:val="lowerRoman"/>
      <w:lvlText w:val="%6."/>
      <w:lvlJc w:val="right"/>
      <w:pPr>
        <w:ind w:left="4320" w:hanging="180"/>
      </w:pPr>
    </w:lvl>
    <w:lvl w:ilvl="6" w:tplc="5FEEC244" w:tentative="1">
      <w:start w:val="1"/>
      <w:numFmt w:val="decimal"/>
      <w:lvlText w:val="%7."/>
      <w:lvlJc w:val="left"/>
      <w:pPr>
        <w:ind w:left="5040" w:hanging="360"/>
      </w:pPr>
    </w:lvl>
    <w:lvl w:ilvl="7" w:tplc="44781DBE" w:tentative="1">
      <w:start w:val="1"/>
      <w:numFmt w:val="lowerLetter"/>
      <w:lvlText w:val="%8."/>
      <w:lvlJc w:val="left"/>
      <w:pPr>
        <w:ind w:left="5760" w:hanging="360"/>
      </w:pPr>
    </w:lvl>
    <w:lvl w:ilvl="8" w:tplc="77C8914C" w:tentative="1">
      <w:start w:val="1"/>
      <w:numFmt w:val="lowerRoman"/>
      <w:lvlText w:val="%9."/>
      <w:lvlJc w:val="right"/>
      <w:pPr>
        <w:ind w:left="6480" w:hanging="180"/>
      </w:pPr>
    </w:lvl>
  </w:abstractNum>
  <w:abstractNum w:abstractNumId="11" w15:restartNumberingAfterBreak="0">
    <w:nsid w:val="66063429"/>
    <w:multiLevelType w:val="multilevel"/>
    <w:tmpl w:val="50F8C73A"/>
    <w:lvl w:ilvl="0">
      <w:start w:val="1"/>
      <w:numFmt w:val="upperLetter"/>
      <w:pStyle w:val="Heading9"/>
      <w:lvlText w:val="Appendix %1 "/>
      <w:lvlJc w:val="left"/>
      <w:pPr>
        <w:ind w:left="0" w:firstLine="0"/>
      </w:pPr>
      <w:rPr>
        <w:rFonts w:cs="Times New Roman"/>
        <w:bCs w:val="0"/>
        <w:caps w:val="0"/>
        <w:smallCaps w:val="0"/>
        <w:strike w:val="0"/>
        <w:dstrike w:val="0"/>
        <w:noProof w:val="0"/>
        <w:vanish w:val="0"/>
        <w:color w:val="146692" w:themeColor="text2"/>
        <w:kern w:val="0"/>
        <w:position w:val="0"/>
        <w:u w:val="none"/>
        <w:vertAlign w:val="baseline"/>
        <w:em w:val="none"/>
        <w:specVanish w:val="0"/>
      </w:rPr>
    </w:lvl>
    <w:lvl w:ilvl="1">
      <w:start w:val="1"/>
      <w:numFmt w:val="decimal"/>
      <w:lvlText w:val="%1.%2"/>
      <w:lvlJc w:val="left"/>
      <w:pPr>
        <w:ind w:left="1134" w:hanging="1134"/>
      </w:pPr>
      <w:rPr>
        <w:rFonts w:hint="default"/>
      </w:rPr>
    </w:lvl>
    <w:lvl w:ilvl="2">
      <w:start w:val="1"/>
      <w:numFmt w:val="decimal"/>
      <w:lvlText w:val="%1.%2.%3"/>
      <w:lvlJc w:val="left"/>
      <w:pPr>
        <w:ind w:left="1134" w:hanging="1134"/>
      </w:pPr>
      <w:rPr>
        <w:rFonts w:hint="default"/>
      </w:rPr>
    </w:lvl>
    <w:lvl w:ilvl="3">
      <w:start w:val="1"/>
      <w:numFmt w:val="decimal"/>
      <w:pStyle w:val="AppendixHeading4"/>
      <w:lvlText w:val="%1.%2.%3.%4"/>
      <w:lvlJc w:val="left"/>
      <w:pPr>
        <w:ind w:left="1134" w:hanging="1134"/>
      </w:pPr>
      <w:rPr>
        <w:rFonts w:hint="default"/>
      </w:rPr>
    </w:lvl>
    <w:lvl w:ilvl="4">
      <w:start w:val="1"/>
      <w:numFmt w:val="decimal"/>
      <w:lvlText w:val="%1.%2.%3.%4.%5"/>
      <w:lvlJc w:val="left"/>
      <w:pPr>
        <w:ind w:left="1134" w:hanging="1134"/>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12" w15:restartNumberingAfterBreak="0">
    <w:nsid w:val="68041EB3"/>
    <w:multiLevelType w:val="hybridMultilevel"/>
    <w:tmpl w:val="3424A8EA"/>
    <w:lvl w:ilvl="0" w:tplc="7F3ED136">
      <w:start w:val="1"/>
      <w:numFmt w:val="lowerLetter"/>
      <w:pStyle w:val="ListNumber2"/>
      <w:lvlText w:val="%1."/>
      <w:lvlJc w:val="left"/>
      <w:pPr>
        <w:ind w:left="964" w:hanging="340"/>
      </w:pPr>
      <w:rPr>
        <w:rFonts w:hint="default"/>
      </w:rPr>
    </w:lvl>
    <w:lvl w:ilvl="1" w:tplc="B15ED3A2">
      <w:start w:val="1"/>
      <w:numFmt w:val="lowerLetter"/>
      <w:lvlText w:val="%2."/>
      <w:lvlJc w:val="left"/>
      <w:pPr>
        <w:ind w:left="1440" w:hanging="360"/>
      </w:pPr>
    </w:lvl>
    <w:lvl w:ilvl="2" w:tplc="82962D6A">
      <w:start w:val="1"/>
      <w:numFmt w:val="lowerRoman"/>
      <w:lvlText w:val="%3."/>
      <w:lvlJc w:val="right"/>
      <w:pPr>
        <w:ind w:left="2160" w:hanging="180"/>
      </w:pPr>
    </w:lvl>
    <w:lvl w:ilvl="3" w:tplc="983A5D04" w:tentative="1">
      <w:start w:val="1"/>
      <w:numFmt w:val="decimal"/>
      <w:lvlText w:val="%4."/>
      <w:lvlJc w:val="left"/>
      <w:pPr>
        <w:ind w:left="2880" w:hanging="360"/>
      </w:pPr>
    </w:lvl>
    <w:lvl w:ilvl="4" w:tplc="D2385E2A" w:tentative="1">
      <w:start w:val="1"/>
      <w:numFmt w:val="lowerLetter"/>
      <w:lvlText w:val="%5."/>
      <w:lvlJc w:val="left"/>
      <w:pPr>
        <w:ind w:left="3600" w:hanging="360"/>
      </w:pPr>
    </w:lvl>
    <w:lvl w:ilvl="5" w:tplc="01C084C2" w:tentative="1">
      <w:start w:val="1"/>
      <w:numFmt w:val="lowerRoman"/>
      <w:lvlText w:val="%6."/>
      <w:lvlJc w:val="right"/>
      <w:pPr>
        <w:ind w:left="4320" w:hanging="180"/>
      </w:pPr>
    </w:lvl>
    <w:lvl w:ilvl="6" w:tplc="AE72B7CC" w:tentative="1">
      <w:start w:val="1"/>
      <w:numFmt w:val="decimal"/>
      <w:lvlText w:val="%7."/>
      <w:lvlJc w:val="left"/>
      <w:pPr>
        <w:ind w:left="5040" w:hanging="360"/>
      </w:pPr>
    </w:lvl>
    <w:lvl w:ilvl="7" w:tplc="B0E4B50A" w:tentative="1">
      <w:start w:val="1"/>
      <w:numFmt w:val="lowerLetter"/>
      <w:lvlText w:val="%8."/>
      <w:lvlJc w:val="left"/>
      <w:pPr>
        <w:ind w:left="5760" w:hanging="360"/>
      </w:pPr>
    </w:lvl>
    <w:lvl w:ilvl="8" w:tplc="F270396C" w:tentative="1">
      <w:start w:val="1"/>
      <w:numFmt w:val="lowerRoman"/>
      <w:lvlText w:val="%9."/>
      <w:lvlJc w:val="right"/>
      <w:pPr>
        <w:ind w:left="6480" w:hanging="180"/>
      </w:pPr>
    </w:lvl>
  </w:abstractNum>
  <w:num w:numId="1">
    <w:abstractNumId w:val="4"/>
  </w:num>
  <w:num w:numId="2">
    <w:abstractNumId w:val="3"/>
  </w:num>
  <w:num w:numId="3">
    <w:abstractNumId w:val="2"/>
  </w:num>
  <w:num w:numId="4">
    <w:abstractNumId w:val="5"/>
  </w:num>
  <w:num w:numId="5">
    <w:abstractNumId w:val="10"/>
  </w:num>
  <w:num w:numId="6">
    <w:abstractNumId w:val="8"/>
  </w:num>
  <w:num w:numId="7">
    <w:abstractNumId w:val="7"/>
  </w:num>
  <w:num w:numId="8">
    <w:abstractNumId w:val="1"/>
  </w:num>
  <w:num w:numId="9">
    <w:abstractNumId w:val="0"/>
  </w:num>
  <w:num w:numId="10">
    <w:abstractNumId w:val="12"/>
  </w:num>
  <w:num w:numId="11">
    <w:abstractNumId w:val="6"/>
    <w:lvlOverride w:ilvl="0">
      <w:lvl w:ilvl="0">
        <w:start w:val="1"/>
        <w:numFmt w:val="decimal"/>
        <w:pStyle w:val="Heading2"/>
        <w:lvlText w:val="%1"/>
        <w:lvlJc w:val="left"/>
        <w:pPr>
          <w:ind w:left="1134" w:hanging="1134"/>
        </w:pPr>
        <w:rPr>
          <w:rFonts w:hint="default"/>
        </w:rPr>
      </w:lvl>
    </w:lvlOverride>
    <w:lvlOverride w:ilvl="1">
      <w:lvl w:ilvl="1">
        <w:start w:val="1"/>
        <w:numFmt w:val="decimal"/>
        <w:pStyle w:val="Heading3"/>
        <w:lvlText w:val="%1.%2"/>
        <w:lvlJc w:val="left"/>
        <w:pPr>
          <w:ind w:left="1134" w:hanging="1134"/>
        </w:pPr>
        <w:rPr>
          <w:rFonts w:hint="default"/>
        </w:rPr>
      </w:lvl>
    </w:lvlOverride>
    <w:lvlOverride w:ilvl="2">
      <w:lvl w:ilvl="2">
        <w:start w:val="1"/>
        <w:numFmt w:val="decimal"/>
        <w:pStyle w:val="Heading4"/>
        <w:lvlText w:val="%1.%2.%3"/>
        <w:lvlJc w:val="left"/>
        <w:pPr>
          <w:ind w:left="1134" w:hanging="1134"/>
        </w:pPr>
        <w:rPr>
          <w:rFonts w:hint="default"/>
        </w:rPr>
      </w:lvl>
    </w:lvlOverride>
    <w:lvlOverride w:ilvl="3">
      <w:lvl w:ilvl="3">
        <w:start w:val="1"/>
        <w:numFmt w:val="decimal"/>
        <w:pStyle w:val="Heading5"/>
        <w:lvlText w:val="%1.%2.%3.%4"/>
        <w:lvlJc w:val="left"/>
        <w:pPr>
          <w:ind w:left="1134" w:hanging="1134"/>
        </w:pPr>
        <w:rPr>
          <w:rFonts w:hint="default"/>
        </w:rPr>
      </w:lvl>
    </w:lvlOverride>
    <w:lvlOverride w:ilvl="4">
      <w:lvl w:ilvl="4">
        <w:start w:val="1"/>
        <w:numFmt w:val="decimal"/>
        <w:lvlRestart w:val="0"/>
        <w:pStyle w:val="Heading6"/>
        <w:lvlText w:val="%1.%2.%3.%4.%5"/>
        <w:lvlJc w:val="left"/>
        <w:pPr>
          <w:tabs>
            <w:tab w:val="num" w:pos="1134"/>
          </w:tabs>
          <w:ind w:left="1134" w:hanging="1134"/>
        </w:pPr>
        <w:rPr>
          <w:rFonts w:cs="Times New Roman"/>
          <w:bCs w:val="0"/>
          <w:i w:val="0"/>
          <w:caps w:val="0"/>
          <w:smallCaps w:val="0"/>
          <w:strike w:val="0"/>
          <w:dstrike w:val="0"/>
          <w:outline w:val="0"/>
          <w:shadow w:val="0"/>
          <w:emboss w:val="0"/>
          <w:imprint w:val="0"/>
          <w:noProof w:val="0"/>
          <w:vanish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lvl w:ilvl="5">
        <w:start w:val="1"/>
        <w:numFmt w:val="decimal"/>
        <w:pStyle w:val="AppendixHeading6"/>
        <w:lvlText w:val="%1.%2.%3.%4.%6"/>
        <w:lvlJc w:val="right"/>
        <w:pPr>
          <w:ind w:left="1134" w:hanging="1134"/>
        </w:pPr>
        <w:rPr>
          <w:rFonts w:hint="default"/>
        </w:rPr>
      </w:lvl>
    </w:lvlOverride>
    <w:lvlOverride w:ilvl="6">
      <w:lvl w:ilvl="6">
        <w:start w:val="1"/>
        <w:numFmt w:val="decimal"/>
        <w:lvlText w:val="%7."/>
        <w:lvlJc w:val="left"/>
        <w:pPr>
          <w:ind w:left="1134" w:hanging="1134"/>
        </w:pPr>
        <w:rPr>
          <w:rFonts w:hint="default"/>
        </w:rPr>
      </w:lvl>
    </w:lvlOverride>
    <w:lvlOverride w:ilvl="7">
      <w:lvl w:ilvl="7">
        <w:start w:val="1"/>
        <w:numFmt w:val="lowerLetter"/>
        <w:lvlText w:val="%8."/>
        <w:lvlJc w:val="left"/>
        <w:pPr>
          <w:ind w:left="1134" w:hanging="1134"/>
        </w:pPr>
        <w:rPr>
          <w:rFonts w:hint="default"/>
        </w:rPr>
      </w:lvl>
    </w:lvlOverride>
    <w:lvlOverride w:ilvl="8">
      <w:lvl w:ilvl="8">
        <w:start w:val="1"/>
        <w:numFmt w:val="lowerRoman"/>
        <w:lvlText w:val="%9."/>
        <w:lvlJc w:val="right"/>
        <w:pPr>
          <w:ind w:left="1134" w:hanging="1134"/>
        </w:pPr>
        <w:rPr>
          <w:rFonts w:hint="default"/>
        </w:rPr>
      </w:lvl>
    </w:lvlOverride>
  </w:num>
  <w:num w:numId="12">
    <w:abstractNumId w:val="6"/>
    <w:lvlOverride w:ilvl="0">
      <w:lvl w:ilvl="0">
        <w:start w:val="1"/>
        <w:numFmt w:val="decimal"/>
        <w:pStyle w:val="Heading2"/>
        <w:lvlText w:val="%1"/>
        <w:lvlJc w:val="left"/>
        <w:pPr>
          <w:ind w:left="1134" w:hanging="1134"/>
        </w:pPr>
      </w:lvl>
    </w:lvlOverride>
    <w:lvlOverride w:ilvl="1">
      <w:lvl w:ilvl="1">
        <w:start w:val="1"/>
        <w:numFmt w:val="decimal"/>
        <w:pStyle w:val="Heading3"/>
        <w:lvlText w:val="%1.%2"/>
        <w:lvlJc w:val="left"/>
        <w:pPr>
          <w:ind w:left="1134" w:hanging="1134"/>
        </w:pPr>
      </w:lvl>
    </w:lvlOverride>
    <w:lvlOverride w:ilvl="2">
      <w:lvl w:ilvl="2">
        <w:start w:val="1"/>
        <w:numFmt w:val="decimal"/>
        <w:pStyle w:val="Heading4"/>
        <w:lvlText w:val="%1.%2.%3"/>
        <w:lvlJc w:val="left"/>
        <w:pPr>
          <w:ind w:left="1134" w:hanging="1134"/>
        </w:pPr>
      </w:lvl>
    </w:lvlOverride>
    <w:lvlOverride w:ilvl="3">
      <w:lvl w:ilvl="3">
        <w:start w:val="1"/>
        <w:numFmt w:val="decimal"/>
        <w:pStyle w:val="Heading5"/>
        <w:lvlText w:val="%1.%2.%3.%4"/>
        <w:lvlJc w:val="left"/>
        <w:pPr>
          <w:ind w:left="1134" w:hanging="1134"/>
        </w:pPr>
      </w:lvl>
    </w:lvlOverride>
    <w:lvlOverride w:ilvl="4">
      <w:lvl w:ilvl="4">
        <w:start w:val="1"/>
        <w:numFmt w:val="decimal"/>
        <w:lvlRestart w:val="0"/>
        <w:pStyle w:val="Heading6"/>
        <w:lvlText w:val="%1.%2.%3.%4.%5"/>
        <w:lvlJc w:val="left"/>
        <w:pPr>
          <w:tabs>
            <w:tab w:val="num" w:pos="1134"/>
          </w:tabs>
          <w:ind w:left="1134" w:hanging="1134"/>
        </w:pPr>
        <w:rPr>
          <w:rFonts w:cs="Times New Roman"/>
          <w:b w:val="0"/>
          <w:bCs w:val="0"/>
          <w:i w:val="0"/>
          <w:iCs w:val="0"/>
          <w:caps w:val="0"/>
          <w:smallCaps w:val="0"/>
          <w:strike w:val="0"/>
          <w:dstrike w:val="0"/>
          <w:outline w:val="0"/>
          <w:shadow w:val="0"/>
          <w:emboss w:val="0"/>
          <w:imprint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lvl w:ilvl="5">
        <w:start w:val="1"/>
        <w:numFmt w:val="decimal"/>
        <w:pStyle w:val="AppendixHeading6"/>
        <w:lvlText w:val="%1.%2.%3.%4.%6"/>
        <w:lvlJc w:val="right"/>
        <w:pPr>
          <w:ind w:left="1134" w:hanging="1134"/>
        </w:pPr>
      </w:lvl>
    </w:lvlOverride>
    <w:lvlOverride w:ilvl="6">
      <w:lvl w:ilvl="6">
        <w:start w:val="1"/>
        <w:numFmt w:val="decimal"/>
        <w:lvlText w:val="%7."/>
        <w:lvlJc w:val="left"/>
        <w:pPr>
          <w:ind w:left="1134" w:hanging="1134"/>
        </w:pPr>
      </w:lvl>
    </w:lvlOverride>
    <w:lvlOverride w:ilvl="7">
      <w:lvl w:ilvl="7">
        <w:start w:val="1"/>
        <w:numFmt w:val="lowerLetter"/>
        <w:lvlText w:val="%8."/>
        <w:lvlJc w:val="left"/>
        <w:pPr>
          <w:ind w:left="1134" w:hanging="1134"/>
        </w:pPr>
      </w:lvl>
    </w:lvlOverride>
    <w:lvlOverride w:ilvl="8">
      <w:lvl w:ilvl="8">
        <w:start w:val="1"/>
        <w:numFmt w:val="lowerRoman"/>
        <w:lvlText w:val="%9."/>
        <w:lvlJc w:val="right"/>
        <w:pPr>
          <w:ind w:left="1134" w:hanging="1134"/>
        </w:pPr>
      </w:lvl>
    </w:lvlOverride>
  </w:num>
  <w:num w:numId="13">
    <w:abstractNumId w:val="6"/>
    <w:lvlOverride w:ilvl="0">
      <w:lvl w:ilvl="0">
        <w:start w:val="1"/>
        <w:numFmt w:val="decimal"/>
        <w:pStyle w:val="Heading2"/>
        <w:lvlText w:val="%1"/>
        <w:lvlJc w:val="left"/>
        <w:pPr>
          <w:ind w:left="1134" w:hanging="1134"/>
        </w:pPr>
      </w:lvl>
    </w:lvlOverride>
    <w:lvlOverride w:ilvl="1">
      <w:lvl w:ilvl="1">
        <w:start w:val="1"/>
        <w:numFmt w:val="decimal"/>
        <w:pStyle w:val="Heading3"/>
        <w:lvlText w:val="%1.%2"/>
        <w:lvlJc w:val="left"/>
        <w:pPr>
          <w:ind w:left="5246" w:hanging="1134"/>
        </w:pPr>
      </w:lvl>
    </w:lvlOverride>
    <w:lvlOverride w:ilvl="2">
      <w:lvl w:ilvl="2">
        <w:start w:val="1"/>
        <w:numFmt w:val="decimal"/>
        <w:pStyle w:val="Heading4"/>
        <w:lvlText w:val="%1.%2.%3"/>
        <w:lvlJc w:val="left"/>
        <w:pPr>
          <w:ind w:left="1134" w:hanging="1134"/>
        </w:pPr>
      </w:lvl>
    </w:lvlOverride>
    <w:lvlOverride w:ilvl="3">
      <w:lvl w:ilvl="3">
        <w:start w:val="1"/>
        <w:numFmt w:val="decimal"/>
        <w:pStyle w:val="Heading5"/>
        <w:lvlText w:val="%1.%2.%3.%4"/>
        <w:lvlJc w:val="left"/>
        <w:pPr>
          <w:ind w:left="1134" w:hanging="1134"/>
        </w:pPr>
      </w:lvl>
    </w:lvlOverride>
    <w:lvlOverride w:ilvl="4">
      <w:lvl w:ilvl="4">
        <w:start w:val="1"/>
        <w:numFmt w:val="decimal"/>
        <w:lvlRestart w:val="0"/>
        <w:pStyle w:val="Heading6"/>
        <w:lvlText w:val="%1.%2.%3.%4.%5"/>
        <w:lvlJc w:val="left"/>
        <w:pPr>
          <w:tabs>
            <w:tab w:val="num" w:pos="1134"/>
          </w:tabs>
          <w:ind w:left="1134" w:hanging="1134"/>
        </w:pPr>
        <w:rPr>
          <w:rFonts w:cs="Times New Roman"/>
          <w:b w:val="0"/>
          <w:bCs w:val="0"/>
          <w:i w:val="0"/>
          <w:iCs w:val="0"/>
          <w:caps w:val="0"/>
          <w:smallCaps w:val="0"/>
          <w:strike w:val="0"/>
          <w:dstrike w:val="0"/>
          <w:outline w:val="0"/>
          <w:shadow w:val="0"/>
          <w:emboss w:val="0"/>
          <w:imprint w:val="0"/>
          <w:noProof w:val="0"/>
          <w:vanish w:val="0"/>
          <w:webHidden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lvl w:ilvl="5">
        <w:start w:val="1"/>
        <w:numFmt w:val="decimal"/>
        <w:pStyle w:val="AppendixHeading6"/>
        <w:lvlText w:val="%1.%2.%3.%4.%6"/>
        <w:lvlJc w:val="right"/>
        <w:pPr>
          <w:ind w:left="1134" w:hanging="1134"/>
        </w:pPr>
      </w:lvl>
    </w:lvlOverride>
    <w:lvlOverride w:ilvl="6">
      <w:lvl w:ilvl="6">
        <w:start w:val="1"/>
        <w:numFmt w:val="decimal"/>
        <w:lvlText w:val="%7."/>
        <w:lvlJc w:val="left"/>
        <w:pPr>
          <w:ind w:left="1134" w:hanging="1134"/>
        </w:pPr>
      </w:lvl>
    </w:lvlOverride>
    <w:lvlOverride w:ilvl="7">
      <w:lvl w:ilvl="7">
        <w:start w:val="1"/>
        <w:numFmt w:val="lowerLetter"/>
        <w:lvlText w:val="%8."/>
        <w:lvlJc w:val="left"/>
        <w:pPr>
          <w:ind w:left="1134" w:hanging="1134"/>
        </w:pPr>
      </w:lvl>
    </w:lvlOverride>
    <w:lvlOverride w:ilvl="8">
      <w:lvl w:ilvl="8">
        <w:start w:val="1"/>
        <w:numFmt w:val="lowerRoman"/>
        <w:lvlText w:val="%9."/>
        <w:lvlJc w:val="right"/>
        <w:pPr>
          <w:ind w:left="1134" w:hanging="1134"/>
        </w:pPr>
      </w:lvl>
    </w:lvlOverride>
  </w:num>
  <w:num w:numId="14">
    <w:abstractNumId w:val="11"/>
  </w:num>
  <w:num w:numId="15">
    <w:abstractNumId w:val="9"/>
    <w:lvlOverride w:ilvl="0">
      <w:startOverride w:val="1"/>
    </w:lvlOverride>
  </w:num>
  <w:num w:numId="16">
    <w:abstractNumId w:val="5"/>
  </w:num>
  <w:num w:numId="17">
    <w:abstractNumId w:val="9"/>
  </w:num>
  <w:num w:numId="18">
    <w:abstractNumId w:val="9"/>
    <w:lvlOverride w:ilvl="0">
      <w:startOverride w:val="1"/>
    </w:lvlOverride>
  </w:num>
  <w:num w:numId="19">
    <w:abstractNumId w:val="6"/>
    <w:lvlOverride w:ilvl="0">
      <w:lvl w:ilvl="0">
        <w:start w:val="1"/>
        <w:numFmt w:val="decimal"/>
        <w:pStyle w:val="Heading2"/>
        <w:lvlText w:val="%1"/>
        <w:lvlJc w:val="left"/>
        <w:pPr>
          <w:ind w:left="1134" w:hanging="1134"/>
        </w:pPr>
        <w:rPr>
          <w:rFonts w:hint="default"/>
        </w:rPr>
      </w:lvl>
    </w:lvlOverride>
    <w:lvlOverride w:ilvl="1">
      <w:lvl w:ilvl="1">
        <w:start w:val="1"/>
        <w:numFmt w:val="decimal"/>
        <w:pStyle w:val="Heading3"/>
        <w:lvlText w:val="%1.%2"/>
        <w:lvlJc w:val="left"/>
        <w:pPr>
          <w:ind w:left="1134" w:hanging="1134"/>
        </w:pPr>
        <w:rPr>
          <w:rFonts w:hint="default"/>
        </w:rPr>
      </w:lvl>
    </w:lvlOverride>
    <w:lvlOverride w:ilvl="2">
      <w:lvl w:ilvl="2">
        <w:start w:val="1"/>
        <w:numFmt w:val="decimal"/>
        <w:pStyle w:val="Heading4"/>
        <w:lvlText w:val="%1.%2.%3"/>
        <w:lvlJc w:val="left"/>
        <w:pPr>
          <w:ind w:left="1134" w:hanging="1134"/>
        </w:pPr>
        <w:rPr>
          <w:rFonts w:hint="default"/>
        </w:rPr>
      </w:lvl>
    </w:lvlOverride>
    <w:lvlOverride w:ilvl="3">
      <w:lvl w:ilvl="3">
        <w:start w:val="1"/>
        <w:numFmt w:val="decimal"/>
        <w:pStyle w:val="Heading5"/>
        <w:lvlText w:val="%1.%2.%3.%4"/>
        <w:lvlJc w:val="left"/>
        <w:pPr>
          <w:ind w:left="1134" w:hanging="1134"/>
        </w:pPr>
        <w:rPr>
          <w:rFonts w:hint="default"/>
        </w:rPr>
      </w:lvl>
    </w:lvlOverride>
    <w:lvlOverride w:ilvl="4">
      <w:lvl w:ilvl="4">
        <w:start w:val="1"/>
        <w:numFmt w:val="decimal"/>
        <w:lvlRestart w:val="0"/>
        <w:pStyle w:val="Heading6"/>
        <w:lvlText w:val="%1.%2.%3.%4.%5"/>
        <w:lvlJc w:val="left"/>
        <w:pPr>
          <w:tabs>
            <w:tab w:val="num" w:pos="1134"/>
          </w:tabs>
          <w:ind w:left="1134" w:hanging="1134"/>
        </w:pPr>
        <w:rPr>
          <w:rFonts w:cs="Times New Roman"/>
          <w:bCs w:val="0"/>
          <w:i w:val="0"/>
          <w:caps w:val="0"/>
          <w:smallCaps w:val="0"/>
          <w:strike w:val="0"/>
          <w:dstrike w:val="0"/>
          <w:outline w:val="0"/>
          <w:shadow w:val="0"/>
          <w:emboss w:val="0"/>
          <w:imprint w:val="0"/>
          <w:noProof w:val="0"/>
          <w:vanish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lvl w:ilvl="5">
        <w:start w:val="1"/>
        <w:numFmt w:val="decimal"/>
        <w:pStyle w:val="AppendixHeading6"/>
        <w:lvlText w:val="%1.%2.%3.%4.%6"/>
        <w:lvlJc w:val="right"/>
        <w:pPr>
          <w:ind w:left="1134" w:hanging="1134"/>
        </w:pPr>
        <w:rPr>
          <w:rFonts w:hint="default"/>
        </w:rPr>
      </w:lvl>
    </w:lvlOverride>
    <w:lvlOverride w:ilvl="6">
      <w:lvl w:ilvl="6">
        <w:start w:val="1"/>
        <w:numFmt w:val="decimal"/>
        <w:lvlText w:val="%7."/>
        <w:lvlJc w:val="left"/>
        <w:pPr>
          <w:ind w:left="1134" w:hanging="1134"/>
        </w:pPr>
        <w:rPr>
          <w:rFonts w:hint="default"/>
        </w:rPr>
      </w:lvl>
    </w:lvlOverride>
    <w:lvlOverride w:ilvl="7">
      <w:lvl w:ilvl="7">
        <w:start w:val="1"/>
        <w:numFmt w:val="lowerLetter"/>
        <w:lvlText w:val="%8."/>
        <w:lvlJc w:val="left"/>
        <w:pPr>
          <w:ind w:left="1134" w:hanging="1134"/>
        </w:pPr>
        <w:rPr>
          <w:rFonts w:hint="default"/>
        </w:rPr>
      </w:lvl>
    </w:lvlOverride>
    <w:lvlOverride w:ilvl="8">
      <w:lvl w:ilvl="8">
        <w:start w:val="1"/>
        <w:numFmt w:val="lowerRoman"/>
        <w:lvlText w:val="%9."/>
        <w:lvlJc w:val="right"/>
        <w:pPr>
          <w:ind w:left="1134" w:hanging="1134"/>
        </w:pPr>
        <w:rPr>
          <w:rFonts w:hint="default"/>
        </w:rPr>
      </w:lvl>
    </w:lvlOverride>
  </w:num>
  <w:num w:numId="20">
    <w:abstractNumId w:val="9"/>
    <w:lvlOverride w:ilvl="0">
      <w:startOverride w:val="1"/>
    </w:lvlOverride>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0"/>
  <w:hideSpellingErrors/>
  <w:hideGrammaticalErrors/>
  <w:attachedTemplate r:id="rId1"/>
  <w:stylePaneFormatFilter w:val="0701" w:allStyles="1" w:customStyles="0" w:latentStyles="0" w:stylesInUse="0" w:headingStyles="0" w:numberingStyles="0" w:tableStyles="0" w:directFormattingOnRuns="1" w:directFormattingOnParagraphs="1" w:directFormattingOnNumbering="1" w:directFormattingOnTables="0" w:clearFormatting="0" w:top3HeadingStyles="0" w:visibleStyles="0" w:alternateStyleNames="0"/>
  <w:stylePaneSortMethod w:val="0000"/>
  <w:defaultTabStop w:val="720"/>
  <w:evenAndOddHeaders/>
  <w:drawingGridHorizontalSpacing w:val="120"/>
  <w:displayHorizontalDrawingGridEvery w:val="2"/>
  <w:characterSpacingControl w:val="doNotCompress"/>
  <w:savePreviewPicture/>
  <w:hdrShapeDefaults>
    <o:shapedefaults v:ext="edit" spidmax="2049" style="mso-position-horizontal-relative:margin;mso-position-vertical-relative:margin" fillcolor="white" stroke="f">
      <v:fill color="white" size="0,0" aspect="atLeast" origin="-32767f,-32767f" position="-32767f,-32767f" type="frame"/>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tLQ0sTC3MLEwNDIzNDFQ0lEKTi0uzszPAykwMq0FAJHSrX4tAAAA"/>
    <w:docVar w:name="ColourChosen" w:val="Core"/>
    <w:docVar w:name="CoverChosen" w:val="Standard"/>
    <w:docVar w:name="dgnword-docGUID" w:val="{4F5994F9-FA75-48F4-B2BB-88BBFC72AA05}"/>
    <w:docVar w:name="dgnword-eventsink" w:val="597446528"/>
    <w:docVar w:name="EN.InstantFormat" w:val="&lt;ENInstantFormat&gt;&lt;Enabled&gt;1&lt;/Enabled&gt;&lt;ScanUnformatted&gt;1&lt;/ScanUnformatted&gt;&lt;ScanChanges&gt;1&lt;/ScanChanges&gt;&lt;Suspended&gt;0&lt;/Suspended&gt;&lt;/ENInstantFormat&gt;"/>
    <w:docVar w:name="EN.Layout" w:val="&lt;ENLayout&gt;&lt;Style&gt;GBA-EndNoteStyle-v4&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df9tzzdhw2saee559kv0vezt0wfsta0zedv&quot;&gt;Version2GBAGroupLibraryenl&lt;record-ids&gt;&lt;item&gt;3&lt;/item&gt;&lt;item&gt;332&lt;/item&gt;&lt;item&gt;333&lt;/item&gt;&lt;item&gt;411&lt;/item&gt;&lt;item&gt;424&lt;/item&gt;&lt;item&gt;457&lt;/item&gt;&lt;item&gt;462&lt;/item&gt;&lt;item&gt;521&lt;/item&gt;&lt;item&gt;533&lt;/item&gt;&lt;item&gt;534&lt;/item&gt;&lt;item&gt;542&lt;/item&gt;&lt;item&gt;653&lt;/item&gt;&lt;item&gt;655&lt;/item&gt;&lt;item&gt;657&lt;/item&gt;&lt;item&gt;670&lt;/item&gt;&lt;item&gt;671&lt;/item&gt;&lt;item&gt;672&lt;/item&gt;&lt;item&gt;673&lt;/item&gt;&lt;item&gt;674&lt;/item&gt;&lt;item&gt;676&lt;/item&gt;&lt;item&gt;680&lt;/item&gt;&lt;item&gt;682&lt;/item&gt;&lt;item&gt;683&lt;/item&gt;&lt;item&gt;685&lt;/item&gt;&lt;item&gt;686&lt;/item&gt;&lt;item&gt;687&lt;/item&gt;&lt;item&gt;691&lt;/item&gt;&lt;item&gt;695&lt;/item&gt;&lt;item&gt;696&lt;/item&gt;&lt;item&gt;698&lt;/item&gt;&lt;item&gt;699&lt;/item&gt;&lt;item&gt;702&lt;/item&gt;&lt;item&gt;706&lt;/item&gt;&lt;item&gt;732&lt;/item&gt;&lt;item&gt;733&lt;/item&gt;&lt;item&gt;736&lt;/item&gt;&lt;item&gt;737&lt;/item&gt;&lt;item&gt;742&lt;/item&gt;&lt;item&gt;744&lt;/item&gt;&lt;item&gt;745&lt;/item&gt;&lt;item&gt;746&lt;/item&gt;&lt;item&gt;748&lt;/item&gt;&lt;item&gt;760&lt;/item&gt;&lt;item&gt;763&lt;/item&gt;&lt;item&gt;797&lt;/item&gt;&lt;item&gt;800&lt;/item&gt;&lt;item&gt;802&lt;/item&gt;&lt;item&gt;803&lt;/item&gt;&lt;item&gt;804&lt;/item&gt;&lt;item&gt;806&lt;/item&gt;&lt;item&gt;814&lt;/item&gt;&lt;item&gt;815&lt;/item&gt;&lt;item&gt;830&lt;/item&gt;&lt;item&gt;836&lt;/item&gt;&lt;item&gt;837&lt;/item&gt;&lt;item&gt;885&lt;/item&gt;&lt;item&gt;886&lt;/item&gt;&lt;item&gt;892&lt;/item&gt;&lt;item&gt;893&lt;/item&gt;&lt;item&gt;907&lt;/item&gt;&lt;item&gt;910&lt;/item&gt;&lt;item&gt;911&lt;/item&gt;&lt;item&gt;912&lt;/item&gt;&lt;item&gt;924&lt;/item&gt;&lt;item&gt;947&lt;/item&gt;&lt;item&gt;951&lt;/item&gt;&lt;item&gt;952&lt;/item&gt;&lt;item&gt;981&lt;/item&gt;&lt;item&gt;983&lt;/item&gt;&lt;item&gt;984&lt;/item&gt;&lt;item&gt;985&lt;/item&gt;&lt;item&gt;986&lt;/item&gt;&lt;item&gt;987&lt;/item&gt;&lt;item&gt;991&lt;/item&gt;&lt;item&gt;993&lt;/item&gt;&lt;item&gt;995&lt;/item&gt;&lt;item&gt;996&lt;/item&gt;&lt;item&gt;1001&lt;/item&gt;&lt;item&gt;1003&lt;/item&gt;&lt;item&gt;1072&lt;/item&gt;&lt;item&gt;1073&lt;/item&gt;&lt;item&gt;1074&lt;/item&gt;&lt;item&gt;1139&lt;/item&gt;&lt;item&gt;1149&lt;/item&gt;&lt;item&gt;1154&lt;/item&gt;&lt;item&gt;1155&lt;/item&gt;&lt;item&gt;1184&lt;/item&gt;&lt;item&gt;1190&lt;/item&gt;&lt;item&gt;1201&lt;/item&gt;&lt;item&gt;1205&lt;/item&gt;&lt;item&gt;1269&lt;/item&gt;&lt;item&gt;1271&lt;/item&gt;&lt;item&gt;1284&lt;/item&gt;&lt;item&gt;1333&lt;/item&gt;&lt;item&gt;1337&lt;/item&gt;&lt;item&gt;1350&lt;/item&gt;&lt;item&gt;1351&lt;/item&gt;&lt;item&gt;1354&lt;/item&gt;&lt;item&gt;1355&lt;/item&gt;&lt;item&gt;1356&lt;/item&gt;&lt;item&gt;1357&lt;/item&gt;&lt;item&gt;1364&lt;/item&gt;&lt;item&gt;1365&lt;/item&gt;&lt;item&gt;1366&lt;/item&gt;&lt;item&gt;1368&lt;/item&gt;&lt;item&gt;1369&lt;/item&gt;&lt;item&gt;1422&lt;/item&gt;&lt;item&gt;1432&lt;/item&gt;&lt;item&gt;1457&lt;/item&gt;&lt;item&gt;1511&lt;/item&gt;&lt;item&gt;1519&lt;/item&gt;&lt;item&gt;1520&lt;/item&gt;&lt;item&gt;1537&lt;/item&gt;&lt;item&gt;1538&lt;/item&gt;&lt;item&gt;1539&lt;/item&gt;&lt;item&gt;1541&lt;/item&gt;&lt;item&gt;1543&lt;/item&gt;&lt;/record-ids&gt;&lt;/item&gt;&lt;/Libraries&gt;"/>
  </w:docVars>
  <w:rsids>
    <w:rsidRoot w:val="003E135D"/>
    <w:rsid w:val="000000AF"/>
    <w:rsid w:val="000001ED"/>
    <w:rsid w:val="00000380"/>
    <w:rsid w:val="00000EEA"/>
    <w:rsid w:val="000010F8"/>
    <w:rsid w:val="000012E8"/>
    <w:rsid w:val="00001437"/>
    <w:rsid w:val="00001523"/>
    <w:rsid w:val="00001864"/>
    <w:rsid w:val="00001C61"/>
    <w:rsid w:val="00002017"/>
    <w:rsid w:val="000023B6"/>
    <w:rsid w:val="0000286A"/>
    <w:rsid w:val="00002A88"/>
    <w:rsid w:val="00002AA7"/>
    <w:rsid w:val="00002C4A"/>
    <w:rsid w:val="000030E5"/>
    <w:rsid w:val="0000312D"/>
    <w:rsid w:val="000031E1"/>
    <w:rsid w:val="00003997"/>
    <w:rsid w:val="00003EC1"/>
    <w:rsid w:val="0000443C"/>
    <w:rsid w:val="0000483B"/>
    <w:rsid w:val="00004A47"/>
    <w:rsid w:val="00004B9C"/>
    <w:rsid w:val="00004FEF"/>
    <w:rsid w:val="000056C6"/>
    <w:rsid w:val="00005A74"/>
    <w:rsid w:val="00005B50"/>
    <w:rsid w:val="000062E0"/>
    <w:rsid w:val="0000729D"/>
    <w:rsid w:val="000075BB"/>
    <w:rsid w:val="00007771"/>
    <w:rsid w:val="000078D2"/>
    <w:rsid w:val="00007B6B"/>
    <w:rsid w:val="00007B81"/>
    <w:rsid w:val="0001039C"/>
    <w:rsid w:val="000106E4"/>
    <w:rsid w:val="000109B6"/>
    <w:rsid w:val="00010A52"/>
    <w:rsid w:val="000113C1"/>
    <w:rsid w:val="00011486"/>
    <w:rsid w:val="000116C3"/>
    <w:rsid w:val="00011E85"/>
    <w:rsid w:val="00011FC6"/>
    <w:rsid w:val="0001262C"/>
    <w:rsid w:val="00012647"/>
    <w:rsid w:val="000126EB"/>
    <w:rsid w:val="00012DBA"/>
    <w:rsid w:val="00012E9E"/>
    <w:rsid w:val="00013816"/>
    <w:rsid w:val="00013DB9"/>
    <w:rsid w:val="000148AF"/>
    <w:rsid w:val="0001495A"/>
    <w:rsid w:val="00014A74"/>
    <w:rsid w:val="00014B94"/>
    <w:rsid w:val="000151BE"/>
    <w:rsid w:val="000153C6"/>
    <w:rsid w:val="00015A4B"/>
    <w:rsid w:val="00015BC0"/>
    <w:rsid w:val="00015C48"/>
    <w:rsid w:val="00015E82"/>
    <w:rsid w:val="000163E3"/>
    <w:rsid w:val="00016926"/>
    <w:rsid w:val="00016964"/>
    <w:rsid w:val="00017197"/>
    <w:rsid w:val="0001775B"/>
    <w:rsid w:val="00017A90"/>
    <w:rsid w:val="00017CF1"/>
    <w:rsid w:val="00020757"/>
    <w:rsid w:val="0002080E"/>
    <w:rsid w:val="000210BE"/>
    <w:rsid w:val="00021174"/>
    <w:rsid w:val="00021DF1"/>
    <w:rsid w:val="00022325"/>
    <w:rsid w:val="00022746"/>
    <w:rsid w:val="00022AC3"/>
    <w:rsid w:val="00022CFC"/>
    <w:rsid w:val="000231E7"/>
    <w:rsid w:val="00023370"/>
    <w:rsid w:val="00023C42"/>
    <w:rsid w:val="000241D9"/>
    <w:rsid w:val="00024F6E"/>
    <w:rsid w:val="000252E0"/>
    <w:rsid w:val="00025FD5"/>
    <w:rsid w:val="00026097"/>
    <w:rsid w:val="0002686D"/>
    <w:rsid w:val="00026959"/>
    <w:rsid w:val="00026EBF"/>
    <w:rsid w:val="00026FA6"/>
    <w:rsid w:val="00026FBC"/>
    <w:rsid w:val="00027659"/>
    <w:rsid w:val="000276CD"/>
    <w:rsid w:val="00027BF7"/>
    <w:rsid w:val="00030030"/>
    <w:rsid w:val="00030242"/>
    <w:rsid w:val="000305F1"/>
    <w:rsid w:val="00030894"/>
    <w:rsid w:val="00030A53"/>
    <w:rsid w:val="00031336"/>
    <w:rsid w:val="00031463"/>
    <w:rsid w:val="000316D4"/>
    <w:rsid w:val="00031A39"/>
    <w:rsid w:val="0003217B"/>
    <w:rsid w:val="000321E0"/>
    <w:rsid w:val="000329B1"/>
    <w:rsid w:val="00032BE9"/>
    <w:rsid w:val="00032C10"/>
    <w:rsid w:val="00032E3A"/>
    <w:rsid w:val="000331D4"/>
    <w:rsid w:val="00033521"/>
    <w:rsid w:val="00034575"/>
    <w:rsid w:val="0003521D"/>
    <w:rsid w:val="000353B5"/>
    <w:rsid w:val="0003580F"/>
    <w:rsid w:val="00035860"/>
    <w:rsid w:val="0003625B"/>
    <w:rsid w:val="000363DE"/>
    <w:rsid w:val="00036B44"/>
    <w:rsid w:val="00036C6F"/>
    <w:rsid w:val="00036CF9"/>
    <w:rsid w:val="00036EC8"/>
    <w:rsid w:val="000371D5"/>
    <w:rsid w:val="00037D19"/>
    <w:rsid w:val="0004034C"/>
    <w:rsid w:val="000405CA"/>
    <w:rsid w:val="00040E04"/>
    <w:rsid w:val="00041179"/>
    <w:rsid w:val="000414CC"/>
    <w:rsid w:val="00041C00"/>
    <w:rsid w:val="00041CF8"/>
    <w:rsid w:val="000423B0"/>
    <w:rsid w:val="000426C5"/>
    <w:rsid w:val="00042A1A"/>
    <w:rsid w:val="00042B60"/>
    <w:rsid w:val="00042C66"/>
    <w:rsid w:val="00042C9D"/>
    <w:rsid w:val="00042CA3"/>
    <w:rsid w:val="0004325C"/>
    <w:rsid w:val="0004379B"/>
    <w:rsid w:val="0004381B"/>
    <w:rsid w:val="0004383A"/>
    <w:rsid w:val="00043876"/>
    <w:rsid w:val="00043970"/>
    <w:rsid w:val="00043D7D"/>
    <w:rsid w:val="00043D95"/>
    <w:rsid w:val="000443E1"/>
    <w:rsid w:val="00044647"/>
    <w:rsid w:val="000449EF"/>
    <w:rsid w:val="00044CB1"/>
    <w:rsid w:val="00044E06"/>
    <w:rsid w:val="00044FB3"/>
    <w:rsid w:val="000450EF"/>
    <w:rsid w:val="00045321"/>
    <w:rsid w:val="00045754"/>
    <w:rsid w:val="00046354"/>
    <w:rsid w:val="00046483"/>
    <w:rsid w:val="00046533"/>
    <w:rsid w:val="0004656D"/>
    <w:rsid w:val="00046A68"/>
    <w:rsid w:val="000472F6"/>
    <w:rsid w:val="00047DFB"/>
    <w:rsid w:val="00047F89"/>
    <w:rsid w:val="0005048B"/>
    <w:rsid w:val="000504B6"/>
    <w:rsid w:val="0005057D"/>
    <w:rsid w:val="0005071F"/>
    <w:rsid w:val="00051219"/>
    <w:rsid w:val="00051456"/>
    <w:rsid w:val="00051BC3"/>
    <w:rsid w:val="00051E89"/>
    <w:rsid w:val="00051F94"/>
    <w:rsid w:val="0005226F"/>
    <w:rsid w:val="0005291B"/>
    <w:rsid w:val="0005371F"/>
    <w:rsid w:val="000537B2"/>
    <w:rsid w:val="00053E83"/>
    <w:rsid w:val="000540F5"/>
    <w:rsid w:val="00054600"/>
    <w:rsid w:val="00054FA7"/>
    <w:rsid w:val="000552D8"/>
    <w:rsid w:val="00055575"/>
    <w:rsid w:val="0005557A"/>
    <w:rsid w:val="0005578A"/>
    <w:rsid w:val="0005578E"/>
    <w:rsid w:val="00055AF1"/>
    <w:rsid w:val="00055EA3"/>
    <w:rsid w:val="00056774"/>
    <w:rsid w:val="00056779"/>
    <w:rsid w:val="00056876"/>
    <w:rsid w:val="00056B7F"/>
    <w:rsid w:val="00056B84"/>
    <w:rsid w:val="00056CAB"/>
    <w:rsid w:val="00056D3C"/>
    <w:rsid w:val="00056FD0"/>
    <w:rsid w:val="000572D7"/>
    <w:rsid w:val="000577F5"/>
    <w:rsid w:val="00057A8C"/>
    <w:rsid w:val="00060033"/>
    <w:rsid w:val="000607B8"/>
    <w:rsid w:val="00060B02"/>
    <w:rsid w:val="0006209A"/>
    <w:rsid w:val="00062776"/>
    <w:rsid w:val="000627D1"/>
    <w:rsid w:val="00062C7E"/>
    <w:rsid w:val="000636A1"/>
    <w:rsid w:val="00063869"/>
    <w:rsid w:val="00064580"/>
    <w:rsid w:val="00064612"/>
    <w:rsid w:val="000649D5"/>
    <w:rsid w:val="00064D30"/>
    <w:rsid w:val="00064EA3"/>
    <w:rsid w:val="00065259"/>
    <w:rsid w:val="000656BF"/>
    <w:rsid w:val="00065E06"/>
    <w:rsid w:val="000667A4"/>
    <w:rsid w:val="00066A2F"/>
    <w:rsid w:val="00066D8D"/>
    <w:rsid w:val="00066E76"/>
    <w:rsid w:val="00066EE9"/>
    <w:rsid w:val="00067047"/>
    <w:rsid w:val="000676FC"/>
    <w:rsid w:val="00067867"/>
    <w:rsid w:val="00067A76"/>
    <w:rsid w:val="00067CC3"/>
    <w:rsid w:val="0007062D"/>
    <w:rsid w:val="0007085E"/>
    <w:rsid w:val="000708C8"/>
    <w:rsid w:val="00070BAE"/>
    <w:rsid w:val="00070D0B"/>
    <w:rsid w:val="00070E10"/>
    <w:rsid w:val="00071AC8"/>
    <w:rsid w:val="0007214E"/>
    <w:rsid w:val="000723B2"/>
    <w:rsid w:val="000724DD"/>
    <w:rsid w:val="000726E8"/>
    <w:rsid w:val="00072AAA"/>
    <w:rsid w:val="00072CF6"/>
    <w:rsid w:val="00072DB8"/>
    <w:rsid w:val="00073BED"/>
    <w:rsid w:val="000740DD"/>
    <w:rsid w:val="000747F5"/>
    <w:rsid w:val="00074CDA"/>
    <w:rsid w:val="00074DFE"/>
    <w:rsid w:val="00075774"/>
    <w:rsid w:val="00075B0B"/>
    <w:rsid w:val="00076271"/>
    <w:rsid w:val="000764F2"/>
    <w:rsid w:val="0007700A"/>
    <w:rsid w:val="000774FA"/>
    <w:rsid w:val="00077537"/>
    <w:rsid w:val="000775DF"/>
    <w:rsid w:val="000776D4"/>
    <w:rsid w:val="00077B8B"/>
    <w:rsid w:val="00077C5A"/>
    <w:rsid w:val="00080441"/>
    <w:rsid w:val="000807C0"/>
    <w:rsid w:val="00080BBA"/>
    <w:rsid w:val="00080CE2"/>
    <w:rsid w:val="0008118F"/>
    <w:rsid w:val="000815C2"/>
    <w:rsid w:val="00081BAB"/>
    <w:rsid w:val="00081D91"/>
    <w:rsid w:val="00081F8A"/>
    <w:rsid w:val="00082759"/>
    <w:rsid w:val="0008310A"/>
    <w:rsid w:val="000839A0"/>
    <w:rsid w:val="00083CBE"/>
    <w:rsid w:val="00083DFD"/>
    <w:rsid w:val="00083FBD"/>
    <w:rsid w:val="000844BD"/>
    <w:rsid w:val="000844FB"/>
    <w:rsid w:val="00084605"/>
    <w:rsid w:val="00084767"/>
    <w:rsid w:val="00084E5A"/>
    <w:rsid w:val="00084FBB"/>
    <w:rsid w:val="000850D9"/>
    <w:rsid w:val="000857E6"/>
    <w:rsid w:val="00085B30"/>
    <w:rsid w:val="00085DC0"/>
    <w:rsid w:val="0008604A"/>
    <w:rsid w:val="00086552"/>
    <w:rsid w:val="00086856"/>
    <w:rsid w:val="00086BAF"/>
    <w:rsid w:val="0008705F"/>
    <w:rsid w:val="000874F5"/>
    <w:rsid w:val="00087ADA"/>
    <w:rsid w:val="00087C51"/>
    <w:rsid w:val="000901C4"/>
    <w:rsid w:val="0009023D"/>
    <w:rsid w:val="000902F6"/>
    <w:rsid w:val="000905AE"/>
    <w:rsid w:val="00090B0B"/>
    <w:rsid w:val="00090C75"/>
    <w:rsid w:val="0009195F"/>
    <w:rsid w:val="00091EBC"/>
    <w:rsid w:val="00092249"/>
    <w:rsid w:val="00092684"/>
    <w:rsid w:val="00093677"/>
    <w:rsid w:val="00093DC8"/>
    <w:rsid w:val="000941E5"/>
    <w:rsid w:val="0009451D"/>
    <w:rsid w:val="000947D2"/>
    <w:rsid w:val="00094BAD"/>
    <w:rsid w:val="00095485"/>
    <w:rsid w:val="000954E1"/>
    <w:rsid w:val="00095FB2"/>
    <w:rsid w:val="0009600E"/>
    <w:rsid w:val="00096058"/>
    <w:rsid w:val="000963BE"/>
    <w:rsid w:val="000963E6"/>
    <w:rsid w:val="00096847"/>
    <w:rsid w:val="000970B9"/>
    <w:rsid w:val="00097704"/>
    <w:rsid w:val="000979AD"/>
    <w:rsid w:val="000A0052"/>
    <w:rsid w:val="000A0556"/>
    <w:rsid w:val="000A07BC"/>
    <w:rsid w:val="000A09BB"/>
    <w:rsid w:val="000A0F6C"/>
    <w:rsid w:val="000A0FBD"/>
    <w:rsid w:val="000A10C0"/>
    <w:rsid w:val="000A162D"/>
    <w:rsid w:val="000A1AF9"/>
    <w:rsid w:val="000A2255"/>
    <w:rsid w:val="000A29F5"/>
    <w:rsid w:val="000A2B80"/>
    <w:rsid w:val="000A2C2A"/>
    <w:rsid w:val="000A2D9B"/>
    <w:rsid w:val="000A33AA"/>
    <w:rsid w:val="000A34CB"/>
    <w:rsid w:val="000A48F0"/>
    <w:rsid w:val="000A4B10"/>
    <w:rsid w:val="000A4D31"/>
    <w:rsid w:val="000A4E4F"/>
    <w:rsid w:val="000A500C"/>
    <w:rsid w:val="000A5D82"/>
    <w:rsid w:val="000A5E40"/>
    <w:rsid w:val="000A62B8"/>
    <w:rsid w:val="000A6D67"/>
    <w:rsid w:val="000A6F40"/>
    <w:rsid w:val="000A7BE9"/>
    <w:rsid w:val="000B0067"/>
    <w:rsid w:val="000B00B4"/>
    <w:rsid w:val="000B0435"/>
    <w:rsid w:val="000B0A3D"/>
    <w:rsid w:val="000B1022"/>
    <w:rsid w:val="000B13A6"/>
    <w:rsid w:val="000B1470"/>
    <w:rsid w:val="000B17F0"/>
    <w:rsid w:val="000B1C5B"/>
    <w:rsid w:val="000B2075"/>
    <w:rsid w:val="000B2749"/>
    <w:rsid w:val="000B2E24"/>
    <w:rsid w:val="000B327C"/>
    <w:rsid w:val="000B3486"/>
    <w:rsid w:val="000B3B62"/>
    <w:rsid w:val="000B6157"/>
    <w:rsid w:val="000B6198"/>
    <w:rsid w:val="000B689C"/>
    <w:rsid w:val="000B6A3F"/>
    <w:rsid w:val="000B6E1F"/>
    <w:rsid w:val="000B767F"/>
    <w:rsid w:val="000B776B"/>
    <w:rsid w:val="000B7A45"/>
    <w:rsid w:val="000B7AF7"/>
    <w:rsid w:val="000B7B82"/>
    <w:rsid w:val="000B7DCF"/>
    <w:rsid w:val="000C017D"/>
    <w:rsid w:val="000C02C0"/>
    <w:rsid w:val="000C055A"/>
    <w:rsid w:val="000C05F1"/>
    <w:rsid w:val="000C0697"/>
    <w:rsid w:val="000C0940"/>
    <w:rsid w:val="000C0E41"/>
    <w:rsid w:val="000C178E"/>
    <w:rsid w:val="000C1920"/>
    <w:rsid w:val="000C1A72"/>
    <w:rsid w:val="000C241C"/>
    <w:rsid w:val="000C29AC"/>
    <w:rsid w:val="000C2A2C"/>
    <w:rsid w:val="000C2E85"/>
    <w:rsid w:val="000C31B4"/>
    <w:rsid w:val="000C31C3"/>
    <w:rsid w:val="000C3A1C"/>
    <w:rsid w:val="000C4051"/>
    <w:rsid w:val="000C4062"/>
    <w:rsid w:val="000C4516"/>
    <w:rsid w:val="000C456D"/>
    <w:rsid w:val="000C473E"/>
    <w:rsid w:val="000C4B91"/>
    <w:rsid w:val="000C4E41"/>
    <w:rsid w:val="000C5523"/>
    <w:rsid w:val="000C5E0C"/>
    <w:rsid w:val="000C61B1"/>
    <w:rsid w:val="000C61C0"/>
    <w:rsid w:val="000C64CC"/>
    <w:rsid w:val="000C661E"/>
    <w:rsid w:val="000C671D"/>
    <w:rsid w:val="000C6AF6"/>
    <w:rsid w:val="000C6BB8"/>
    <w:rsid w:val="000C6BEF"/>
    <w:rsid w:val="000C76F6"/>
    <w:rsid w:val="000C77E9"/>
    <w:rsid w:val="000C77F5"/>
    <w:rsid w:val="000C7C95"/>
    <w:rsid w:val="000C7D15"/>
    <w:rsid w:val="000D0298"/>
    <w:rsid w:val="000D075C"/>
    <w:rsid w:val="000D0848"/>
    <w:rsid w:val="000D0BC1"/>
    <w:rsid w:val="000D0D99"/>
    <w:rsid w:val="000D1153"/>
    <w:rsid w:val="000D137E"/>
    <w:rsid w:val="000D1992"/>
    <w:rsid w:val="000D19DE"/>
    <w:rsid w:val="000D1DDB"/>
    <w:rsid w:val="000D1F0A"/>
    <w:rsid w:val="000D23C3"/>
    <w:rsid w:val="000D313B"/>
    <w:rsid w:val="000D3499"/>
    <w:rsid w:val="000D34FE"/>
    <w:rsid w:val="000D35DB"/>
    <w:rsid w:val="000D39FE"/>
    <w:rsid w:val="000D3C6E"/>
    <w:rsid w:val="000D3C89"/>
    <w:rsid w:val="000D3CDC"/>
    <w:rsid w:val="000D3DF3"/>
    <w:rsid w:val="000D436B"/>
    <w:rsid w:val="000D4468"/>
    <w:rsid w:val="000D447C"/>
    <w:rsid w:val="000D45D1"/>
    <w:rsid w:val="000D4720"/>
    <w:rsid w:val="000D474A"/>
    <w:rsid w:val="000D57E3"/>
    <w:rsid w:val="000D678B"/>
    <w:rsid w:val="000D690F"/>
    <w:rsid w:val="000D6C24"/>
    <w:rsid w:val="000D6C5B"/>
    <w:rsid w:val="000D6D2F"/>
    <w:rsid w:val="000D6D9E"/>
    <w:rsid w:val="000D6DF3"/>
    <w:rsid w:val="000D7293"/>
    <w:rsid w:val="000D72A4"/>
    <w:rsid w:val="000D73C2"/>
    <w:rsid w:val="000D7C73"/>
    <w:rsid w:val="000E000F"/>
    <w:rsid w:val="000E011B"/>
    <w:rsid w:val="000E03E1"/>
    <w:rsid w:val="000E05EE"/>
    <w:rsid w:val="000E0B4E"/>
    <w:rsid w:val="000E0ED8"/>
    <w:rsid w:val="000E1351"/>
    <w:rsid w:val="000E1417"/>
    <w:rsid w:val="000E1714"/>
    <w:rsid w:val="000E17A2"/>
    <w:rsid w:val="000E1A19"/>
    <w:rsid w:val="000E1A2C"/>
    <w:rsid w:val="000E1B04"/>
    <w:rsid w:val="000E1CF3"/>
    <w:rsid w:val="000E2323"/>
    <w:rsid w:val="000E2422"/>
    <w:rsid w:val="000E28E9"/>
    <w:rsid w:val="000E290A"/>
    <w:rsid w:val="000E308F"/>
    <w:rsid w:val="000E3194"/>
    <w:rsid w:val="000E3957"/>
    <w:rsid w:val="000E419E"/>
    <w:rsid w:val="000E44EC"/>
    <w:rsid w:val="000E45E9"/>
    <w:rsid w:val="000E4735"/>
    <w:rsid w:val="000E4C48"/>
    <w:rsid w:val="000E4DF4"/>
    <w:rsid w:val="000E50A2"/>
    <w:rsid w:val="000E50AD"/>
    <w:rsid w:val="000E599F"/>
    <w:rsid w:val="000E62A3"/>
    <w:rsid w:val="000E674A"/>
    <w:rsid w:val="000E6E5C"/>
    <w:rsid w:val="000E6F36"/>
    <w:rsid w:val="000E72B9"/>
    <w:rsid w:val="000E743C"/>
    <w:rsid w:val="000E7656"/>
    <w:rsid w:val="000E7A3C"/>
    <w:rsid w:val="000E7A6B"/>
    <w:rsid w:val="000F039B"/>
    <w:rsid w:val="000F047C"/>
    <w:rsid w:val="000F04B5"/>
    <w:rsid w:val="000F0534"/>
    <w:rsid w:val="000F0736"/>
    <w:rsid w:val="000F08B5"/>
    <w:rsid w:val="000F0976"/>
    <w:rsid w:val="000F0A32"/>
    <w:rsid w:val="000F0F6A"/>
    <w:rsid w:val="000F108D"/>
    <w:rsid w:val="000F1264"/>
    <w:rsid w:val="000F1EC3"/>
    <w:rsid w:val="000F1FE4"/>
    <w:rsid w:val="000F2D5D"/>
    <w:rsid w:val="000F3A3C"/>
    <w:rsid w:val="000F3DB2"/>
    <w:rsid w:val="000F3E45"/>
    <w:rsid w:val="000F4883"/>
    <w:rsid w:val="000F56A0"/>
    <w:rsid w:val="000F5856"/>
    <w:rsid w:val="000F5BBC"/>
    <w:rsid w:val="000F5C3E"/>
    <w:rsid w:val="000F6323"/>
    <w:rsid w:val="000F6C7A"/>
    <w:rsid w:val="000F6D89"/>
    <w:rsid w:val="000F7510"/>
    <w:rsid w:val="001002FE"/>
    <w:rsid w:val="00100330"/>
    <w:rsid w:val="00100407"/>
    <w:rsid w:val="00100DD1"/>
    <w:rsid w:val="00101261"/>
    <w:rsid w:val="00101621"/>
    <w:rsid w:val="00101A2A"/>
    <w:rsid w:val="00101C00"/>
    <w:rsid w:val="00101FE6"/>
    <w:rsid w:val="001020EA"/>
    <w:rsid w:val="00102B2C"/>
    <w:rsid w:val="001030AF"/>
    <w:rsid w:val="0010357F"/>
    <w:rsid w:val="00103DEC"/>
    <w:rsid w:val="00104198"/>
    <w:rsid w:val="00104313"/>
    <w:rsid w:val="0010436E"/>
    <w:rsid w:val="0010461B"/>
    <w:rsid w:val="00104F31"/>
    <w:rsid w:val="00104FBD"/>
    <w:rsid w:val="00105DA0"/>
    <w:rsid w:val="00105F07"/>
    <w:rsid w:val="001061A6"/>
    <w:rsid w:val="001063FA"/>
    <w:rsid w:val="001064AC"/>
    <w:rsid w:val="001067F0"/>
    <w:rsid w:val="001068F9"/>
    <w:rsid w:val="0010695A"/>
    <w:rsid w:val="001069ED"/>
    <w:rsid w:val="00106F74"/>
    <w:rsid w:val="00107735"/>
    <w:rsid w:val="00107D22"/>
    <w:rsid w:val="001100D4"/>
    <w:rsid w:val="00110213"/>
    <w:rsid w:val="00110275"/>
    <w:rsid w:val="00110807"/>
    <w:rsid w:val="001114C2"/>
    <w:rsid w:val="00111FD8"/>
    <w:rsid w:val="001121A8"/>
    <w:rsid w:val="001123EA"/>
    <w:rsid w:val="001124A9"/>
    <w:rsid w:val="00112630"/>
    <w:rsid w:val="00112E1A"/>
    <w:rsid w:val="00113140"/>
    <w:rsid w:val="0011346D"/>
    <w:rsid w:val="00113536"/>
    <w:rsid w:val="00113630"/>
    <w:rsid w:val="00113DC3"/>
    <w:rsid w:val="00114283"/>
    <w:rsid w:val="0011436F"/>
    <w:rsid w:val="0011470B"/>
    <w:rsid w:val="00114B30"/>
    <w:rsid w:val="00114F91"/>
    <w:rsid w:val="00116416"/>
    <w:rsid w:val="001166F0"/>
    <w:rsid w:val="00116C3E"/>
    <w:rsid w:val="001172BA"/>
    <w:rsid w:val="001173AF"/>
    <w:rsid w:val="00117743"/>
    <w:rsid w:val="00117E59"/>
    <w:rsid w:val="001203F3"/>
    <w:rsid w:val="001206B0"/>
    <w:rsid w:val="001206FA"/>
    <w:rsid w:val="00120A25"/>
    <w:rsid w:val="001212AC"/>
    <w:rsid w:val="001218B1"/>
    <w:rsid w:val="0012201E"/>
    <w:rsid w:val="00122439"/>
    <w:rsid w:val="001226A6"/>
    <w:rsid w:val="00122D3A"/>
    <w:rsid w:val="00123515"/>
    <w:rsid w:val="001235BB"/>
    <w:rsid w:val="00123BCC"/>
    <w:rsid w:val="00123D29"/>
    <w:rsid w:val="00123D6A"/>
    <w:rsid w:val="00123FD7"/>
    <w:rsid w:val="001245F1"/>
    <w:rsid w:val="00124626"/>
    <w:rsid w:val="001249CC"/>
    <w:rsid w:val="00124B05"/>
    <w:rsid w:val="00125556"/>
    <w:rsid w:val="00125C4B"/>
    <w:rsid w:val="00126B2A"/>
    <w:rsid w:val="00126BA6"/>
    <w:rsid w:val="00126EAD"/>
    <w:rsid w:val="001270B5"/>
    <w:rsid w:val="001271C8"/>
    <w:rsid w:val="0012745E"/>
    <w:rsid w:val="0012749D"/>
    <w:rsid w:val="001276A0"/>
    <w:rsid w:val="0013089B"/>
    <w:rsid w:val="00130DF5"/>
    <w:rsid w:val="00130E89"/>
    <w:rsid w:val="00131348"/>
    <w:rsid w:val="00131AA6"/>
    <w:rsid w:val="00131F1A"/>
    <w:rsid w:val="001321A5"/>
    <w:rsid w:val="00132224"/>
    <w:rsid w:val="0013290E"/>
    <w:rsid w:val="00132A64"/>
    <w:rsid w:val="00132F76"/>
    <w:rsid w:val="0013384F"/>
    <w:rsid w:val="00133B25"/>
    <w:rsid w:val="00133D30"/>
    <w:rsid w:val="00133E32"/>
    <w:rsid w:val="0013472C"/>
    <w:rsid w:val="00134FC3"/>
    <w:rsid w:val="00135105"/>
    <w:rsid w:val="00135629"/>
    <w:rsid w:val="001359B2"/>
    <w:rsid w:val="00135E93"/>
    <w:rsid w:val="00136126"/>
    <w:rsid w:val="001362B1"/>
    <w:rsid w:val="001362D6"/>
    <w:rsid w:val="001362D8"/>
    <w:rsid w:val="00136443"/>
    <w:rsid w:val="00136B7F"/>
    <w:rsid w:val="00136CCF"/>
    <w:rsid w:val="00137975"/>
    <w:rsid w:val="001405E9"/>
    <w:rsid w:val="0014060C"/>
    <w:rsid w:val="0014099A"/>
    <w:rsid w:val="00140B09"/>
    <w:rsid w:val="00141D5A"/>
    <w:rsid w:val="0014217F"/>
    <w:rsid w:val="0014255E"/>
    <w:rsid w:val="00142656"/>
    <w:rsid w:val="0014298D"/>
    <w:rsid w:val="00142E50"/>
    <w:rsid w:val="00143444"/>
    <w:rsid w:val="00144103"/>
    <w:rsid w:val="00145035"/>
    <w:rsid w:val="00145147"/>
    <w:rsid w:val="00145160"/>
    <w:rsid w:val="0014526A"/>
    <w:rsid w:val="00145436"/>
    <w:rsid w:val="00145D3A"/>
    <w:rsid w:val="001465CF"/>
    <w:rsid w:val="00146963"/>
    <w:rsid w:val="00146AC4"/>
    <w:rsid w:val="0014730C"/>
    <w:rsid w:val="0014742E"/>
    <w:rsid w:val="001474C2"/>
    <w:rsid w:val="001475FE"/>
    <w:rsid w:val="00147749"/>
    <w:rsid w:val="00147D52"/>
    <w:rsid w:val="00147E5B"/>
    <w:rsid w:val="001500A4"/>
    <w:rsid w:val="00150110"/>
    <w:rsid w:val="00150503"/>
    <w:rsid w:val="001506C5"/>
    <w:rsid w:val="0015073B"/>
    <w:rsid w:val="00150DD8"/>
    <w:rsid w:val="001511A7"/>
    <w:rsid w:val="00151444"/>
    <w:rsid w:val="0015149F"/>
    <w:rsid w:val="00151719"/>
    <w:rsid w:val="00151AE8"/>
    <w:rsid w:val="001520E2"/>
    <w:rsid w:val="00152185"/>
    <w:rsid w:val="00152273"/>
    <w:rsid w:val="00152753"/>
    <w:rsid w:val="00152867"/>
    <w:rsid w:val="00153B5B"/>
    <w:rsid w:val="00154168"/>
    <w:rsid w:val="00154180"/>
    <w:rsid w:val="0015425D"/>
    <w:rsid w:val="001543E7"/>
    <w:rsid w:val="0015460A"/>
    <w:rsid w:val="001546E7"/>
    <w:rsid w:val="00155A45"/>
    <w:rsid w:val="0015605C"/>
    <w:rsid w:val="001560BD"/>
    <w:rsid w:val="00156174"/>
    <w:rsid w:val="001565E5"/>
    <w:rsid w:val="00156CA2"/>
    <w:rsid w:val="0015724C"/>
    <w:rsid w:val="0015744F"/>
    <w:rsid w:val="001576AB"/>
    <w:rsid w:val="001577AE"/>
    <w:rsid w:val="00157873"/>
    <w:rsid w:val="00157991"/>
    <w:rsid w:val="00157AAE"/>
    <w:rsid w:val="00157E01"/>
    <w:rsid w:val="0016026E"/>
    <w:rsid w:val="00160C87"/>
    <w:rsid w:val="00160E77"/>
    <w:rsid w:val="00160EA8"/>
    <w:rsid w:val="001610F3"/>
    <w:rsid w:val="00161780"/>
    <w:rsid w:val="001617A3"/>
    <w:rsid w:val="001619BE"/>
    <w:rsid w:val="00161BB6"/>
    <w:rsid w:val="00161C9F"/>
    <w:rsid w:val="001624E2"/>
    <w:rsid w:val="00162846"/>
    <w:rsid w:val="00162F0C"/>
    <w:rsid w:val="00163F0B"/>
    <w:rsid w:val="0016406A"/>
    <w:rsid w:val="0016524D"/>
    <w:rsid w:val="001652D0"/>
    <w:rsid w:val="00165AC8"/>
    <w:rsid w:val="00166BF4"/>
    <w:rsid w:val="00166C40"/>
    <w:rsid w:val="00166C91"/>
    <w:rsid w:val="00166DC0"/>
    <w:rsid w:val="00166F89"/>
    <w:rsid w:val="0016786D"/>
    <w:rsid w:val="00167890"/>
    <w:rsid w:val="00167D25"/>
    <w:rsid w:val="00167D82"/>
    <w:rsid w:val="00167FA7"/>
    <w:rsid w:val="00170126"/>
    <w:rsid w:val="00170135"/>
    <w:rsid w:val="001707E1"/>
    <w:rsid w:val="001708B3"/>
    <w:rsid w:val="0017117F"/>
    <w:rsid w:val="00171E2F"/>
    <w:rsid w:val="00172478"/>
    <w:rsid w:val="0017260E"/>
    <w:rsid w:val="0017292D"/>
    <w:rsid w:val="00172F47"/>
    <w:rsid w:val="00173005"/>
    <w:rsid w:val="00173C4D"/>
    <w:rsid w:val="0017431B"/>
    <w:rsid w:val="001748A4"/>
    <w:rsid w:val="001749F0"/>
    <w:rsid w:val="00174A49"/>
    <w:rsid w:val="00174C55"/>
    <w:rsid w:val="00174FEB"/>
    <w:rsid w:val="00175388"/>
    <w:rsid w:val="00175642"/>
    <w:rsid w:val="001756F7"/>
    <w:rsid w:val="0017570F"/>
    <w:rsid w:val="00175CA8"/>
    <w:rsid w:val="00176233"/>
    <w:rsid w:val="00177045"/>
    <w:rsid w:val="00177270"/>
    <w:rsid w:val="001772D6"/>
    <w:rsid w:val="001777F9"/>
    <w:rsid w:val="00177C42"/>
    <w:rsid w:val="00177DEA"/>
    <w:rsid w:val="00177E08"/>
    <w:rsid w:val="00177E7C"/>
    <w:rsid w:val="00180617"/>
    <w:rsid w:val="00180676"/>
    <w:rsid w:val="001807F3"/>
    <w:rsid w:val="00180CAA"/>
    <w:rsid w:val="0018107C"/>
    <w:rsid w:val="00181418"/>
    <w:rsid w:val="001815C8"/>
    <w:rsid w:val="00181BCC"/>
    <w:rsid w:val="00182287"/>
    <w:rsid w:val="00182892"/>
    <w:rsid w:val="00182C63"/>
    <w:rsid w:val="00183609"/>
    <w:rsid w:val="001838BB"/>
    <w:rsid w:val="0018493B"/>
    <w:rsid w:val="001854AD"/>
    <w:rsid w:val="001859DB"/>
    <w:rsid w:val="00185BD5"/>
    <w:rsid w:val="00186570"/>
    <w:rsid w:val="0018671D"/>
    <w:rsid w:val="00186954"/>
    <w:rsid w:val="00187026"/>
    <w:rsid w:val="00187050"/>
    <w:rsid w:val="0018741B"/>
    <w:rsid w:val="001876EE"/>
    <w:rsid w:val="00187720"/>
    <w:rsid w:val="001877F5"/>
    <w:rsid w:val="001901B1"/>
    <w:rsid w:val="00190334"/>
    <w:rsid w:val="0019036A"/>
    <w:rsid w:val="001903D9"/>
    <w:rsid w:val="001908C3"/>
    <w:rsid w:val="00190E0B"/>
    <w:rsid w:val="00190FA9"/>
    <w:rsid w:val="00191006"/>
    <w:rsid w:val="0019159F"/>
    <w:rsid w:val="001918C9"/>
    <w:rsid w:val="00192721"/>
    <w:rsid w:val="00192E59"/>
    <w:rsid w:val="00192FA0"/>
    <w:rsid w:val="00193162"/>
    <w:rsid w:val="00194542"/>
    <w:rsid w:val="001946A7"/>
    <w:rsid w:val="0019510A"/>
    <w:rsid w:val="00195142"/>
    <w:rsid w:val="00195301"/>
    <w:rsid w:val="001953B7"/>
    <w:rsid w:val="0019591C"/>
    <w:rsid w:val="0019597F"/>
    <w:rsid w:val="00195BC4"/>
    <w:rsid w:val="00195BED"/>
    <w:rsid w:val="00195CCF"/>
    <w:rsid w:val="00195D59"/>
    <w:rsid w:val="00195E0C"/>
    <w:rsid w:val="001960BA"/>
    <w:rsid w:val="00196146"/>
    <w:rsid w:val="001965F6"/>
    <w:rsid w:val="001969AF"/>
    <w:rsid w:val="00196D47"/>
    <w:rsid w:val="00196DF6"/>
    <w:rsid w:val="00196EB7"/>
    <w:rsid w:val="001976BF"/>
    <w:rsid w:val="00197D99"/>
    <w:rsid w:val="001A01C1"/>
    <w:rsid w:val="001A0494"/>
    <w:rsid w:val="001A09A3"/>
    <w:rsid w:val="001A0B74"/>
    <w:rsid w:val="001A0C0D"/>
    <w:rsid w:val="001A0C62"/>
    <w:rsid w:val="001A0EC8"/>
    <w:rsid w:val="001A1020"/>
    <w:rsid w:val="001A1185"/>
    <w:rsid w:val="001A11BB"/>
    <w:rsid w:val="001A13CA"/>
    <w:rsid w:val="001A17F7"/>
    <w:rsid w:val="001A30A8"/>
    <w:rsid w:val="001A3537"/>
    <w:rsid w:val="001A3702"/>
    <w:rsid w:val="001A37AD"/>
    <w:rsid w:val="001A3BF0"/>
    <w:rsid w:val="001A4238"/>
    <w:rsid w:val="001A58CF"/>
    <w:rsid w:val="001A5932"/>
    <w:rsid w:val="001A61A7"/>
    <w:rsid w:val="001A637E"/>
    <w:rsid w:val="001A70EA"/>
    <w:rsid w:val="001A77A1"/>
    <w:rsid w:val="001A7DB3"/>
    <w:rsid w:val="001B00A0"/>
    <w:rsid w:val="001B04D4"/>
    <w:rsid w:val="001B04E2"/>
    <w:rsid w:val="001B071C"/>
    <w:rsid w:val="001B07DB"/>
    <w:rsid w:val="001B0CC3"/>
    <w:rsid w:val="001B1A67"/>
    <w:rsid w:val="001B1D87"/>
    <w:rsid w:val="001B1F65"/>
    <w:rsid w:val="001B22CB"/>
    <w:rsid w:val="001B23ED"/>
    <w:rsid w:val="001B3498"/>
    <w:rsid w:val="001B34DE"/>
    <w:rsid w:val="001B364B"/>
    <w:rsid w:val="001B36A1"/>
    <w:rsid w:val="001B3AA6"/>
    <w:rsid w:val="001B47AC"/>
    <w:rsid w:val="001B56A6"/>
    <w:rsid w:val="001B6295"/>
    <w:rsid w:val="001B66BF"/>
    <w:rsid w:val="001B6853"/>
    <w:rsid w:val="001B69B4"/>
    <w:rsid w:val="001B69FB"/>
    <w:rsid w:val="001B6CB5"/>
    <w:rsid w:val="001B6DE2"/>
    <w:rsid w:val="001B756B"/>
    <w:rsid w:val="001B79DA"/>
    <w:rsid w:val="001B7BF3"/>
    <w:rsid w:val="001B7D8B"/>
    <w:rsid w:val="001B7F6C"/>
    <w:rsid w:val="001C003A"/>
    <w:rsid w:val="001C008A"/>
    <w:rsid w:val="001C059F"/>
    <w:rsid w:val="001C0667"/>
    <w:rsid w:val="001C06B4"/>
    <w:rsid w:val="001C07F5"/>
    <w:rsid w:val="001C0C03"/>
    <w:rsid w:val="001C0FA6"/>
    <w:rsid w:val="001C1049"/>
    <w:rsid w:val="001C1628"/>
    <w:rsid w:val="001C19DD"/>
    <w:rsid w:val="001C1BDB"/>
    <w:rsid w:val="001C21DB"/>
    <w:rsid w:val="001C2380"/>
    <w:rsid w:val="001C29BD"/>
    <w:rsid w:val="001C3137"/>
    <w:rsid w:val="001C402E"/>
    <w:rsid w:val="001C4689"/>
    <w:rsid w:val="001C4A1A"/>
    <w:rsid w:val="001C4C27"/>
    <w:rsid w:val="001C540A"/>
    <w:rsid w:val="001C54DC"/>
    <w:rsid w:val="001C58D6"/>
    <w:rsid w:val="001C5CA5"/>
    <w:rsid w:val="001C5F74"/>
    <w:rsid w:val="001C6336"/>
    <w:rsid w:val="001C6428"/>
    <w:rsid w:val="001C663B"/>
    <w:rsid w:val="001C691E"/>
    <w:rsid w:val="001C6E08"/>
    <w:rsid w:val="001C7050"/>
    <w:rsid w:val="001C7A6B"/>
    <w:rsid w:val="001D059C"/>
    <w:rsid w:val="001D0CC4"/>
    <w:rsid w:val="001D0DFA"/>
    <w:rsid w:val="001D1412"/>
    <w:rsid w:val="001D2029"/>
    <w:rsid w:val="001D22BF"/>
    <w:rsid w:val="001D2737"/>
    <w:rsid w:val="001D3467"/>
    <w:rsid w:val="001D34C0"/>
    <w:rsid w:val="001D36DC"/>
    <w:rsid w:val="001D4761"/>
    <w:rsid w:val="001D4AED"/>
    <w:rsid w:val="001D4B55"/>
    <w:rsid w:val="001D4D59"/>
    <w:rsid w:val="001D4FED"/>
    <w:rsid w:val="001D5213"/>
    <w:rsid w:val="001D527F"/>
    <w:rsid w:val="001D5706"/>
    <w:rsid w:val="001D5775"/>
    <w:rsid w:val="001D5F1A"/>
    <w:rsid w:val="001D641C"/>
    <w:rsid w:val="001D668F"/>
    <w:rsid w:val="001D699E"/>
    <w:rsid w:val="001D6A7A"/>
    <w:rsid w:val="001D6D13"/>
    <w:rsid w:val="001D6D5A"/>
    <w:rsid w:val="001D6E0E"/>
    <w:rsid w:val="001D6FCA"/>
    <w:rsid w:val="001D712F"/>
    <w:rsid w:val="001D713C"/>
    <w:rsid w:val="001D7D94"/>
    <w:rsid w:val="001E027E"/>
    <w:rsid w:val="001E0AD3"/>
    <w:rsid w:val="001E13D6"/>
    <w:rsid w:val="001E1742"/>
    <w:rsid w:val="001E18F0"/>
    <w:rsid w:val="001E1A54"/>
    <w:rsid w:val="001E1CC9"/>
    <w:rsid w:val="001E226A"/>
    <w:rsid w:val="001E2288"/>
    <w:rsid w:val="001E2D97"/>
    <w:rsid w:val="001E30E8"/>
    <w:rsid w:val="001E39E1"/>
    <w:rsid w:val="001E3B73"/>
    <w:rsid w:val="001E3C87"/>
    <w:rsid w:val="001E43F5"/>
    <w:rsid w:val="001E45FE"/>
    <w:rsid w:val="001E46C8"/>
    <w:rsid w:val="001E4C59"/>
    <w:rsid w:val="001E52B6"/>
    <w:rsid w:val="001E52E3"/>
    <w:rsid w:val="001E531C"/>
    <w:rsid w:val="001E5545"/>
    <w:rsid w:val="001E571B"/>
    <w:rsid w:val="001E62AB"/>
    <w:rsid w:val="001E62DC"/>
    <w:rsid w:val="001E674A"/>
    <w:rsid w:val="001E6C18"/>
    <w:rsid w:val="001E6CC6"/>
    <w:rsid w:val="001E6E7A"/>
    <w:rsid w:val="001E715A"/>
    <w:rsid w:val="001E745C"/>
    <w:rsid w:val="001E759F"/>
    <w:rsid w:val="001E7A01"/>
    <w:rsid w:val="001E7B91"/>
    <w:rsid w:val="001E7BEE"/>
    <w:rsid w:val="001E7F24"/>
    <w:rsid w:val="001E8C9E"/>
    <w:rsid w:val="001F0A6B"/>
    <w:rsid w:val="001F14F0"/>
    <w:rsid w:val="001F193C"/>
    <w:rsid w:val="001F21EF"/>
    <w:rsid w:val="001F2990"/>
    <w:rsid w:val="001F2BA0"/>
    <w:rsid w:val="001F2D14"/>
    <w:rsid w:val="001F2D53"/>
    <w:rsid w:val="001F2E56"/>
    <w:rsid w:val="001F3174"/>
    <w:rsid w:val="001F343D"/>
    <w:rsid w:val="001F3A04"/>
    <w:rsid w:val="001F40A8"/>
    <w:rsid w:val="001F4181"/>
    <w:rsid w:val="001F454E"/>
    <w:rsid w:val="001F47CB"/>
    <w:rsid w:val="001F4D66"/>
    <w:rsid w:val="001F51E9"/>
    <w:rsid w:val="001F56FD"/>
    <w:rsid w:val="001F7071"/>
    <w:rsid w:val="001F7364"/>
    <w:rsid w:val="001F7512"/>
    <w:rsid w:val="001F762E"/>
    <w:rsid w:val="001F764F"/>
    <w:rsid w:val="001F7A83"/>
    <w:rsid w:val="0020034E"/>
    <w:rsid w:val="00200510"/>
    <w:rsid w:val="00200642"/>
    <w:rsid w:val="00200996"/>
    <w:rsid w:val="00200A10"/>
    <w:rsid w:val="00200AEF"/>
    <w:rsid w:val="00200C11"/>
    <w:rsid w:val="00200D74"/>
    <w:rsid w:val="0020108A"/>
    <w:rsid w:val="002012EC"/>
    <w:rsid w:val="00201636"/>
    <w:rsid w:val="00201772"/>
    <w:rsid w:val="00201928"/>
    <w:rsid w:val="00201950"/>
    <w:rsid w:val="00201B1A"/>
    <w:rsid w:val="00201C06"/>
    <w:rsid w:val="00201DAC"/>
    <w:rsid w:val="00201FFC"/>
    <w:rsid w:val="00202023"/>
    <w:rsid w:val="002026A8"/>
    <w:rsid w:val="00202703"/>
    <w:rsid w:val="00202A74"/>
    <w:rsid w:val="00202D20"/>
    <w:rsid w:val="00202D7A"/>
    <w:rsid w:val="0020368F"/>
    <w:rsid w:val="002039DF"/>
    <w:rsid w:val="00203A05"/>
    <w:rsid w:val="002041D5"/>
    <w:rsid w:val="00204624"/>
    <w:rsid w:val="002063CB"/>
    <w:rsid w:val="00206A8E"/>
    <w:rsid w:val="00206DE4"/>
    <w:rsid w:val="00207117"/>
    <w:rsid w:val="0020719B"/>
    <w:rsid w:val="002071BB"/>
    <w:rsid w:val="002074D8"/>
    <w:rsid w:val="00207751"/>
    <w:rsid w:val="002077EE"/>
    <w:rsid w:val="00207A3E"/>
    <w:rsid w:val="00207F01"/>
    <w:rsid w:val="00210185"/>
    <w:rsid w:val="002101A4"/>
    <w:rsid w:val="0021032C"/>
    <w:rsid w:val="00210343"/>
    <w:rsid w:val="002109F9"/>
    <w:rsid w:val="00210C39"/>
    <w:rsid w:val="00210F42"/>
    <w:rsid w:val="00211479"/>
    <w:rsid w:val="0021160A"/>
    <w:rsid w:val="002118CE"/>
    <w:rsid w:val="0021194E"/>
    <w:rsid w:val="00211D6D"/>
    <w:rsid w:val="00212EE3"/>
    <w:rsid w:val="002131E1"/>
    <w:rsid w:val="0021371B"/>
    <w:rsid w:val="002137D2"/>
    <w:rsid w:val="0021398D"/>
    <w:rsid w:val="00213FDB"/>
    <w:rsid w:val="00214030"/>
    <w:rsid w:val="002143E8"/>
    <w:rsid w:val="00214440"/>
    <w:rsid w:val="00214520"/>
    <w:rsid w:val="00214B82"/>
    <w:rsid w:val="00215132"/>
    <w:rsid w:val="002154A2"/>
    <w:rsid w:val="002156C8"/>
    <w:rsid w:val="00215C05"/>
    <w:rsid w:val="0021605E"/>
    <w:rsid w:val="002162B2"/>
    <w:rsid w:val="00217103"/>
    <w:rsid w:val="00217794"/>
    <w:rsid w:val="002200BF"/>
    <w:rsid w:val="002207F5"/>
    <w:rsid w:val="00220954"/>
    <w:rsid w:val="002209D3"/>
    <w:rsid w:val="00220DAC"/>
    <w:rsid w:val="00221A8F"/>
    <w:rsid w:val="00221D5A"/>
    <w:rsid w:val="00221F3E"/>
    <w:rsid w:val="00222039"/>
    <w:rsid w:val="00222407"/>
    <w:rsid w:val="00222804"/>
    <w:rsid w:val="00222CA0"/>
    <w:rsid w:val="00222CB9"/>
    <w:rsid w:val="002233B1"/>
    <w:rsid w:val="002237E7"/>
    <w:rsid w:val="00223920"/>
    <w:rsid w:val="0022431B"/>
    <w:rsid w:val="00224F67"/>
    <w:rsid w:val="00225050"/>
    <w:rsid w:val="0022507E"/>
    <w:rsid w:val="00225452"/>
    <w:rsid w:val="002254A0"/>
    <w:rsid w:val="002256CA"/>
    <w:rsid w:val="00225B9E"/>
    <w:rsid w:val="002264D3"/>
    <w:rsid w:val="00226C49"/>
    <w:rsid w:val="002272B2"/>
    <w:rsid w:val="002273FC"/>
    <w:rsid w:val="002274F9"/>
    <w:rsid w:val="00227946"/>
    <w:rsid w:val="002300DB"/>
    <w:rsid w:val="00230654"/>
    <w:rsid w:val="00230886"/>
    <w:rsid w:val="00230C9E"/>
    <w:rsid w:val="00231316"/>
    <w:rsid w:val="00231CFF"/>
    <w:rsid w:val="00232086"/>
    <w:rsid w:val="002326B3"/>
    <w:rsid w:val="002326B6"/>
    <w:rsid w:val="00232B56"/>
    <w:rsid w:val="00233201"/>
    <w:rsid w:val="00233623"/>
    <w:rsid w:val="002342A8"/>
    <w:rsid w:val="0023431E"/>
    <w:rsid w:val="002346FD"/>
    <w:rsid w:val="00234903"/>
    <w:rsid w:val="00234C5B"/>
    <w:rsid w:val="00234D3C"/>
    <w:rsid w:val="00234DE0"/>
    <w:rsid w:val="00234EBE"/>
    <w:rsid w:val="0023507F"/>
    <w:rsid w:val="00235132"/>
    <w:rsid w:val="002368F8"/>
    <w:rsid w:val="00236B0A"/>
    <w:rsid w:val="002373A8"/>
    <w:rsid w:val="00237609"/>
    <w:rsid w:val="002376FA"/>
    <w:rsid w:val="0023776C"/>
    <w:rsid w:val="00237AB0"/>
    <w:rsid w:val="00240136"/>
    <w:rsid w:val="0024094D"/>
    <w:rsid w:val="00240B0B"/>
    <w:rsid w:val="00240C11"/>
    <w:rsid w:val="00240CE4"/>
    <w:rsid w:val="00241057"/>
    <w:rsid w:val="002418DA"/>
    <w:rsid w:val="00241BAC"/>
    <w:rsid w:val="00241E83"/>
    <w:rsid w:val="00241FAF"/>
    <w:rsid w:val="002421F2"/>
    <w:rsid w:val="002423BF"/>
    <w:rsid w:val="00242617"/>
    <w:rsid w:val="00242FF0"/>
    <w:rsid w:val="0024330A"/>
    <w:rsid w:val="0024391E"/>
    <w:rsid w:val="00243E9F"/>
    <w:rsid w:val="00244C06"/>
    <w:rsid w:val="00244FDB"/>
    <w:rsid w:val="00245499"/>
    <w:rsid w:val="00245560"/>
    <w:rsid w:val="002457DE"/>
    <w:rsid w:val="00245868"/>
    <w:rsid w:val="002462A3"/>
    <w:rsid w:val="00246400"/>
    <w:rsid w:val="00246511"/>
    <w:rsid w:val="00246574"/>
    <w:rsid w:val="00246730"/>
    <w:rsid w:val="002467EB"/>
    <w:rsid w:val="00246C6B"/>
    <w:rsid w:val="00246DCB"/>
    <w:rsid w:val="00247231"/>
    <w:rsid w:val="002479F1"/>
    <w:rsid w:val="002507AA"/>
    <w:rsid w:val="002510AC"/>
    <w:rsid w:val="00251138"/>
    <w:rsid w:val="002513B6"/>
    <w:rsid w:val="0025172C"/>
    <w:rsid w:val="0025176F"/>
    <w:rsid w:val="0025177C"/>
    <w:rsid w:val="00251A54"/>
    <w:rsid w:val="00251C66"/>
    <w:rsid w:val="00251DDE"/>
    <w:rsid w:val="0025285D"/>
    <w:rsid w:val="0025295D"/>
    <w:rsid w:val="00252CBB"/>
    <w:rsid w:val="00252FE0"/>
    <w:rsid w:val="0025305D"/>
    <w:rsid w:val="002531DC"/>
    <w:rsid w:val="00253357"/>
    <w:rsid w:val="002534C2"/>
    <w:rsid w:val="00253624"/>
    <w:rsid w:val="00253731"/>
    <w:rsid w:val="00253D7E"/>
    <w:rsid w:val="0025404F"/>
    <w:rsid w:val="002544ED"/>
    <w:rsid w:val="0025502B"/>
    <w:rsid w:val="00255D64"/>
    <w:rsid w:val="0025729D"/>
    <w:rsid w:val="0025755B"/>
    <w:rsid w:val="002579B2"/>
    <w:rsid w:val="00257F2A"/>
    <w:rsid w:val="00260364"/>
    <w:rsid w:val="00260C84"/>
    <w:rsid w:val="00260CC9"/>
    <w:rsid w:val="00260D3D"/>
    <w:rsid w:val="00260E8C"/>
    <w:rsid w:val="002616C3"/>
    <w:rsid w:val="00261C6E"/>
    <w:rsid w:val="00261DFC"/>
    <w:rsid w:val="002621C3"/>
    <w:rsid w:val="00262350"/>
    <w:rsid w:val="00262456"/>
    <w:rsid w:val="00262FD9"/>
    <w:rsid w:val="00263626"/>
    <w:rsid w:val="00263A58"/>
    <w:rsid w:val="002644B9"/>
    <w:rsid w:val="00264722"/>
    <w:rsid w:val="00264821"/>
    <w:rsid w:val="00264B78"/>
    <w:rsid w:val="002650CA"/>
    <w:rsid w:val="002652F2"/>
    <w:rsid w:val="00265319"/>
    <w:rsid w:val="002653C1"/>
    <w:rsid w:val="00265609"/>
    <w:rsid w:val="00265B73"/>
    <w:rsid w:val="002664E4"/>
    <w:rsid w:val="0026694C"/>
    <w:rsid w:val="00266BEC"/>
    <w:rsid w:val="00267364"/>
    <w:rsid w:val="0026739B"/>
    <w:rsid w:val="002677A6"/>
    <w:rsid w:val="00267ED5"/>
    <w:rsid w:val="0027062F"/>
    <w:rsid w:val="002706B7"/>
    <w:rsid w:val="00270BDC"/>
    <w:rsid w:val="00270D91"/>
    <w:rsid w:val="0027128A"/>
    <w:rsid w:val="00271602"/>
    <w:rsid w:val="00271D28"/>
    <w:rsid w:val="0027225A"/>
    <w:rsid w:val="00272A27"/>
    <w:rsid w:val="00272A6E"/>
    <w:rsid w:val="00273369"/>
    <w:rsid w:val="002735AC"/>
    <w:rsid w:val="00273683"/>
    <w:rsid w:val="00273A31"/>
    <w:rsid w:val="00273BB5"/>
    <w:rsid w:val="00273E9B"/>
    <w:rsid w:val="00274483"/>
    <w:rsid w:val="002746B9"/>
    <w:rsid w:val="002746EF"/>
    <w:rsid w:val="002749B7"/>
    <w:rsid w:val="00274D59"/>
    <w:rsid w:val="00274DF1"/>
    <w:rsid w:val="00274FEA"/>
    <w:rsid w:val="00275036"/>
    <w:rsid w:val="0027562D"/>
    <w:rsid w:val="00275A12"/>
    <w:rsid w:val="00275B1F"/>
    <w:rsid w:val="00276365"/>
    <w:rsid w:val="00276B2C"/>
    <w:rsid w:val="00276E3E"/>
    <w:rsid w:val="00277240"/>
    <w:rsid w:val="00277610"/>
    <w:rsid w:val="00277A23"/>
    <w:rsid w:val="00277A2E"/>
    <w:rsid w:val="00280214"/>
    <w:rsid w:val="002803F0"/>
    <w:rsid w:val="00280E4B"/>
    <w:rsid w:val="00280F42"/>
    <w:rsid w:val="00281026"/>
    <w:rsid w:val="0028129E"/>
    <w:rsid w:val="00281BB0"/>
    <w:rsid w:val="0028235F"/>
    <w:rsid w:val="00282E11"/>
    <w:rsid w:val="00283350"/>
    <w:rsid w:val="002836F1"/>
    <w:rsid w:val="0028437B"/>
    <w:rsid w:val="0028474C"/>
    <w:rsid w:val="00284DD4"/>
    <w:rsid w:val="00284EE3"/>
    <w:rsid w:val="00284F94"/>
    <w:rsid w:val="002852DB"/>
    <w:rsid w:val="00285AA7"/>
    <w:rsid w:val="00285F27"/>
    <w:rsid w:val="00285F52"/>
    <w:rsid w:val="0028602C"/>
    <w:rsid w:val="00286127"/>
    <w:rsid w:val="002861B9"/>
    <w:rsid w:val="002862A0"/>
    <w:rsid w:val="00286518"/>
    <w:rsid w:val="002865B7"/>
    <w:rsid w:val="00286B0B"/>
    <w:rsid w:val="00286C21"/>
    <w:rsid w:val="00287367"/>
    <w:rsid w:val="0028759F"/>
    <w:rsid w:val="00287B31"/>
    <w:rsid w:val="00287FBB"/>
    <w:rsid w:val="0029009C"/>
    <w:rsid w:val="0029026E"/>
    <w:rsid w:val="00290C8D"/>
    <w:rsid w:val="00290F4F"/>
    <w:rsid w:val="002911D0"/>
    <w:rsid w:val="002912A4"/>
    <w:rsid w:val="00291563"/>
    <w:rsid w:val="002916E0"/>
    <w:rsid w:val="002919AD"/>
    <w:rsid w:val="00291C57"/>
    <w:rsid w:val="00292093"/>
    <w:rsid w:val="00292391"/>
    <w:rsid w:val="002924A8"/>
    <w:rsid w:val="002925A3"/>
    <w:rsid w:val="00292D44"/>
    <w:rsid w:val="00292D67"/>
    <w:rsid w:val="002930B2"/>
    <w:rsid w:val="002934DE"/>
    <w:rsid w:val="002935EE"/>
    <w:rsid w:val="0029371B"/>
    <w:rsid w:val="0029390C"/>
    <w:rsid w:val="00293EB0"/>
    <w:rsid w:val="002940BE"/>
    <w:rsid w:val="002945C8"/>
    <w:rsid w:val="002948BB"/>
    <w:rsid w:val="00294DAC"/>
    <w:rsid w:val="0029513C"/>
    <w:rsid w:val="002952A9"/>
    <w:rsid w:val="0029551A"/>
    <w:rsid w:val="002957D5"/>
    <w:rsid w:val="00295AF0"/>
    <w:rsid w:val="00295D01"/>
    <w:rsid w:val="00296052"/>
    <w:rsid w:val="00296059"/>
    <w:rsid w:val="002969BE"/>
    <w:rsid w:val="00296A49"/>
    <w:rsid w:val="00296E2A"/>
    <w:rsid w:val="0029703F"/>
    <w:rsid w:val="002970B6"/>
    <w:rsid w:val="00297F67"/>
    <w:rsid w:val="002A0035"/>
    <w:rsid w:val="002A057B"/>
    <w:rsid w:val="002A08EC"/>
    <w:rsid w:val="002A0BBE"/>
    <w:rsid w:val="002A0E76"/>
    <w:rsid w:val="002A110E"/>
    <w:rsid w:val="002A16C6"/>
    <w:rsid w:val="002A1C77"/>
    <w:rsid w:val="002A1D91"/>
    <w:rsid w:val="002A23EA"/>
    <w:rsid w:val="002A24A8"/>
    <w:rsid w:val="002A2DAC"/>
    <w:rsid w:val="002A3581"/>
    <w:rsid w:val="002A39E0"/>
    <w:rsid w:val="002A3F8B"/>
    <w:rsid w:val="002A41D6"/>
    <w:rsid w:val="002A47DB"/>
    <w:rsid w:val="002A4807"/>
    <w:rsid w:val="002A4B88"/>
    <w:rsid w:val="002A4E0F"/>
    <w:rsid w:val="002A5124"/>
    <w:rsid w:val="002A5365"/>
    <w:rsid w:val="002A5771"/>
    <w:rsid w:val="002A5A18"/>
    <w:rsid w:val="002A5D8F"/>
    <w:rsid w:val="002A62E3"/>
    <w:rsid w:val="002A6437"/>
    <w:rsid w:val="002A658F"/>
    <w:rsid w:val="002A6848"/>
    <w:rsid w:val="002A6D22"/>
    <w:rsid w:val="002A77AD"/>
    <w:rsid w:val="002A7CA6"/>
    <w:rsid w:val="002A7D14"/>
    <w:rsid w:val="002B0536"/>
    <w:rsid w:val="002B058F"/>
    <w:rsid w:val="002B0B05"/>
    <w:rsid w:val="002B0CAD"/>
    <w:rsid w:val="002B0D77"/>
    <w:rsid w:val="002B0E07"/>
    <w:rsid w:val="002B11E6"/>
    <w:rsid w:val="002B19AB"/>
    <w:rsid w:val="002B1A15"/>
    <w:rsid w:val="002B1C17"/>
    <w:rsid w:val="002B1C52"/>
    <w:rsid w:val="002B26D5"/>
    <w:rsid w:val="002B2894"/>
    <w:rsid w:val="002B2961"/>
    <w:rsid w:val="002B29CD"/>
    <w:rsid w:val="002B2B23"/>
    <w:rsid w:val="002B2F58"/>
    <w:rsid w:val="002B313F"/>
    <w:rsid w:val="002B36EB"/>
    <w:rsid w:val="002B371A"/>
    <w:rsid w:val="002B3CB3"/>
    <w:rsid w:val="002B3DD4"/>
    <w:rsid w:val="002B3E6E"/>
    <w:rsid w:val="002B4124"/>
    <w:rsid w:val="002B4359"/>
    <w:rsid w:val="002B4524"/>
    <w:rsid w:val="002B4949"/>
    <w:rsid w:val="002B5E26"/>
    <w:rsid w:val="002B5E87"/>
    <w:rsid w:val="002B6130"/>
    <w:rsid w:val="002B6737"/>
    <w:rsid w:val="002B6B0A"/>
    <w:rsid w:val="002B7513"/>
    <w:rsid w:val="002B76A3"/>
    <w:rsid w:val="002B79E7"/>
    <w:rsid w:val="002C0160"/>
    <w:rsid w:val="002C0D87"/>
    <w:rsid w:val="002C0F7F"/>
    <w:rsid w:val="002C13D7"/>
    <w:rsid w:val="002C1645"/>
    <w:rsid w:val="002C1B89"/>
    <w:rsid w:val="002C1D5B"/>
    <w:rsid w:val="002C1EAD"/>
    <w:rsid w:val="002C3465"/>
    <w:rsid w:val="002C5335"/>
    <w:rsid w:val="002C54A6"/>
    <w:rsid w:val="002C566C"/>
    <w:rsid w:val="002C5A3D"/>
    <w:rsid w:val="002C5F23"/>
    <w:rsid w:val="002C68F6"/>
    <w:rsid w:val="002D0045"/>
    <w:rsid w:val="002D0AE2"/>
    <w:rsid w:val="002D0D89"/>
    <w:rsid w:val="002D0EFB"/>
    <w:rsid w:val="002D19CD"/>
    <w:rsid w:val="002D1B9B"/>
    <w:rsid w:val="002D25BE"/>
    <w:rsid w:val="002D2754"/>
    <w:rsid w:val="002D2C27"/>
    <w:rsid w:val="002D2D3F"/>
    <w:rsid w:val="002D3234"/>
    <w:rsid w:val="002D3506"/>
    <w:rsid w:val="002D3DFF"/>
    <w:rsid w:val="002D40C4"/>
    <w:rsid w:val="002D437E"/>
    <w:rsid w:val="002D4473"/>
    <w:rsid w:val="002D473B"/>
    <w:rsid w:val="002D4DE2"/>
    <w:rsid w:val="002D4ECA"/>
    <w:rsid w:val="002D53F9"/>
    <w:rsid w:val="002D55AE"/>
    <w:rsid w:val="002D5603"/>
    <w:rsid w:val="002D56DE"/>
    <w:rsid w:val="002D688F"/>
    <w:rsid w:val="002D70EA"/>
    <w:rsid w:val="002D7176"/>
    <w:rsid w:val="002D774E"/>
    <w:rsid w:val="002DF632"/>
    <w:rsid w:val="002E00BA"/>
    <w:rsid w:val="002E08A4"/>
    <w:rsid w:val="002E0AA9"/>
    <w:rsid w:val="002E0C1E"/>
    <w:rsid w:val="002E1294"/>
    <w:rsid w:val="002E162D"/>
    <w:rsid w:val="002E16EA"/>
    <w:rsid w:val="002E17E4"/>
    <w:rsid w:val="002E2280"/>
    <w:rsid w:val="002E241F"/>
    <w:rsid w:val="002E263C"/>
    <w:rsid w:val="002E27D7"/>
    <w:rsid w:val="002E2F60"/>
    <w:rsid w:val="002E30ED"/>
    <w:rsid w:val="002E347F"/>
    <w:rsid w:val="002E38BC"/>
    <w:rsid w:val="002E3B33"/>
    <w:rsid w:val="002E3BB0"/>
    <w:rsid w:val="002E3DB9"/>
    <w:rsid w:val="002E3FF2"/>
    <w:rsid w:val="002E48B3"/>
    <w:rsid w:val="002E546C"/>
    <w:rsid w:val="002E54C3"/>
    <w:rsid w:val="002E5597"/>
    <w:rsid w:val="002E59BE"/>
    <w:rsid w:val="002E5B35"/>
    <w:rsid w:val="002E5BB6"/>
    <w:rsid w:val="002E5E22"/>
    <w:rsid w:val="002E5E69"/>
    <w:rsid w:val="002E6314"/>
    <w:rsid w:val="002E65B1"/>
    <w:rsid w:val="002E6604"/>
    <w:rsid w:val="002E6619"/>
    <w:rsid w:val="002E6815"/>
    <w:rsid w:val="002E6955"/>
    <w:rsid w:val="002E7258"/>
    <w:rsid w:val="002E739C"/>
    <w:rsid w:val="002E761C"/>
    <w:rsid w:val="002E7AB1"/>
    <w:rsid w:val="002E7DC9"/>
    <w:rsid w:val="002E7DCA"/>
    <w:rsid w:val="002F0071"/>
    <w:rsid w:val="002F06CC"/>
    <w:rsid w:val="002F1B94"/>
    <w:rsid w:val="002F21A4"/>
    <w:rsid w:val="002F28A9"/>
    <w:rsid w:val="002F2DD4"/>
    <w:rsid w:val="002F2E14"/>
    <w:rsid w:val="002F31BD"/>
    <w:rsid w:val="002F456E"/>
    <w:rsid w:val="002F4975"/>
    <w:rsid w:val="002F4B6E"/>
    <w:rsid w:val="002F529A"/>
    <w:rsid w:val="002F54F1"/>
    <w:rsid w:val="002F5550"/>
    <w:rsid w:val="002F5F16"/>
    <w:rsid w:val="002F5FA8"/>
    <w:rsid w:val="002F6563"/>
    <w:rsid w:val="002F6D6D"/>
    <w:rsid w:val="002F71F0"/>
    <w:rsid w:val="002F74D2"/>
    <w:rsid w:val="002F7A19"/>
    <w:rsid w:val="002F7B4D"/>
    <w:rsid w:val="00300057"/>
    <w:rsid w:val="0030024C"/>
    <w:rsid w:val="003011DB"/>
    <w:rsid w:val="0030132E"/>
    <w:rsid w:val="00301812"/>
    <w:rsid w:val="00301C5C"/>
    <w:rsid w:val="0030230F"/>
    <w:rsid w:val="00302DCB"/>
    <w:rsid w:val="00303594"/>
    <w:rsid w:val="003036A2"/>
    <w:rsid w:val="00303A92"/>
    <w:rsid w:val="00303B0B"/>
    <w:rsid w:val="00303F5F"/>
    <w:rsid w:val="00304DC8"/>
    <w:rsid w:val="00305185"/>
    <w:rsid w:val="003053C7"/>
    <w:rsid w:val="003054B0"/>
    <w:rsid w:val="003059EB"/>
    <w:rsid w:val="00305F2B"/>
    <w:rsid w:val="00306623"/>
    <w:rsid w:val="0030699A"/>
    <w:rsid w:val="00306A4B"/>
    <w:rsid w:val="00306BDD"/>
    <w:rsid w:val="00306CDC"/>
    <w:rsid w:val="00306E5F"/>
    <w:rsid w:val="00306FA5"/>
    <w:rsid w:val="00307068"/>
    <w:rsid w:val="00307218"/>
    <w:rsid w:val="00307B3C"/>
    <w:rsid w:val="00307F60"/>
    <w:rsid w:val="00310421"/>
    <w:rsid w:val="00310504"/>
    <w:rsid w:val="0031090F"/>
    <w:rsid w:val="00310C0A"/>
    <w:rsid w:val="00310DB4"/>
    <w:rsid w:val="00311566"/>
    <w:rsid w:val="003121AC"/>
    <w:rsid w:val="003121DB"/>
    <w:rsid w:val="003122E7"/>
    <w:rsid w:val="003123B1"/>
    <w:rsid w:val="00312771"/>
    <w:rsid w:val="0031292C"/>
    <w:rsid w:val="00312BA1"/>
    <w:rsid w:val="00312D9D"/>
    <w:rsid w:val="00312E95"/>
    <w:rsid w:val="00313128"/>
    <w:rsid w:val="0031369B"/>
    <w:rsid w:val="003139EB"/>
    <w:rsid w:val="00313CAE"/>
    <w:rsid w:val="00313FE6"/>
    <w:rsid w:val="00315269"/>
    <w:rsid w:val="0031559B"/>
    <w:rsid w:val="00315ADC"/>
    <w:rsid w:val="00315CB5"/>
    <w:rsid w:val="00315F62"/>
    <w:rsid w:val="0031601A"/>
    <w:rsid w:val="0031605A"/>
    <w:rsid w:val="0031643D"/>
    <w:rsid w:val="00316651"/>
    <w:rsid w:val="0031689E"/>
    <w:rsid w:val="00316B38"/>
    <w:rsid w:val="00316DB6"/>
    <w:rsid w:val="00317602"/>
    <w:rsid w:val="003179E6"/>
    <w:rsid w:val="003203D1"/>
    <w:rsid w:val="003205B5"/>
    <w:rsid w:val="00320BE0"/>
    <w:rsid w:val="00320BEB"/>
    <w:rsid w:val="0032125E"/>
    <w:rsid w:val="003212BB"/>
    <w:rsid w:val="00321A1D"/>
    <w:rsid w:val="00321D69"/>
    <w:rsid w:val="00321E74"/>
    <w:rsid w:val="00322349"/>
    <w:rsid w:val="003226B7"/>
    <w:rsid w:val="00322871"/>
    <w:rsid w:val="0032293E"/>
    <w:rsid w:val="00322BA1"/>
    <w:rsid w:val="00323682"/>
    <w:rsid w:val="003236F9"/>
    <w:rsid w:val="003240DD"/>
    <w:rsid w:val="003262F7"/>
    <w:rsid w:val="00326360"/>
    <w:rsid w:val="003265A3"/>
    <w:rsid w:val="0032663D"/>
    <w:rsid w:val="003268EB"/>
    <w:rsid w:val="00327389"/>
    <w:rsid w:val="00327466"/>
    <w:rsid w:val="0032796C"/>
    <w:rsid w:val="00330133"/>
    <w:rsid w:val="00331338"/>
    <w:rsid w:val="00331469"/>
    <w:rsid w:val="00331731"/>
    <w:rsid w:val="00332161"/>
    <w:rsid w:val="00332AB5"/>
    <w:rsid w:val="00332E5A"/>
    <w:rsid w:val="00333074"/>
    <w:rsid w:val="003331BF"/>
    <w:rsid w:val="003333CD"/>
    <w:rsid w:val="00333B74"/>
    <w:rsid w:val="00333D6E"/>
    <w:rsid w:val="00333EED"/>
    <w:rsid w:val="00333F5B"/>
    <w:rsid w:val="00334E00"/>
    <w:rsid w:val="00334EB0"/>
    <w:rsid w:val="00335423"/>
    <w:rsid w:val="0033546F"/>
    <w:rsid w:val="0033551F"/>
    <w:rsid w:val="0033569D"/>
    <w:rsid w:val="00335A38"/>
    <w:rsid w:val="00335F98"/>
    <w:rsid w:val="003362AC"/>
    <w:rsid w:val="003366A4"/>
    <w:rsid w:val="00336B90"/>
    <w:rsid w:val="00336FC8"/>
    <w:rsid w:val="00337376"/>
    <w:rsid w:val="0034043B"/>
    <w:rsid w:val="003407F2"/>
    <w:rsid w:val="00340806"/>
    <w:rsid w:val="003408DF"/>
    <w:rsid w:val="00340BF7"/>
    <w:rsid w:val="0034196E"/>
    <w:rsid w:val="00341FFE"/>
    <w:rsid w:val="003425BE"/>
    <w:rsid w:val="003426AC"/>
    <w:rsid w:val="00342D1F"/>
    <w:rsid w:val="00342E24"/>
    <w:rsid w:val="003436F4"/>
    <w:rsid w:val="00343AAF"/>
    <w:rsid w:val="00343C2A"/>
    <w:rsid w:val="00343F40"/>
    <w:rsid w:val="0034410A"/>
    <w:rsid w:val="0034465B"/>
    <w:rsid w:val="0034494E"/>
    <w:rsid w:val="00344AE5"/>
    <w:rsid w:val="003450A8"/>
    <w:rsid w:val="003450C4"/>
    <w:rsid w:val="00345210"/>
    <w:rsid w:val="0034595E"/>
    <w:rsid w:val="00345A47"/>
    <w:rsid w:val="00345B66"/>
    <w:rsid w:val="003461B2"/>
    <w:rsid w:val="003469E9"/>
    <w:rsid w:val="00346DD1"/>
    <w:rsid w:val="00346EB2"/>
    <w:rsid w:val="003470E2"/>
    <w:rsid w:val="003470F4"/>
    <w:rsid w:val="003505A8"/>
    <w:rsid w:val="00350D4F"/>
    <w:rsid w:val="003522FA"/>
    <w:rsid w:val="00353141"/>
    <w:rsid w:val="00353242"/>
    <w:rsid w:val="00353719"/>
    <w:rsid w:val="00353F52"/>
    <w:rsid w:val="00354425"/>
    <w:rsid w:val="003546C8"/>
    <w:rsid w:val="00355657"/>
    <w:rsid w:val="00355699"/>
    <w:rsid w:val="00355B43"/>
    <w:rsid w:val="00355CE2"/>
    <w:rsid w:val="00356068"/>
    <w:rsid w:val="00357052"/>
    <w:rsid w:val="00357251"/>
    <w:rsid w:val="003579A8"/>
    <w:rsid w:val="00357ADF"/>
    <w:rsid w:val="00357F24"/>
    <w:rsid w:val="00360186"/>
    <w:rsid w:val="003603A9"/>
    <w:rsid w:val="0036087A"/>
    <w:rsid w:val="00361000"/>
    <w:rsid w:val="0036120A"/>
    <w:rsid w:val="00361A3C"/>
    <w:rsid w:val="00361EE2"/>
    <w:rsid w:val="0036283F"/>
    <w:rsid w:val="0036319D"/>
    <w:rsid w:val="0036326D"/>
    <w:rsid w:val="0036333E"/>
    <w:rsid w:val="0036357F"/>
    <w:rsid w:val="0036376A"/>
    <w:rsid w:val="00363877"/>
    <w:rsid w:val="0036440B"/>
    <w:rsid w:val="003649A4"/>
    <w:rsid w:val="00364AA4"/>
    <w:rsid w:val="00364C2E"/>
    <w:rsid w:val="00364F13"/>
    <w:rsid w:val="00364FC5"/>
    <w:rsid w:val="003650FD"/>
    <w:rsid w:val="00365184"/>
    <w:rsid w:val="003658EE"/>
    <w:rsid w:val="00365B0F"/>
    <w:rsid w:val="00365B3F"/>
    <w:rsid w:val="00365EB3"/>
    <w:rsid w:val="00366A5B"/>
    <w:rsid w:val="00366E5C"/>
    <w:rsid w:val="00366F49"/>
    <w:rsid w:val="00366F81"/>
    <w:rsid w:val="003677E8"/>
    <w:rsid w:val="0037042B"/>
    <w:rsid w:val="00370C93"/>
    <w:rsid w:val="00371A89"/>
    <w:rsid w:val="0037221D"/>
    <w:rsid w:val="00372748"/>
    <w:rsid w:val="00372FA1"/>
    <w:rsid w:val="0037325E"/>
    <w:rsid w:val="00373BE7"/>
    <w:rsid w:val="0037435C"/>
    <w:rsid w:val="003744F9"/>
    <w:rsid w:val="00374B0E"/>
    <w:rsid w:val="00374F5E"/>
    <w:rsid w:val="003751C6"/>
    <w:rsid w:val="00375305"/>
    <w:rsid w:val="00376301"/>
    <w:rsid w:val="00376635"/>
    <w:rsid w:val="00376905"/>
    <w:rsid w:val="00376989"/>
    <w:rsid w:val="00377207"/>
    <w:rsid w:val="00377DFF"/>
    <w:rsid w:val="00380463"/>
    <w:rsid w:val="00380E38"/>
    <w:rsid w:val="0038111B"/>
    <w:rsid w:val="0038127E"/>
    <w:rsid w:val="003812D4"/>
    <w:rsid w:val="003819A5"/>
    <w:rsid w:val="00381C66"/>
    <w:rsid w:val="00381D86"/>
    <w:rsid w:val="00382A05"/>
    <w:rsid w:val="0038306E"/>
    <w:rsid w:val="00383483"/>
    <w:rsid w:val="00383ADF"/>
    <w:rsid w:val="00383D8C"/>
    <w:rsid w:val="00384244"/>
    <w:rsid w:val="00384C01"/>
    <w:rsid w:val="00385626"/>
    <w:rsid w:val="00385DA9"/>
    <w:rsid w:val="00386DAD"/>
    <w:rsid w:val="00387385"/>
    <w:rsid w:val="003873CB"/>
    <w:rsid w:val="0038740A"/>
    <w:rsid w:val="00387974"/>
    <w:rsid w:val="00390015"/>
    <w:rsid w:val="00390461"/>
    <w:rsid w:val="00390580"/>
    <w:rsid w:val="00390A69"/>
    <w:rsid w:val="00390C69"/>
    <w:rsid w:val="00391141"/>
    <w:rsid w:val="0039122C"/>
    <w:rsid w:val="003912F4"/>
    <w:rsid w:val="00391B12"/>
    <w:rsid w:val="00391D91"/>
    <w:rsid w:val="00391E1E"/>
    <w:rsid w:val="00392004"/>
    <w:rsid w:val="003924FE"/>
    <w:rsid w:val="0039270B"/>
    <w:rsid w:val="003928F8"/>
    <w:rsid w:val="00392C88"/>
    <w:rsid w:val="003932F9"/>
    <w:rsid w:val="00393926"/>
    <w:rsid w:val="00393A76"/>
    <w:rsid w:val="00393CCE"/>
    <w:rsid w:val="0039445D"/>
    <w:rsid w:val="003946BE"/>
    <w:rsid w:val="00394F6F"/>
    <w:rsid w:val="003955A6"/>
    <w:rsid w:val="00395A3F"/>
    <w:rsid w:val="00395A43"/>
    <w:rsid w:val="00395B2A"/>
    <w:rsid w:val="00395EF5"/>
    <w:rsid w:val="003967DE"/>
    <w:rsid w:val="003969E9"/>
    <w:rsid w:val="00396FE2"/>
    <w:rsid w:val="0039719C"/>
    <w:rsid w:val="0039729E"/>
    <w:rsid w:val="00397577"/>
    <w:rsid w:val="003975CA"/>
    <w:rsid w:val="00397B15"/>
    <w:rsid w:val="00397E1A"/>
    <w:rsid w:val="00397E63"/>
    <w:rsid w:val="003A02B3"/>
    <w:rsid w:val="003A15BD"/>
    <w:rsid w:val="003A15C6"/>
    <w:rsid w:val="003A17F4"/>
    <w:rsid w:val="003A18CB"/>
    <w:rsid w:val="003A1DF0"/>
    <w:rsid w:val="003A22C2"/>
    <w:rsid w:val="003A2A60"/>
    <w:rsid w:val="003A2B07"/>
    <w:rsid w:val="003A2BF4"/>
    <w:rsid w:val="003A2FEC"/>
    <w:rsid w:val="003A2FF2"/>
    <w:rsid w:val="003A3052"/>
    <w:rsid w:val="003A323E"/>
    <w:rsid w:val="003A3725"/>
    <w:rsid w:val="003A3919"/>
    <w:rsid w:val="003A3937"/>
    <w:rsid w:val="003A40DD"/>
    <w:rsid w:val="003A44A1"/>
    <w:rsid w:val="003A45E7"/>
    <w:rsid w:val="003A476E"/>
    <w:rsid w:val="003A47A7"/>
    <w:rsid w:val="003A4AF4"/>
    <w:rsid w:val="003A4F18"/>
    <w:rsid w:val="003A53A4"/>
    <w:rsid w:val="003A55B9"/>
    <w:rsid w:val="003A5991"/>
    <w:rsid w:val="003A5A58"/>
    <w:rsid w:val="003A5B5A"/>
    <w:rsid w:val="003A5F9C"/>
    <w:rsid w:val="003A60BA"/>
    <w:rsid w:val="003A647C"/>
    <w:rsid w:val="003A691A"/>
    <w:rsid w:val="003A710E"/>
    <w:rsid w:val="003A72C7"/>
    <w:rsid w:val="003A74E6"/>
    <w:rsid w:val="003A7D12"/>
    <w:rsid w:val="003B0291"/>
    <w:rsid w:val="003B03DF"/>
    <w:rsid w:val="003B04D2"/>
    <w:rsid w:val="003B1238"/>
    <w:rsid w:val="003B1371"/>
    <w:rsid w:val="003B13B1"/>
    <w:rsid w:val="003B1739"/>
    <w:rsid w:val="003B1A10"/>
    <w:rsid w:val="003B1A54"/>
    <w:rsid w:val="003B1B3A"/>
    <w:rsid w:val="003B2029"/>
    <w:rsid w:val="003B2439"/>
    <w:rsid w:val="003B2445"/>
    <w:rsid w:val="003B29AC"/>
    <w:rsid w:val="003B2D89"/>
    <w:rsid w:val="003B2DCE"/>
    <w:rsid w:val="003B4380"/>
    <w:rsid w:val="003B58A6"/>
    <w:rsid w:val="003B59EA"/>
    <w:rsid w:val="003B61E9"/>
    <w:rsid w:val="003B6371"/>
    <w:rsid w:val="003B64AE"/>
    <w:rsid w:val="003B676B"/>
    <w:rsid w:val="003B692E"/>
    <w:rsid w:val="003B6A34"/>
    <w:rsid w:val="003C0C0A"/>
    <w:rsid w:val="003C1233"/>
    <w:rsid w:val="003C1647"/>
    <w:rsid w:val="003C2447"/>
    <w:rsid w:val="003C2F39"/>
    <w:rsid w:val="003C3121"/>
    <w:rsid w:val="003C3A5C"/>
    <w:rsid w:val="003C40B6"/>
    <w:rsid w:val="003C454B"/>
    <w:rsid w:val="003C458C"/>
    <w:rsid w:val="003C50A4"/>
    <w:rsid w:val="003C5389"/>
    <w:rsid w:val="003C55F3"/>
    <w:rsid w:val="003C57B6"/>
    <w:rsid w:val="003C5F34"/>
    <w:rsid w:val="003C6555"/>
    <w:rsid w:val="003C66CC"/>
    <w:rsid w:val="003C6774"/>
    <w:rsid w:val="003C67D6"/>
    <w:rsid w:val="003C6D90"/>
    <w:rsid w:val="003C6DBE"/>
    <w:rsid w:val="003C6E37"/>
    <w:rsid w:val="003C719F"/>
    <w:rsid w:val="003C74F4"/>
    <w:rsid w:val="003C7534"/>
    <w:rsid w:val="003C7716"/>
    <w:rsid w:val="003C7E4E"/>
    <w:rsid w:val="003D04E9"/>
    <w:rsid w:val="003D0E7A"/>
    <w:rsid w:val="003D11BE"/>
    <w:rsid w:val="003D135F"/>
    <w:rsid w:val="003D195D"/>
    <w:rsid w:val="003D1EB2"/>
    <w:rsid w:val="003D1FA7"/>
    <w:rsid w:val="003D225C"/>
    <w:rsid w:val="003D23FB"/>
    <w:rsid w:val="003D248C"/>
    <w:rsid w:val="003D26A3"/>
    <w:rsid w:val="003D2727"/>
    <w:rsid w:val="003D27D1"/>
    <w:rsid w:val="003D2AD8"/>
    <w:rsid w:val="003D2AEC"/>
    <w:rsid w:val="003D2C95"/>
    <w:rsid w:val="003D2D55"/>
    <w:rsid w:val="003D2D76"/>
    <w:rsid w:val="003D308D"/>
    <w:rsid w:val="003D315D"/>
    <w:rsid w:val="003D3194"/>
    <w:rsid w:val="003D3289"/>
    <w:rsid w:val="003D3AD1"/>
    <w:rsid w:val="003D3FB5"/>
    <w:rsid w:val="003D4024"/>
    <w:rsid w:val="003D4305"/>
    <w:rsid w:val="003D459D"/>
    <w:rsid w:val="003D4AEE"/>
    <w:rsid w:val="003D4F86"/>
    <w:rsid w:val="003D5544"/>
    <w:rsid w:val="003D6232"/>
    <w:rsid w:val="003D62C9"/>
    <w:rsid w:val="003D641F"/>
    <w:rsid w:val="003D6565"/>
    <w:rsid w:val="003D65CD"/>
    <w:rsid w:val="003D6933"/>
    <w:rsid w:val="003D69BE"/>
    <w:rsid w:val="003D6E6D"/>
    <w:rsid w:val="003D701F"/>
    <w:rsid w:val="003D746C"/>
    <w:rsid w:val="003D74E9"/>
    <w:rsid w:val="003D7758"/>
    <w:rsid w:val="003D778D"/>
    <w:rsid w:val="003D78FC"/>
    <w:rsid w:val="003E000E"/>
    <w:rsid w:val="003E040B"/>
    <w:rsid w:val="003E0F66"/>
    <w:rsid w:val="003E1002"/>
    <w:rsid w:val="003E105B"/>
    <w:rsid w:val="003E135D"/>
    <w:rsid w:val="003E1370"/>
    <w:rsid w:val="003E1B24"/>
    <w:rsid w:val="003E1F1E"/>
    <w:rsid w:val="003E2121"/>
    <w:rsid w:val="003E27E2"/>
    <w:rsid w:val="003E3649"/>
    <w:rsid w:val="003E3972"/>
    <w:rsid w:val="003E3B02"/>
    <w:rsid w:val="003E3E71"/>
    <w:rsid w:val="003E4C79"/>
    <w:rsid w:val="003E50FD"/>
    <w:rsid w:val="003E5247"/>
    <w:rsid w:val="003E5248"/>
    <w:rsid w:val="003E5549"/>
    <w:rsid w:val="003E61B6"/>
    <w:rsid w:val="003E6BB8"/>
    <w:rsid w:val="003E6D15"/>
    <w:rsid w:val="003E715B"/>
    <w:rsid w:val="003E7359"/>
    <w:rsid w:val="003E7387"/>
    <w:rsid w:val="003E7DB8"/>
    <w:rsid w:val="003F0415"/>
    <w:rsid w:val="003F0423"/>
    <w:rsid w:val="003F04D2"/>
    <w:rsid w:val="003F061A"/>
    <w:rsid w:val="003F08B0"/>
    <w:rsid w:val="003F1294"/>
    <w:rsid w:val="003F13E7"/>
    <w:rsid w:val="003F1806"/>
    <w:rsid w:val="003F1911"/>
    <w:rsid w:val="003F1FBD"/>
    <w:rsid w:val="003F2466"/>
    <w:rsid w:val="003F2603"/>
    <w:rsid w:val="003F2728"/>
    <w:rsid w:val="003F29CE"/>
    <w:rsid w:val="003F2D73"/>
    <w:rsid w:val="003F2F2A"/>
    <w:rsid w:val="003F3305"/>
    <w:rsid w:val="003F338F"/>
    <w:rsid w:val="003F3403"/>
    <w:rsid w:val="003F36CE"/>
    <w:rsid w:val="003F38AE"/>
    <w:rsid w:val="003F3B98"/>
    <w:rsid w:val="003F40A5"/>
    <w:rsid w:val="003F4517"/>
    <w:rsid w:val="003F45C0"/>
    <w:rsid w:val="003F47A6"/>
    <w:rsid w:val="003F5BD2"/>
    <w:rsid w:val="003F5D80"/>
    <w:rsid w:val="003F5DA0"/>
    <w:rsid w:val="003F6DF4"/>
    <w:rsid w:val="003F6EAD"/>
    <w:rsid w:val="003F7219"/>
    <w:rsid w:val="003F76FC"/>
    <w:rsid w:val="003F78C0"/>
    <w:rsid w:val="003F7FC8"/>
    <w:rsid w:val="00400A91"/>
    <w:rsid w:val="00400EA6"/>
    <w:rsid w:val="0040108B"/>
    <w:rsid w:val="0040116D"/>
    <w:rsid w:val="00401748"/>
    <w:rsid w:val="0040184F"/>
    <w:rsid w:val="00401AFF"/>
    <w:rsid w:val="00401C9F"/>
    <w:rsid w:val="0040201A"/>
    <w:rsid w:val="00402693"/>
    <w:rsid w:val="004027AF"/>
    <w:rsid w:val="00402B01"/>
    <w:rsid w:val="00403228"/>
    <w:rsid w:val="0040352F"/>
    <w:rsid w:val="004035D9"/>
    <w:rsid w:val="00403806"/>
    <w:rsid w:val="0040389D"/>
    <w:rsid w:val="0040401C"/>
    <w:rsid w:val="00404BD1"/>
    <w:rsid w:val="00404EDF"/>
    <w:rsid w:val="00405089"/>
    <w:rsid w:val="0040517C"/>
    <w:rsid w:val="0040527C"/>
    <w:rsid w:val="00405808"/>
    <w:rsid w:val="00405ADB"/>
    <w:rsid w:val="00405D67"/>
    <w:rsid w:val="004061F0"/>
    <w:rsid w:val="004065C1"/>
    <w:rsid w:val="0040693F"/>
    <w:rsid w:val="004070AA"/>
    <w:rsid w:val="00407409"/>
    <w:rsid w:val="00407873"/>
    <w:rsid w:val="00407D08"/>
    <w:rsid w:val="00407F26"/>
    <w:rsid w:val="004100C0"/>
    <w:rsid w:val="0041076A"/>
    <w:rsid w:val="004108A5"/>
    <w:rsid w:val="00410CB7"/>
    <w:rsid w:val="0041133E"/>
    <w:rsid w:val="004114D2"/>
    <w:rsid w:val="00411649"/>
    <w:rsid w:val="00411DDF"/>
    <w:rsid w:val="00411FA7"/>
    <w:rsid w:val="00412108"/>
    <w:rsid w:val="004123B9"/>
    <w:rsid w:val="00412518"/>
    <w:rsid w:val="00412553"/>
    <w:rsid w:val="004126CD"/>
    <w:rsid w:val="004128DB"/>
    <w:rsid w:val="004134DD"/>
    <w:rsid w:val="00413B8F"/>
    <w:rsid w:val="00414157"/>
    <w:rsid w:val="0041441E"/>
    <w:rsid w:val="0041517D"/>
    <w:rsid w:val="00415563"/>
    <w:rsid w:val="0041597F"/>
    <w:rsid w:val="00416234"/>
    <w:rsid w:val="0041650E"/>
    <w:rsid w:val="00416993"/>
    <w:rsid w:val="00416B7B"/>
    <w:rsid w:val="00416DF7"/>
    <w:rsid w:val="00416FEA"/>
    <w:rsid w:val="004173A8"/>
    <w:rsid w:val="004173BD"/>
    <w:rsid w:val="004177D1"/>
    <w:rsid w:val="00417C47"/>
    <w:rsid w:val="0042052A"/>
    <w:rsid w:val="004207D8"/>
    <w:rsid w:val="004209AB"/>
    <w:rsid w:val="00420CC0"/>
    <w:rsid w:val="00420E85"/>
    <w:rsid w:val="00421178"/>
    <w:rsid w:val="00421903"/>
    <w:rsid w:val="00421E0D"/>
    <w:rsid w:val="00421F4D"/>
    <w:rsid w:val="004221B6"/>
    <w:rsid w:val="00422CB7"/>
    <w:rsid w:val="00423034"/>
    <w:rsid w:val="00423113"/>
    <w:rsid w:val="004233F7"/>
    <w:rsid w:val="004235E4"/>
    <w:rsid w:val="00423B74"/>
    <w:rsid w:val="00423ECD"/>
    <w:rsid w:val="00424719"/>
    <w:rsid w:val="00424808"/>
    <w:rsid w:val="00424E9C"/>
    <w:rsid w:val="00425201"/>
    <w:rsid w:val="0042549E"/>
    <w:rsid w:val="00425869"/>
    <w:rsid w:val="00425B20"/>
    <w:rsid w:val="00425CF4"/>
    <w:rsid w:val="004263C8"/>
    <w:rsid w:val="00426547"/>
    <w:rsid w:val="00426A9A"/>
    <w:rsid w:val="00426E3A"/>
    <w:rsid w:val="00426E97"/>
    <w:rsid w:val="00427CEF"/>
    <w:rsid w:val="0043026B"/>
    <w:rsid w:val="004303DE"/>
    <w:rsid w:val="00430CEF"/>
    <w:rsid w:val="00431399"/>
    <w:rsid w:val="00431427"/>
    <w:rsid w:val="00431D32"/>
    <w:rsid w:val="00431E5B"/>
    <w:rsid w:val="00431F90"/>
    <w:rsid w:val="00432265"/>
    <w:rsid w:val="00432BDF"/>
    <w:rsid w:val="00433109"/>
    <w:rsid w:val="0043403C"/>
    <w:rsid w:val="00434543"/>
    <w:rsid w:val="00434D7F"/>
    <w:rsid w:val="00434EF8"/>
    <w:rsid w:val="0043546E"/>
    <w:rsid w:val="0043555B"/>
    <w:rsid w:val="004359F1"/>
    <w:rsid w:val="00435CEF"/>
    <w:rsid w:val="004362E3"/>
    <w:rsid w:val="00436692"/>
    <w:rsid w:val="004368B5"/>
    <w:rsid w:val="00436C63"/>
    <w:rsid w:val="00437A97"/>
    <w:rsid w:val="00437F93"/>
    <w:rsid w:val="004400B6"/>
    <w:rsid w:val="00440CFE"/>
    <w:rsid w:val="00440D86"/>
    <w:rsid w:val="00441473"/>
    <w:rsid w:val="00441515"/>
    <w:rsid w:val="00441533"/>
    <w:rsid w:val="00441808"/>
    <w:rsid w:val="004419CC"/>
    <w:rsid w:val="00441D99"/>
    <w:rsid w:val="0044212D"/>
    <w:rsid w:val="004422CA"/>
    <w:rsid w:val="004423BF"/>
    <w:rsid w:val="00442944"/>
    <w:rsid w:val="00442BDB"/>
    <w:rsid w:val="00442EE3"/>
    <w:rsid w:val="00443223"/>
    <w:rsid w:val="004437DB"/>
    <w:rsid w:val="00443F1D"/>
    <w:rsid w:val="0044400F"/>
    <w:rsid w:val="00444515"/>
    <w:rsid w:val="00444967"/>
    <w:rsid w:val="004449C7"/>
    <w:rsid w:val="00444B18"/>
    <w:rsid w:val="00444D4A"/>
    <w:rsid w:val="004454A1"/>
    <w:rsid w:val="004459B1"/>
    <w:rsid w:val="00445A7F"/>
    <w:rsid w:val="00445E07"/>
    <w:rsid w:val="00445E7C"/>
    <w:rsid w:val="00446183"/>
    <w:rsid w:val="0044665C"/>
    <w:rsid w:val="004466DB"/>
    <w:rsid w:val="00446C75"/>
    <w:rsid w:val="00447976"/>
    <w:rsid w:val="00450748"/>
    <w:rsid w:val="00450913"/>
    <w:rsid w:val="00450B7D"/>
    <w:rsid w:val="00450C41"/>
    <w:rsid w:val="00450D81"/>
    <w:rsid w:val="004510BC"/>
    <w:rsid w:val="00451CDC"/>
    <w:rsid w:val="00451E04"/>
    <w:rsid w:val="00452868"/>
    <w:rsid w:val="00453132"/>
    <w:rsid w:val="00453502"/>
    <w:rsid w:val="0045358C"/>
    <w:rsid w:val="00453C3E"/>
    <w:rsid w:val="0045427D"/>
    <w:rsid w:val="00454288"/>
    <w:rsid w:val="00454FAA"/>
    <w:rsid w:val="004557C3"/>
    <w:rsid w:val="00455807"/>
    <w:rsid w:val="00455986"/>
    <w:rsid w:val="00455FCB"/>
    <w:rsid w:val="00456164"/>
    <w:rsid w:val="00456910"/>
    <w:rsid w:val="00456A07"/>
    <w:rsid w:val="00456E4A"/>
    <w:rsid w:val="00457132"/>
    <w:rsid w:val="004571FC"/>
    <w:rsid w:val="0045741D"/>
    <w:rsid w:val="00457440"/>
    <w:rsid w:val="00457616"/>
    <w:rsid w:val="0045762A"/>
    <w:rsid w:val="00457C83"/>
    <w:rsid w:val="00457EB9"/>
    <w:rsid w:val="0046057A"/>
    <w:rsid w:val="004606F1"/>
    <w:rsid w:val="00460C2F"/>
    <w:rsid w:val="00460DBC"/>
    <w:rsid w:val="00460EA7"/>
    <w:rsid w:val="00461BFD"/>
    <w:rsid w:val="00461C2C"/>
    <w:rsid w:val="0046209B"/>
    <w:rsid w:val="004620E0"/>
    <w:rsid w:val="00462182"/>
    <w:rsid w:val="00462753"/>
    <w:rsid w:val="00462808"/>
    <w:rsid w:val="00462DF5"/>
    <w:rsid w:val="004635C1"/>
    <w:rsid w:val="00463C9B"/>
    <w:rsid w:val="00463ED6"/>
    <w:rsid w:val="0046453C"/>
    <w:rsid w:val="004649BC"/>
    <w:rsid w:val="00466556"/>
    <w:rsid w:val="004666B7"/>
    <w:rsid w:val="00466751"/>
    <w:rsid w:val="004667CC"/>
    <w:rsid w:val="00466C81"/>
    <w:rsid w:val="00467039"/>
    <w:rsid w:val="00467075"/>
    <w:rsid w:val="00467438"/>
    <w:rsid w:val="00467813"/>
    <w:rsid w:val="004700CE"/>
    <w:rsid w:val="004708F7"/>
    <w:rsid w:val="00470ABF"/>
    <w:rsid w:val="00470EDF"/>
    <w:rsid w:val="0047112F"/>
    <w:rsid w:val="004712A8"/>
    <w:rsid w:val="004719A4"/>
    <w:rsid w:val="004719C3"/>
    <w:rsid w:val="00471A44"/>
    <w:rsid w:val="00471C53"/>
    <w:rsid w:val="00471DED"/>
    <w:rsid w:val="00471FC8"/>
    <w:rsid w:val="0047278E"/>
    <w:rsid w:val="00472DD7"/>
    <w:rsid w:val="00473317"/>
    <w:rsid w:val="00473A01"/>
    <w:rsid w:val="00473F3A"/>
    <w:rsid w:val="00474ABF"/>
    <w:rsid w:val="00474BA7"/>
    <w:rsid w:val="00475772"/>
    <w:rsid w:val="00475782"/>
    <w:rsid w:val="00475BB5"/>
    <w:rsid w:val="00475EB7"/>
    <w:rsid w:val="004766CB"/>
    <w:rsid w:val="004766E5"/>
    <w:rsid w:val="00476C4B"/>
    <w:rsid w:val="0047728D"/>
    <w:rsid w:val="00477C45"/>
    <w:rsid w:val="00480864"/>
    <w:rsid w:val="00480C7D"/>
    <w:rsid w:val="00480E39"/>
    <w:rsid w:val="004810D0"/>
    <w:rsid w:val="004813F1"/>
    <w:rsid w:val="00481545"/>
    <w:rsid w:val="0048177C"/>
    <w:rsid w:val="00481A75"/>
    <w:rsid w:val="00481B30"/>
    <w:rsid w:val="00481CA3"/>
    <w:rsid w:val="0048219C"/>
    <w:rsid w:val="004821B9"/>
    <w:rsid w:val="004821F6"/>
    <w:rsid w:val="00482229"/>
    <w:rsid w:val="00482681"/>
    <w:rsid w:val="004826CF"/>
    <w:rsid w:val="004828CF"/>
    <w:rsid w:val="00482940"/>
    <w:rsid w:val="00482B5C"/>
    <w:rsid w:val="0048300A"/>
    <w:rsid w:val="0048341C"/>
    <w:rsid w:val="00483513"/>
    <w:rsid w:val="004836D0"/>
    <w:rsid w:val="00483A05"/>
    <w:rsid w:val="00483A2F"/>
    <w:rsid w:val="00483F09"/>
    <w:rsid w:val="00483F64"/>
    <w:rsid w:val="004846B1"/>
    <w:rsid w:val="00484E44"/>
    <w:rsid w:val="00484F1A"/>
    <w:rsid w:val="00485054"/>
    <w:rsid w:val="004851C6"/>
    <w:rsid w:val="00485ED8"/>
    <w:rsid w:val="0048613A"/>
    <w:rsid w:val="00486141"/>
    <w:rsid w:val="0048673F"/>
    <w:rsid w:val="00486D4B"/>
    <w:rsid w:val="00487506"/>
    <w:rsid w:val="0048768F"/>
    <w:rsid w:val="004877DB"/>
    <w:rsid w:val="00487813"/>
    <w:rsid w:val="00487861"/>
    <w:rsid w:val="00487CE4"/>
    <w:rsid w:val="00487D3D"/>
    <w:rsid w:val="0049002A"/>
    <w:rsid w:val="004904E9"/>
    <w:rsid w:val="00490578"/>
    <w:rsid w:val="00491021"/>
    <w:rsid w:val="00491775"/>
    <w:rsid w:val="0049183D"/>
    <w:rsid w:val="00491B05"/>
    <w:rsid w:val="00491D43"/>
    <w:rsid w:val="00491F51"/>
    <w:rsid w:val="00492547"/>
    <w:rsid w:val="00492B35"/>
    <w:rsid w:val="00492C11"/>
    <w:rsid w:val="00492F3F"/>
    <w:rsid w:val="00493344"/>
    <w:rsid w:val="004938A1"/>
    <w:rsid w:val="00493A0C"/>
    <w:rsid w:val="00494006"/>
    <w:rsid w:val="004942F9"/>
    <w:rsid w:val="00494587"/>
    <w:rsid w:val="00494660"/>
    <w:rsid w:val="00494743"/>
    <w:rsid w:val="00494A5C"/>
    <w:rsid w:val="00494C51"/>
    <w:rsid w:val="00494D3D"/>
    <w:rsid w:val="0049564C"/>
    <w:rsid w:val="00496259"/>
    <w:rsid w:val="004962F8"/>
    <w:rsid w:val="004965B9"/>
    <w:rsid w:val="004969CC"/>
    <w:rsid w:val="00496CE0"/>
    <w:rsid w:val="00496F13"/>
    <w:rsid w:val="00496F70"/>
    <w:rsid w:val="0049735A"/>
    <w:rsid w:val="004976C9"/>
    <w:rsid w:val="00497A9F"/>
    <w:rsid w:val="00497D6C"/>
    <w:rsid w:val="00497EBB"/>
    <w:rsid w:val="004A03C9"/>
    <w:rsid w:val="004A067D"/>
    <w:rsid w:val="004A08B7"/>
    <w:rsid w:val="004A0A22"/>
    <w:rsid w:val="004A0DB6"/>
    <w:rsid w:val="004A1109"/>
    <w:rsid w:val="004A11EE"/>
    <w:rsid w:val="004A15BA"/>
    <w:rsid w:val="004A1E61"/>
    <w:rsid w:val="004A2B21"/>
    <w:rsid w:val="004A2ED3"/>
    <w:rsid w:val="004A303F"/>
    <w:rsid w:val="004A3235"/>
    <w:rsid w:val="004A391D"/>
    <w:rsid w:val="004A3948"/>
    <w:rsid w:val="004A3EA8"/>
    <w:rsid w:val="004A4028"/>
    <w:rsid w:val="004A4273"/>
    <w:rsid w:val="004A4398"/>
    <w:rsid w:val="004A448A"/>
    <w:rsid w:val="004A455A"/>
    <w:rsid w:val="004A483C"/>
    <w:rsid w:val="004A4879"/>
    <w:rsid w:val="004A4FD4"/>
    <w:rsid w:val="004A524D"/>
    <w:rsid w:val="004A555B"/>
    <w:rsid w:val="004A5723"/>
    <w:rsid w:val="004A575F"/>
    <w:rsid w:val="004A5B3B"/>
    <w:rsid w:val="004A6A50"/>
    <w:rsid w:val="004A7740"/>
    <w:rsid w:val="004A7A2D"/>
    <w:rsid w:val="004A7BBC"/>
    <w:rsid w:val="004A7FA7"/>
    <w:rsid w:val="004B0257"/>
    <w:rsid w:val="004B0B08"/>
    <w:rsid w:val="004B1330"/>
    <w:rsid w:val="004B1C1A"/>
    <w:rsid w:val="004B1E63"/>
    <w:rsid w:val="004B2116"/>
    <w:rsid w:val="004B253A"/>
    <w:rsid w:val="004B2DAA"/>
    <w:rsid w:val="004B3148"/>
    <w:rsid w:val="004B3682"/>
    <w:rsid w:val="004B37BC"/>
    <w:rsid w:val="004B38AE"/>
    <w:rsid w:val="004B3C18"/>
    <w:rsid w:val="004B3EC4"/>
    <w:rsid w:val="004B3FAD"/>
    <w:rsid w:val="004B4112"/>
    <w:rsid w:val="004B509E"/>
    <w:rsid w:val="004B55D3"/>
    <w:rsid w:val="004B59AC"/>
    <w:rsid w:val="004B5AC9"/>
    <w:rsid w:val="004B67B0"/>
    <w:rsid w:val="004B70B8"/>
    <w:rsid w:val="004B7A10"/>
    <w:rsid w:val="004B7AA6"/>
    <w:rsid w:val="004C010D"/>
    <w:rsid w:val="004C08B6"/>
    <w:rsid w:val="004C0914"/>
    <w:rsid w:val="004C0C8A"/>
    <w:rsid w:val="004C0D00"/>
    <w:rsid w:val="004C14AB"/>
    <w:rsid w:val="004C17E4"/>
    <w:rsid w:val="004C2043"/>
    <w:rsid w:val="004C2373"/>
    <w:rsid w:val="004C2A82"/>
    <w:rsid w:val="004C2B83"/>
    <w:rsid w:val="004C31C1"/>
    <w:rsid w:val="004C331C"/>
    <w:rsid w:val="004C3462"/>
    <w:rsid w:val="004C3909"/>
    <w:rsid w:val="004C4CD4"/>
    <w:rsid w:val="004C4FAC"/>
    <w:rsid w:val="004C542C"/>
    <w:rsid w:val="004C5772"/>
    <w:rsid w:val="004C582D"/>
    <w:rsid w:val="004C5924"/>
    <w:rsid w:val="004C5C13"/>
    <w:rsid w:val="004C5E9E"/>
    <w:rsid w:val="004C6051"/>
    <w:rsid w:val="004C61C4"/>
    <w:rsid w:val="004C61D8"/>
    <w:rsid w:val="004C6265"/>
    <w:rsid w:val="004C65B2"/>
    <w:rsid w:val="004C78A2"/>
    <w:rsid w:val="004C7D49"/>
    <w:rsid w:val="004D02FF"/>
    <w:rsid w:val="004D096B"/>
    <w:rsid w:val="004D0A90"/>
    <w:rsid w:val="004D0E2F"/>
    <w:rsid w:val="004D108B"/>
    <w:rsid w:val="004D11B0"/>
    <w:rsid w:val="004D139E"/>
    <w:rsid w:val="004D17B0"/>
    <w:rsid w:val="004D1CE2"/>
    <w:rsid w:val="004D1D14"/>
    <w:rsid w:val="004D2D6B"/>
    <w:rsid w:val="004D2E35"/>
    <w:rsid w:val="004D3014"/>
    <w:rsid w:val="004D3024"/>
    <w:rsid w:val="004D3934"/>
    <w:rsid w:val="004D3AE6"/>
    <w:rsid w:val="004D3BDE"/>
    <w:rsid w:val="004D3DB4"/>
    <w:rsid w:val="004D405D"/>
    <w:rsid w:val="004D416D"/>
    <w:rsid w:val="004D424B"/>
    <w:rsid w:val="004D44AC"/>
    <w:rsid w:val="004D47D5"/>
    <w:rsid w:val="004D4B5F"/>
    <w:rsid w:val="004D4B80"/>
    <w:rsid w:val="004D4D2A"/>
    <w:rsid w:val="004D5022"/>
    <w:rsid w:val="004D5245"/>
    <w:rsid w:val="004D5897"/>
    <w:rsid w:val="004D5976"/>
    <w:rsid w:val="004D5BA9"/>
    <w:rsid w:val="004D5ED7"/>
    <w:rsid w:val="004D6411"/>
    <w:rsid w:val="004D6A3A"/>
    <w:rsid w:val="004D6CEE"/>
    <w:rsid w:val="004D6FC6"/>
    <w:rsid w:val="004D742C"/>
    <w:rsid w:val="004D7860"/>
    <w:rsid w:val="004D7C56"/>
    <w:rsid w:val="004D7CF1"/>
    <w:rsid w:val="004D7F55"/>
    <w:rsid w:val="004E0400"/>
    <w:rsid w:val="004E058C"/>
    <w:rsid w:val="004E0CFC"/>
    <w:rsid w:val="004E106E"/>
    <w:rsid w:val="004E1262"/>
    <w:rsid w:val="004E15AF"/>
    <w:rsid w:val="004E2599"/>
    <w:rsid w:val="004E2E10"/>
    <w:rsid w:val="004E2F15"/>
    <w:rsid w:val="004E3049"/>
    <w:rsid w:val="004E33E1"/>
    <w:rsid w:val="004E370D"/>
    <w:rsid w:val="004E3A6D"/>
    <w:rsid w:val="004E3B13"/>
    <w:rsid w:val="004E3B65"/>
    <w:rsid w:val="004E3F83"/>
    <w:rsid w:val="004E4025"/>
    <w:rsid w:val="004E411B"/>
    <w:rsid w:val="004E442B"/>
    <w:rsid w:val="004E4701"/>
    <w:rsid w:val="004E471E"/>
    <w:rsid w:val="004E4D84"/>
    <w:rsid w:val="004E4EFD"/>
    <w:rsid w:val="004E5109"/>
    <w:rsid w:val="004E5137"/>
    <w:rsid w:val="004E51E8"/>
    <w:rsid w:val="004E53C8"/>
    <w:rsid w:val="004E5495"/>
    <w:rsid w:val="004E5837"/>
    <w:rsid w:val="004E5C69"/>
    <w:rsid w:val="004E60D0"/>
    <w:rsid w:val="004E6B09"/>
    <w:rsid w:val="004E7272"/>
    <w:rsid w:val="004E73AD"/>
    <w:rsid w:val="004E7B03"/>
    <w:rsid w:val="004E7B67"/>
    <w:rsid w:val="004F0557"/>
    <w:rsid w:val="004F0DD7"/>
    <w:rsid w:val="004F1008"/>
    <w:rsid w:val="004F12A6"/>
    <w:rsid w:val="004F12E0"/>
    <w:rsid w:val="004F1565"/>
    <w:rsid w:val="004F1878"/>
    <w:rsid w:val="004F189E"/>
    <w:rsid w:val="004F1F69"/>
    <w:rsid w:val="004F2304"/>
    <w:rsid w:val="004F26F8"/>
    <w:rsid w:val="004F2853"/>
    <w:rsid w:val="004F2E6C"/>
    <w:rsid w:val="004F2EA2"/>
    <w:rsid w:val="004F2F0C"/>
    <w:rsid w:val="004F3724"/>
    <w:rsid w:val="004F37A8"/>
    <w:rsid w:val="004F3D16"/>
    <w:rsid w:val="004F3D2B"/>
    <w:rsid w:val="004F3DF3"/>
    <w:rsid w:val="004F4026"/>
    <w:rsid w:val="004F44BB"/>
    <w:rsid w:val="004F47BA"/>
    <w:rsid w:val="004F499D"/>
    <w:rsid w:val="004F4CC9"/>
    <w:rsid w:val="004F52F8"/>
    <w:rsid w:val="004F58AD"/>
    <w:rsid w:val="004F5AD0"/>
    <w:rsid w:val="004F5D07"/>
    <w:rsid w:val="004F634A"/>
    <w:rsid w:val="004F6E1B"/>
    <w:rsid w:val="004F74E1"/>
    <w:rsid w:val="004F75D8"/>
    <w:rsid w:val="004F7C20"/>
    <w:rsid w:val="004F7E33"/>
    <w:rsid w:val="004F7E7C"/>
    <w:rsid w:val="00500478"/>
    <w:rsid w:val="00500501"/>
    <w:rsid w:val="00500823"/>
    <w:rsid w:val="00500A4A"/>
    <w:rsid w:val="00501096"/>
    <w:rsid w:val="005019F5"/>
    <w:rsid w:val="00502529"/>
    <w:rsid w:val="005025FE"/>
    <w:rsid w:val="00502802"/>
    <w:rsid w:val="00502A14"/>
    <w:rsid w:val="00502C7A"/>
    <w:rsid w:val="005035E6"/>
    <w:rsid w:val="00503C67"/>
    <w:rsid w:val="00504585"/>
    <w:rsid w:val="00504A7C"/>
    <w:rsid w:val="00504AFA"/>
    <w:rsid w:val="00504C43"/>
    <w:rsid w:val="00504CA1"/>
    <w:rsid w:val="00504CDF"/>
    <w:rsid w:val="00504D69"/>
    <w:rsid w:val="00504FD9"/>
    <w:rsid w:val="005050EA"/>
    <w:rsid w:val="00505260"/>
    <w:rsid w:val="00505A3C"/>
    <w:rsid w:val="00505D42"/>
    <w:rsid w:val="00505DC9"/>
    <w:rsid w:val="00505E35"/>
    <w:rsid w:val="005064C6"/>
    <w:rsid w:val="005067F1"/>
    <w:rsid w:val="00506BF4"/>
    <w:rsid w:val="00506DDE"/>
    <w:rsid w:val="005078D5"/>
    <w:rsid w:val="00507DF3"/>
    <w:rsid w:val="00510030"/>
    <w:rsid w:val="00510529"/>
    <w:rsid w:val="00510F4F"/>
    <w:rsid w:val="005113AB"/>
    <w:rsid w:val="00511557"/>
    <w:rsid w:val="00511B31"/>
    <w:rsid w:val="00511F34"/>
    <w:rsid w:val="005123F6"/>
    <w:rsid w:val="00512960"/>
    <w:rsid w:val="005129DD"/>
    <w:rsid w:val="00512AEF"/>
    <w:rsid w:val="00512FBE"/>
    <w:rsid w:val="00513003"/>
    <w:rsid w:val="00513538"/>
    <w:rsid w:val="00513564"/>
    <w:rsid w:val="005136AD"/>
    <w:rsid w:val="005136C0"/>
    <w:rsid w:val="005138BA"/>
    <w:rsid w:val="00513923"/>
    <w:rsid w:val="00513ADA"/>
    <w:rsid w:val="00513DF0"/>
    <w:rsid w:val="0051405B"/>
    <w:rsid w:val="0051410D"/>
    <w:rsid w:val="00514AC2"/>
    <w:rsid w:val="00514C12"/>
    <w:rsid w:val="00514D28"/>
    <w:rsid w:val="00514EC4"/>
    <w:rsid w:val="00515B1B"/>
    <w:rsid w:val="00515F20"/>
    <w:rsid w:val="0051609A"/>
    <w:rsid w:val="005160DB"/>
    <w:rsid w:val="0051610C"/>
    <w:rsid w:val="00516431"/>
    <w:rsid w:val="005164A6"/>
    <w:rsid w:val="005165C6"/>
    <w:rsid w:val="0051662C"/>
    <w:rsid w:val="00516657"/>
    <w:rsid w:val="00516843"/>
    <w:rsid w:val="0051687F"/>
    <w:rsid w:val="005172A9"/>
    <w:rsid w:val="00517522"/>
    <w:rsid w:val="005177D6"/>
    <w:rsid w:val="0051795A"/>
    <w:rsid w:val="00517E42"/>
    <w:rsid w:val="005202AA"/>
    <w:rsid w:val="00520A3B"/>
    <w:rsid w:val="00520CB5"/>
    <w:rsid w:val="00520DD3"/>
    <w:rsid w:val="005210CC"/>
    <w:rsid w:val="005211AF"/>
    <w:rsid w:val="0052126B"/>
    <w:rsid w:val="005212A5"/>
    <w:rsid w:val="005213E2"/>
    <w:rsid w:val="005219D8"/>
    <w:rsid w:val="00521D78"/>
    <w:rsid w:val="0052226D"/>
    <w:rsid w:val="0052243A"/>
    <w:rsid w:val="00522F3F"/>
    <w:rsid w:val="0052328F"/>
    <w:rsid w:val="005232DF"/>
    <w:rsid w:val="005233CD"/>
    <w:rsid w:val="0052390E"/>
    <w:rsid w:val="00523BF1"/>
    <w:rsid w:val="00523D47"/>
    <w:rsid w:val="00523D92"/>
    <w:rsid w:val="0052425B"/>
    <w:rsid w:val="005246DE"/>
    <w:rsid w:val="005250A7"/>
    <w:rsid w:val="005251F8"/>
    <w:rsid w:val="00525209"/>
    <w:rsid w:val="00525515"/>
    <w:rsid w:val="005255BD"/>
    <w:rsid w:val="005255FA"/>
    <w:rsid w:val="00525C89"/>
    <w:rsid w:val="005260D0"/>
    <w:rsid w:val="00526576"/>
    <w:rsid w:val="005276C2"/>
    <w:rsid w:val="005276F7"/>
    <w:rsid w:val="00527BCA"/>
    <w:rsid w:val="005303B4"/>
    <w:rsid w:val="00530B43"/>
    <w:rsid w:val="00530E9A"/>
    <w:rsid w:val="00530E9B"/>
    <w:rsid w:val="00531519"/>
    <w:rsid w:val="0053165B"/>
    <w:rsid w:val="005322C2"/>
    <w:rsid w:val="0053233C"/>
    <w:rsid w:val="005324C9"/>
    <w:rsid w:val="00532ABF"/>
    <w:rsid w:val="00532B44"/>
    <w:rsid w:val="00532CA4"/>
    <w:rsid w:val="00532CBB"/>
    <w:rsid w:val="005332D3"/>
    <w:rsid w:val="00533E2A"/>
    <w:rsid w:val="005343AE"/>
    <w:rsid w:val="00534481"/>
    <w:rsid w:val="0053496B"/>
    <w:rsid w:val="00535884"/>
    <w:rsid w:val="00535AC1"/>
    <w:rsid w:val="00535ACA"/>
    <w:rsid w:val="00535D0E"/>
    <w:rsid w:val="00536135"/>
    <w:rsid w:val="00536530"/>
    <w:rsid w:val="00536B44"/>
    <w:rsid w:val="00536B7A"/>
    <w:rsid w:val="005373EA"/>
    <w:rsid w:val="00537785"/>
    <w:rsid w:val="0054050E"/>
    <w:rsid w:val="005406F8"/>
    <w:rsid w:val="005407E4"/>
    <w:rsid w:val="00540A22"/>
    <w:rsid w:val="00540CE9"/>
    <w:rsid w:val="005411F5"/>
    <w:rsid w:val="0054169B"/>
    <w:rsid w:val="005417D2"/>
    <w:rsid w:val="00541CD3"/>
    <w:rsid w:val="00541E79"/>
    <w:rsid w:val="00541EC6"/>
    <w:rsid w:val="005420F5"/>
    <w:rsid w:val="005422E4"/>
    <w:rsid w:val="005423B8"/>
    <w:rsid w:val="005423EE"/>
    <w:rsid w:val="00542429"/>
    <w:rsid w:val="00542626"/>
    <w:rsid w:val="00542B36"/>
    <w:rsid w:val="00542B68"/>
    <w:rsid w:val="00542E40"/>
    <w:rsid w:val="005431E6"/>
    <w:rsid w:val="00543585"/>
    <w:rsid w:val="00543721"/>
    <w:rsid w:val="00543D56"/>
    <w:rsid w:val="00543FCE"/>
    <w:rsid w:val="00544161"/>
    <w:rsid w:val="00544249"/>
    <w:rsid w:val="0054436C"/>
    <w:rsid w:val="00544515"/>
    <w:rsid w:val="0054474A"/>
    <w:rsid w:val="00544751"/>
    <w:rsid w:val="00544D08"/>
    <w:rsid w:val="0054523E"/>
    <w:rsid w:val="005458A2"/>
    <w:rsid w:val="005458F0"/>
    <w:rsid w:val="00545A12"/>
    <w:rsid w:val="00545AC8"/>
    <w:rsid w:val="00545CF8"/>
    <w:rsid w:val="00545F4D"/>
    <w:rsid w:val="00545FE1"/>
    <w:rsid w:val="00546A3D"/>
    <w:rsid w:val="00546B9D"/>
    <w:rsid w:val="00546EC2"/>
    <w:rsid w:val="00547012"/>
    <w:rsid w:val="005471EC"/>
    <w:rsid w:val="005472BB"/>
    <w:rsid w:val="00547FCD"/>
    <w:rsid w:val="005502EC"/>
    <w:rsid w:val="0055033A"/>
    <w:rsid w:val="00550E4D"/>
    <w:rsid w:val="00550F69"/>
    <w:rsid w:val="0055134B"/>
    <w:rsid w:val="0055186A"/>
    <w:rsid w:val="005523C6"/>
    <w:rsid w:val="00552AC5"/>
    <w:rsid w:val="00553130"/>
    <w:rsid w:val="005535C1"/>
    <w:rsid w:val="005539AF"/>
    <w:rsid w:val="005539FA"/>
    <w:rsid w:val="00553A18"/>
    <w:rsid w:val="00553F7A"/>
    <w:rsid w:val="00553F80"/>
    <w:rsid w:val="005547D1"/>
    <w:rsid w:val="005548C1"/>
    <w:rsid w:val="00554FCC"/>
    <w:rsid w:val="005552DD"/>
    <w:rsid w:val="00555624"/>
    <w:rsid w:val="00555E1E"/>
    <w:rsid w:val="00556727"/>
    <w:rsid w:val="005571A8"/>
    <w:rsid w:val="00557B02"/>
    <w:rsid w:val="00557F85"/>
    <w:rsid w:val="00560FC7"/>
    <w:rsid w:val="00560FEB"/>
    <w:rsid w:val="00561088"/>
    <w:rsid w:val="005616AE"/>
    <w:rsid w:val="00561A38"/>
    <w:rsid w:val="00561F54"/>
    <w:rsid w:val="00562720"/>
    <w:rsid w:val="005627D9"/>
    <w:rsid w:val="00562806"/>
    <w:rsid w:val="0056283D"/>
    <w:rsid w:val="00563BCC"/>
    <w:rsid w:val="00564036"/>
    <w:rsid w:val="005645D0"/>
    <w:rsid w:val="005645F2"/>
    <w:rsid w:val="005650DB"/>
    <w:rsid w:val="00565344"/>
    <w:rsid w:val="0056551F"/>
    <w:rsid w:val="0056581A"/>
    <w:rsid w:val="00565E0F"/>
    <w:rsid w:val="00566341"/>
    <w:rsid w:val="0056659F"/>
    <w:rsid w:val="00566668"/>
    <w:rsid w:val="00566CCA"/>
    <w:rsid w:val="00566FB8"/>
    <w:rsid w:val="0056724B"/>
    <w:rsid w:val="005674BA"/>
    <w:rsid w:val="0056772D"/>
    <w:rsid w:val="00570248"/>
    <w:rsid w:val="005702EA"/>
    <w:rsid w:val="005703D7"/>
    <w:rsid w:val="005703EC"/>
    <w:rsid w:val="00570B94"/>
    <w:rsid w:val="005713D0"/>
    <w:rsid w:val="00571937"/>
    <w:rsid w:val="00571AAC"/>
    <w:rsid w:val="00571ADF"/>
    <w:rsid w:val="00571C68"/>
    <w:rsid w:val="00571CEA"/>
    <w:rsid w:val="00571D61"/>
    <w:rsid w:val="00571D6B"/>
    <w:rsid w:val="00571E6C"/>
    <w:rsid w:val="00571F4F"/>
    <w:rsid w:val="00571F91"/>
    <w:rsid w:val="00572192"/>
    <w:rsid w:val="00572279"/>
    <w:rsid w:val="005726DB"/>
    <w:rsid w:val="00572A70"/>
    <w:rsid w:val="00572B63"/>
    <w:rsid w:val="00572DEB"/>
    <w:rsid w:val="00572EF6"/>
    <w:rsid w:val="00573306"/>
    <w:rsid w:val="00573461"/>
    <w:rsid w:val="0057355B"/>
    <w:rsid w:val="005737BB"/>
    <w:rsid w:val="00573985"/>
    <w:rsid w:val="00573C91"/>
    <w:rsid w:val="005740F2"/>
    <w:rsid w:val="00574622"/>
    <w:rsid w:val="005747CE"/>
    <w:rsid w:val="00574814"/>
    <w:rsid w:val="00574E33"/>
    <w:rsid w:val="0057516A"/>
    <w:rsid w:val="00575ACA"/>
    <w:rsid w:val="00575C82"/>
    <w:rsid w:val="00575E75"/>
    <w:rsid w:val="00576F0B"/>
    <w:rsid w:val="00577095"/>
    <w:rsid w:val="00577F12"/>
    <w:rsid w:val="005804FB"/>
    <w:rsid w:val="005806B3"/>
    <w:rsid w:val="00580E42"/>
    <w:rsid w:val="00581628"/>
    <w:rsid w:val="00581808"/>
    <w:rsid w:val="00581C8A"/>
    <w:rsid w:val="00581EF1"/>
    <w:rsid w:val="00581F3B"/>
    <w:rsid w:val="005826DA"/>
    <w:rsid w:val="005828D2"/>
    <w:rsid w:val="00582F50"/>
    <w:rsid w:val="0058332D"/>
    <w:rsid w:val="005836CE"/>
    <w:rsid w:val="00583D53"/>
    <w:rsid w:val="00584082"/>
    <w:rsid w:val="00584406"/>
    <w:rsid w:val="00584B7C"/>
    <w:rsid w:val="00584C53"/>
    <w:rsid w:val="00585342"/>
    <w:rsid w:val="0058558F"/>
    <w:rsid w:val="00585609"/>
    <w:rsid w:val="0058560C"/>
    <w:rsid w:val="00585C8F"/>
    <w:rsid w:val="00585D28"/>
    <w:rsid w:val="00585E28"/>
    <w:rsid w:val="00586519"/>
    <w:rsid w:val="005865BB"/>
    <w:rsid w:val="005867A6"/>
    <w:rsid w:val="00586B95"/>
    <w:rsid w:val="00586D58"/>
    <w:rsid w:val="00587061"/>
    <w:rsid w:val="00587072"/>
    <w:rsid w:val="005871BD"/>
    <w:rsid w:val="005876DE"/>
    <w:rsid w:val="005876EB"/>
    <w:rsid w:val="00587E0D"/>
    <w:rsid w:val="00587EBC"/>
    <w:rsid w:val="00590005"/>
    <w:rsid w:val="00590072"/>
    <w:rsid w:val="005900A1"/>
    <w:rsid w:val="00590538"/>
    <w:rsid w:val="00590615"/>
    <w:rsid w:val="00590B01"/>
    <w:rsid w:val="00590BAF"/>
    <w:rsid w:val="00590BE4"/>
    <w:rsid w:val="00590DAF"/>
    <w:rsid w:val="00590E8B"/>
    <w:rsid w:val="005912AC"/>
    <w:rsid w:val="00591614"/>
    <w:rsid w:val="005921A0"/>
    <w:rsid w:val="00592915"/>
    <w:rsid w:val="00592A4E"/>
    <w:rsid w:val="00593126"/>
    <w:rsid w:val="00593576"/>
    <w:rsid w:val="00593584"/>
    <w:rsid w:val="00593AD9"/>
    <w:rsid w:val="00594673"/>
    <w:rsid w:val="00595095"/>
    <w:rsid w:val="005951C1"/>
    <w:rsid w:val="00595241"/>
    <w:rsid w:val="00595685"/>
    <w:rsid w:val="005962D8"/>
    <w:rsid w:val="005964CF"/>
    <w:rsid w:val="005964D9"/>
    <w:rsid w:val="0059659A"/>
    <w:rsid w:val="00596623"/>
    <w:rsid w:val="00596745"/>
    <w:rsid w:val="005970C4"/>
    <w:rsid w:val="0059764F"/>
    <w:rsid w:val="00597D17"/>
    <w:rsid w:val="005A0224"/>
    <w:rsid w:val="005A03B0"/>
    <w:rsid w:val="005A04DA"/>
    <w:rsid w:val="005A0522"/>
    <w:rsid w:val="005A0BA6"/>
    <w:rsid w:val="005A0C35"/>
    <w:rsid w:val="005A1201"/>
    <w:rsid w:val="005A15E8"/>
    <w:rsid w:val="005A174C"/>
    <w:rsid w:val="005A1964"/>
    <w:rsid w:val="005A1AFE"/>
    <w:rsid w:val="005A1F5E"/>
    <w:rsid w:val="005A25B8"/>
    <w:rsid w:val="005A2917"/>
    <w:rsid w:val="005A35B2"/>
    <w:rsid w:val="005A3671"/>
    <w:rsid w:val="005A38E9"/>
    <w:rsid w:val="005A3C2D"/>
    <w:rsid w:val="005A3F38"/>
    <w:rsid w:val="005A40D9"/>
    <w:rsid w:val="005A48C5"/>
    <w:rsid w:val="005A48D9"/>
    <w:rsid w:val="005A49C5"/>
    <w:rsid w:val="005A49F9"/>
    <w:rsid w:val="005A4ADB"/>
    <w:rsid w:val="005A61BB"/>
    <w:rsid w:val="005A67B0"/>
    <w:rsid w:val="005A6880"/>
    <w:rsid w:val="005A68C6"/>
    <w:rsid w:val="005A693D"/>
    <w:rsid w:val="005A6C20"/>
    <w:rsid w:val="005A6D1E"/>
    <w:rsid w:val="005A6DBF"/>
    <w:rsid w:val="005A6E56"/>
    <w:rsid w:val="005A6F02"/>
    <w:rsid w:val="005A787C"/>
    <w:rsid w:val="005A7908"/>
    <w:rsid w:val="005A7F6D"/>
    <w:rsid w:val="005A7FD6"/>
    <w:rsid w:val="005B02AB"/>
    <w:rsid w:val="005B0788"/>
    <w:rsid w:val="005B07E3"/>
    <w:rsid w:val="005B07FD"/>
    <w:rsid w:val="005B094A"/>
    <w:rsid w:val="005B0D34"/>
    <w:rsid w:val="005B12F2"/>
    <w:rsid w:val="005B13B3"/>
    <w:rsid w:val="005B15A5"/>
    <w:rsid w:val="005B170A"/>
    <w:rsid w:val="005B1A9E"/>
    <w:rsid w:val="005B23A3"/>
    <w:rsid w:val="005B2B2E"/>
    <w:rsid w:val="005B31CB"/>
    <w:rsid w:val="005B36F1"/>
    <w:rsid w:val="005B438A"/>
    <w:rsid w:val="005B4643"/>
    <w:rsid w:val="005B50E9"/>
    <w:rsid w:val="005B597B"/>
    <w:rsid w:val="005B646D"/>
    <w:rsid w:val="005B65A8"/>
    <w:rsid w:val="005B6B3B"/>
    <w:rsid w:val="005B6BAB"/>
    <w:rsid w:val="005B70C3"/>
    <w:rsid w:val="005B71E0"/>
    <w:rsid w:val="005B753C"/>
    <w:rsid w:val="005B77B6"/>
    <w:rsid w:val="005B77FF"/>
    <w:rsid w:val="005B7992"/>
    <w:rsid w:val="005B7D04"/>
    <w:rsid w:val="005B7D51"/>
    <w:rsid w:val="005C0140"/>
    <w:rsid w:val="005C0B56"/>
    <w:rsid w:val="005C0C37"/>
    <w:rsid w:val="005C0EF8"/>
    <w:rsid w:val="005C0F66"/>
    <w:rsid w:val="005C1B4B"/>
    <w:rsid w:val="005C1F87"/>
    <w:rsid w:val="005C2541"/>
    <w:rsid w:val="005C28FB"/>
    <w:rsid w:val="005C3183"/>
    <w:rsid w:val="005C3415"/>
    <w:rsid w:val="005C3BA4"/>
    <w:rsid w:val="005C3C9D"/>
    <w:rsid w:val="005C3EC1"/>
    <w:rsid w:val="005C4557"/>
    <w:rsid w:val="005C4AB1"/>
    <w:rsid w:val="005C4F0C"/>
    <w:rsid w:val="005C5A7A"/>
    <w:rsid w:val="005C5D8D"/>
    <w:rsid w:val="005C62B0"/>
    <w:rsid w:val="005C64EB"/>
    <w:rsid w:val="005C67B8"/>
    <w:rsid w:val="005C6C90"/>
    <w:rsid w:val="005C6D23"/>
    <w:rsid w:val="005C6D5A"/>
    <w:rsid w:val="005C6FBD"/>
    <w:rsid w:val="005C7123"/>
    <w:rsid w:val="005C71E9"/>
    <w:rsid w:val="005C71F7"/>
    <w:rsid w:val="005C749E"/>
    <w:rsid w:val="005C74DD"/>
    <w:rsid w:val="005C75A1"/>
    <w:rsid w:val="005C780D"/>
    <w:rsid w:val="005C7A4A"/>
    <w:rsid w:val="005C7B85"/>
    <w:rsid w:val="005C7C08"/>
    <w:rsid w:val="005D0C32"/>
    <w:rsid w:val="005D0E17"/>
    <w:rsid w:val="005D0EBE"/>
    <w:rsid w:val="005D0FED"/>
    <w:rsid w:val="005D1077"/>
    <w:rsid w:val="005D15CD"/>
    <w:rsid w:val="005D1788"/>
    <w:rsid w:val="005D17FA"/>
    <w:rsid w:val="005D1E2A"/>
    <w:rsid w:val="005D1E44"/>
    <w:rsid w:val="005D25B0"/>
    <w:rsid w:val="005D2CA8"/>
    <w:rsid w:val="005D2E60"/>
    <w:rsid w:val="005D39D2"/>
    <w:rsid w:val="005D3B79"/>
    <w:rsid w:val="005D3B83"/>
    <w:rsid w:val="005D41DF"/>
    <w:rsid w:val="005D427D"/>
    <w:rsid w:val="005D4D3B"/>
    <w:rsid w:val="005D4D5F"/>
    <w:rsid w:val="005D5778"/>
    <w:rsid w:val="005D5D01"/>
    <w:rsid w:val="005D5DFF"/>
    <w:rsid w:val="005D5F1C"/>
    <w:rsid w:val="005D653C"/>
    <w:rsid w:val="005D65E1"/>
    <w:rsid w:val="005D69D4"/>
    <w:rsid w:val="005D7286"/>
    <w:rsid w:val="005D74FF"/>
    <w:rsid w:val="005D7700"/>
    <w:rsid w:val="005D78AD"/>
    <w:rsid w:val="005D78DF"/>
    <w:rsid w:val="005E0E41"/>
    <w:rsid w:val="005E113C"/>
    <w:rsid w:val="005E1793"/>
    <w:rsid w:val="005E1898"/>
    <w:rsid w:val="005E1C0F"/>
    <w:rsid w:val="005E1F99"/>
    <w:rsid w:val="005E1FD7"/>
    <w:rsid w:val="005E231C"/>
    <w:rsid w:val="005E3091"/>
    <w:rsid w:val="005E3117"/>
    <w:rsid w:val="005E3516"/>
    <w:rsid w:val="005E3661"/>
    <w:rsid w:val="005E36D9"/>
    <w:rsid w:val="005E3755"/>
    <w:rsid w:val="005E3780"/>
    <w:rsid w:val="005E37BF"/>
    <w:rsid w:val="005E4729"/>
    <w:rsid w:val="005E4772"/>
    <w:rsid w:val="005E4961"/>
    <w:rsid w:val="005E4DFD"/>
    <w:rsid w:val="005E51E5"/>
    <w:rsid w:val="005E55C8"/>
    <w:rsid w:val="005E5BFF"/>
    <w:rsid w:val="005E5C6B"/>
    <w:rsid w:val="005E5EEE"/>
    <w:rsid w:val="005E600B"/>
    <w:rsid w:val="005E623B"/>
    <w:rsid w:val="005E674B"/>
    <w:rsid w:val="005E6779"/>
    <w:rsid w:val="005E7012"/>
    <w:rsid w:val="005E72BB"/>
    <w:rsid w:val="005F0541"/>
    <w:rsid w:val="005F0DA6"/>
    <w:rsid w:val="005F0E55"/>
    <w:rsid w:val="005F0EE1"/>
    <w:rsid w:val="005F13C2"/>
    <w:rsid w:val="005F1BF5"/>
    <w:rsid w:val="005F20A5"/>
    <w:rsid w:val="005F255A"/>
    <w:rsid w:val="005F25BD"/>
    <w:rsid w:val="005F2745"/>
    <w:rsid w:val="005F32AD"/>
    <w:rsid w:val="005F34E1"/>
    <w:rsid w:val="005F3577"/>
    <w:rsid w:val="005F3E4D"/>
    <w:rsid w:val="005F400E"/>
    <w:rsid w:val="005F41CD"/>
    <w:rsid w:val="005F43C2"/>
    <w:rsid w:val="005F479F"/>
    <w:rsid w:val="005F4968"/>
    <w:rsid w:val="005F4E65"/>
    <w:rsid w:val="005F573F"/>
    <w:rsid w:val="005F5976"/>
    <w:rsid w:val="005F60ED"/>
    <w:rsid w:val="005F67D3"/>
    <w:rsid w:val="005F7C32"/>
    <w:rsid w:val="006001FE"/>
    <w:rsid w:val="0060030B"/>
    <w:rsid w:val="0060067A"/>
    <w:rsid w:val="00600EEB"/>
    <w:rsid w:val="00601BED"/>
    <w:rsid w:val="00601C58"/>
    <w:rsid w:val="00601C78"/>
    <w:rsid w:val="00602438"/>
    <w:rsid w:val="00602BDC"/>
    <w:rsid w:val="00602C1D"/>
    <w:rsid w:val="00602E33"/>
    <w:rsid w:val="0060332E"/>
    <w:rsid w:val="00603CBE"/>
    <w:rsid w:val="00603CEC"/>
    <w:rsid w:val="0060408D"/>
    <w:rsid w:val="00604304"/>
    <w:rsid w:val="006043DA"/>
    <w:rsid w:val="006045F1"/>
    <w:rsid w:val="0060463A"/>
    <w:rsid w:val="00604796"/>
    <w:rsid w:val="00604A27"/>
    <w:rsid w:val="00604AFF"/>
    <w:rsid w:val="00604D44"/>
    <w:rsid w:val="00604DDC"/>
    <w:rsid w:val="00604F31"/>
    <w:rsid w:val="00604FED"/>
    <w:rsid w:val="00605299"/>
    <w:rsid w:val="006053C4"/>
    <w:rsid w:val="0060550E"/>
    <w:rsid w:val="0060557D"/>
    <w:rsid w:val="00605727"/>
    <w:rsid w:val="00605F89"/>
    <w:rsid w:val="00605FA2"/>
    <w:rsid w:val="006060A2"/>
    <w:rsid w:val="006061A6"/>
    <w:rsid w:val="006061EE"/>
    <w:rsid w:val="006065A9"/>
    <w:rsid w:val="006066B2"/>
    <w:rsid w:val="00606E61"/>
    <w:rsid w:val="00606EAE"/>
    <w:rsid w:val="0060728E"/>
    <w:rsid w:val="00607318"/>
    <w:rsid w:val="006075B1"/>
    <w:rsid w:val="00607651"/>
    <w:rsid w:val="00607C37"/>
    <w:rsid w:val="00607DCF"/>
    <w:rsid w:val="00607EA6"/>
    <w:rsid w:val="0060A868"/>
    <w:rsid w:val="006100B6"/>
    <w:rsid w:val="00610170"/>
    <w:rsid w:val="006101EB"/>
    <w:rsid w:val="006103AF"/>
    <w:rsid w:val="00610C1D"/>
    <w:rsid w:val="00610C6B"/>
    <w:rsid w:val="0061129D"/>
    <w:rsid w:val="006118A3"/>
    <w:rsid w:val="00611B1D"/>
    <w:rsid w:val="0061254A"/>
    <w:rsid w:val="006126A3"/>
    <w:rsid w:val="006129DF"/>
    <w:rsid w:val="00612A23"/>
    <w:rsid w:val="00612C3C"/>
    <w:rsid w:val="00612EAB"/>
    <w:rsid w:val="006130F8"/>
    <w:rsid w:val="00613151"/>
    <w:rsid w:val="006131D3"/>
    <w:rsid w:val="0061338C"/>
    <w:rsid w:val="00613964"/>
    <w:rsid w:val="00613B1B"/>
    <w:rsid w:val="00613C70"/>
    <w:rsid w:val="00615097"/>
    <w:rsid w:val="00615756"/>
    <w:rsid w:val="00615E04"/>
    <w:rsid w:val="006162AF"/>
    <w:rsid w:val="00616527"/>
    <w:rsid w:val="00616744"/>
    <w:rsid w:val="006167DC"/>
    <w:rsid w:val="0061695B"/>
    <w:rsid w:val="00616D2A"/>
    <w:rsid w:val="00617026"/>
    <w:rsid w:val="00617AF3"/>
    <w:rsid w:val="00617D7A"/>
    <w:rsid w:val="00617DA6"/>
    <w:rsid w:val="00617E3D"/>
    <w:rsid w:val="00617F65"/>
    <w:rsid w:val="00620548"/>
    <w:rsid w:val="00620823"/>
    <w:rsid w:val="00620A0D"/>
    <w:rsid w:val="00620AB1"/>
    <w:rsid w:val="00620C5C"/>
    <w:rsid w:val="00620E44"/>
    <w:rsid w:val="006210AB"/>
    <w:rsid w:val="006211E0"/>
    <w:rsid w:val="00621735"/>
    <w:rsid w:val="00621A6A"/>
    <w:rsid w:val="00621AE9"/>
    <w:rsid w:val="00621D98"/>
    <w:rsid w:val="00621E31"/>
    <w:rsid w:val="006221D2"/>
    <w:rsid w:val="00622369"/>
    <w:rsid w:val="00622516"/>
    <w:rsid w:val="00622593"/>
    <w:rsid w:val="00622B7B"/>
    <w:rsid w:val="00622DCD"/>
    <w:rsid w:val="00622DD0"/>
    <w:rsid w:val="00622FB3"/>
    <w:rsid w:val="006235D0"/>
    <w:rsid w:val="00624609"/>
    <w:rsid w:val="00624704"/>
    <w:rsid w:val="00625014"/>
    <w:rsid w:val="00625BAE"/>
    <w:rsid w:val="00626803"/>
    <w:rsid w:val="00627195"/>
    <w:rsid w:val="006275AB"/>
    <w:rsid w:val="0062774B"/>
    <w:rsid w:val="006277A0"/>
    <w:rsid w:val="00627A80"/>
    <w:rsid w:val="00627F28"/>
    <w:rsid w:val="00630107"/>
    <w:rsid w:val="00630113"/>
    <w:rsid w:val="006302D2"/>
    <w:rsid w:val="006308A7"/>
    <w:rsid w:val="006309FD"/>
    <w:rsid w:val="00630DB5"/>
    <w:rsid w:val="00630E7C"/>
    <w:rsid w:val="00631658"/>
    <w:rsid w:val="00632205"/>
    <w:rsid w:val="00632275"/>
    <w:rsid w:val="006329A1"/>
    <w:rsid w:val="00633173"/>
    <w:rsid w:val="00633634"/>
    <w:rsid w:val="00633C5C"/>
    <w:rsid w:val="00633D9A"/>
    <w:rsid w:val="00634095"/>
    <w:rsid w:val="006342A2"/>
    <w:rsid w:val="0063439C"/>
    <w:rsid w:val="0063510F"/>
    <w:rsid w:val="00635112"/>
    <w:rsid w:val="00635277"/>
    <w:rsid w:val="006353FA"/>
    <w:rsid w:val="0063561B"/>
    <w:rsid w:val="00635748"/>
    <w:rsid w:val="00635DD9"/>
    <w:rsid w:val="006366B9"/>
    <w:rsid w:val="00636C8C"/>
    <w:rsid w:val="00637693"/>
    <w:rsid w:val="00637AD6"/>
    <w:rsid w:val="00637BCD"/>
    <w:rsid w:val="00637D92"/>
    <w:rsid w:val="00637E0F"/>
    <w:rsid w:val="0064042D"/>
    <w:rsid w:val="006406BF"/>
    <w:rsid w:val="00640EF7"/>
    <w:rsid w:val="00641AEC"/>
    <w:rsid w:val="00641B5F"/>
    <w:rsid w:val="00642458"/>
    <w:rsid w:val="00642B25"/>
    <w:rsid w:val="00642BE9"/>
    <w:rsid w:val="00642D6E"/>
    <w:rsid w:val="00642F82"/>
    <w:rsid w:val="006440D9"/>
    <w:rsid w:val="00644644"/>
    <w:rsid w:val="00644802"/>
    <w:rsid w:val="0064524B"/>
    <w:rsid w:val="006456ED"/>
    <w:rsid w:val="00645ACD"/>
    <w:rsid w:val="006468EB"/>
    <w:rsid w:val="006469A4"/>
    <w:rsid w:val="00647A81"/>
    <w:rsid w:val="00647CCA"/>
    <w:rsid w:val="00647CEB"/>
    <w:rsid w:val="006506F0"/>
    <w:rsid w:val="0065096C"/>
    <w:rsid w:val="00650A8F"/>
    <w:rsid w:val="006510B5"/>
    <w:rsid w:val="00651877"/>
    <w:rsid w:val="00651CD0"/>
    <w:rsid w:val="00651F19"/>
    <w:rsid w:val="00651F23"/>
    <w:rsid w:val="006522CC"/>
    <w:rsid w:val="00652A68"/>
    <w:rsid w:val="00653213"/>
    <w:rsid w:val="0065374A"/>
    <w:rsid w:val="00653885"/>
    <w:rsid w:val="00653A9B"/>
    <w:rsid w:val="00653BED"/>
    <w:rsid w:val="0065444A"/>
    <w:rsid w:val="0065464D"/>
    <w:rsid w:val="00654C49"/>
    <w:rsid w:val="00655103"/>
    <w:rsid w:val="00655388"/>
    <w:rsid w:val="00655450"/>
    <w:rsid w:val="006557D8"/>
    <w:rsid w:val="00655AD4"/>
    <w:rsid w:val="00655CF7"/>
    <w:rsid w:val="00655D41"/>
    <w:rsid w:val="00655D42"/>
    <w:rsid w:val="0065616F"/>
    <w:rsid w:val="00656199"/>
    <w:rsid w:val="00656253"/>
    <w:rsid w:val="006568E6"/>
    <w:rsid w:val="0065690B"/>
    <w:rsid w:val="00656F72"/>
    <w:rsid w:val="0065743D"/>
    <w:rsid w:val="00657F92"/>
    <w:rsid w:val="00660874"/>
    <w:rsid w:val="00660A23"/>
    <w:rsid w:val="00660CDA"/>
    <w:rsid w:val="0066106B"/>
    <w:rsid w:val="006615B5"/>
    <w:rsid w:val="0066189A"/>
    <w:rsid w:val="00661DC2"/>
    <w:rsid w:val="006623F6"/>
    <w:rsid w:val="00662C72"/>
    <w:rsid w:val="00662FC0"/>
    <w:rsid w:val="006630F2"/>
    <w:rsid w:val="006635B5"/>
    <w:rsid w:val="006641F2"/>
    <w:rsid w:val="0066457C"/>
    <w:rsid w:val="006645C0"/>
    <w:rsid w:val="00664974"/>
    <w:rsid w:val="00664D3A"/>
    <w:rsid w:val="00664F05"/>
    <w:rsid w:val="00665C4E"/>
    <w:rsid w:val="00665E90"/>
    <w:rsid w:val="00666287"/>
    <w:rsid w:val="0066632E"/>
    <w:rsid w:val="006663B8"/>
    <w:rsid w:val="006664DB"/>
    <w:rsid w:val="00666B96"/>
    <w:rsid w:val="00667CED"/>
    <w:rsid w:val="00667FE6"/>
    <w:rsid w:val="0067041B"/>
    <w:rsid w:val="0067073F"/>
    <w:rsid w:val="00670841"/>
    <w:rsid w:val="00670B7F"/>
    <w:rsid w:val="00670F19"/>
    <w:rsid w:val="006719D7"/>
    <w:rsid w:val="00671D60"/>
    <w:rsid w:val="00672278"/>
    <w:rsid w:val="0067239E"/>
    <w:rsid w:val="006727E0"/>
    <w:rsid w:val="00672972"/>
    <w:rsid w:val="00672AF3"/>
    <w:rsid w:val="00673186"/>
    <w:rsid w:val="006734D6"/>
    <w:rsid w:val="00673C42"/>
    <w:rsid w:val="006740BB"/>
    <w:rsid w:val="0067478F"/>
    <w:rsid w:val="00675060"/>
    <w:rsid w:val="00675131"/>
    <w:rsid w:val="006751B4"/>
    <w:rsid w:val="006752F9"/>
    <w:rsid w:val="00675664"/>
    <w:rsid w:val="006759C2"/>
    <w:rsid w:val="00675AE8"/>
    <w:rsid w:val="00675B71"/>
    <w:rsid w:val="00675C34"/>
    <w:rsid w:val="00675EBC"/>
    <w:rsid w:val="006761D0"/>
    <w:rsid w:val="0067631B"/>
    <w:rsid w:val="006767FD"/>
    <w:rsid w:val="00676831"/>
    <w:rsid w:val="0067684A"/>
    <w:rsid w:val="0067696A"/>
    <w:rsid w:val="00677147"/>
    <w:rsid w:val="00677526"/>
    <w:rsid w:val="00677A9F"/>
    <w:rsid w:val="00680AAA"/>
    <w:rsid w:val="00680DED"/>
    <w:rsid w:val="006816BA"/>
    <w:rsid w:val="006818BC"/>
    <w:rsid w:val="00681AA4"/>
    <w:rsid w:val="00681B9B"/>
    <w:rsid w:val="00681CA4"/>
    <w:rsid w:val="00681CAA"/>
    <w:rsid w:val="00681F3A"/>
    <w:rsid w:val="00682027"/>
    <w:rsid w:val="00682107"/>
    <w:rsid w:val="00682C10"/>
    <w:rsid w:val="00682EBB"/>
    <w:rsid w:val="006831A9"/>
    <w:rsid w:val="00683251"/>
    <w:rsid w:val="006839AA"/>
    <w:rsid w:val="00683B48"/>
    <w:rsid w:val="00684CC0"/>
    <w:rsid w:val="006851D0"/>
    <w:rsid w:val="00685527"/>
    <w:rsid w:val="00685990"/>
    <w:rsid w:val="00685B63"/>
    <w:rsid w:val="00685E18"/>
    <w:rsid w:val="006860AC"/>
    <w:rsid w:val="006867EA"/>
    <w:rsid w:val="00686BE4"/>
    <w:rsid w:val="00687855"/>
    <w:rsid w:val="00687DAC"/>
    <w:rsid w:val="00687E19"/>
    <w:rsid w:val="00687F1D"/>
    <w:rsid w:val="0069000D"/>
    <w:rsid w:val="00690052"/>
    <w:rsid w:val="0069016C"/>
    <w:rsid w:val="00690252"/>
    <w:rsid w:val="00690B24"/>
    <w:rsid w:val="00690DD7"/>
    <w:rsid w:val="0069116E"/>
    <w:rsid w:val="006915BA"/>
    <w:rsid w:val="0069173D"/>
    <w:rsid w:val="00691881"/>
    <w:rsid w:val="006927D1"/>
    <w:rsid w:val="00692A94"/>
    <w:rsid w:val="00692B59"/>
    <w:rsid w:val="0069354C"/>
    <w:rsid w:val="00694156"/>
    <w:rsid w:val="00694351"/>
    <w:rsid w:val="00694412"/>
    <w:rsid w:val="006947F7"/>
    <w:rsid w:val="00694928"/>
    <w:rsid w:val="00694D25"/>
    <w:rsid w:val="00694E1A"/>
    <w:rsid w:val="00695703"/>
    <w:rsid w:val="00695A1E"/>
    <w:rsid w:val="00695BF4"/>
    <w:rsid w:val="00695DAA"/>
    <w:rsid w:val="00695EAA"/>
    <w:rsid w:val="00695EBB"/>
    <w:rsid w:val="0069626E"/>
    <w:rsid w:val="00696A0C"/>
    <w:rsid w:val="00696D57"/>
    <w:rsid w:val="00696DEB"/>
    <w:rsid w:val="00696E6B"/>
    <w:rsid w:val="00697D37"/>
    <w:rsid w:val="00697FB0"/>
    <w:rsid w:val="006A00FC"/>
    <w:rsid w:val="006A05FC"/>
    <w:rsid w:val="006A10DC"/>
    <w:rsid w:val="006A1781"/>
    <w:rsid w:val="006A1EE6"/>
    <w:rsid w:val="006A25BB"/>
    <w:rsid w:val="006A2713"/>
    <w:rsid w:val="006A2D51"/>
    <w:rsid w:val="006A358C"/>
    <w:rsid w:val="006A3975"/>
    <w:rsid w:val="006A42E4"/>
    <w:rsid w:val="006A48E7"/>
    <w:rsid w:val="006A4DB7"/>
    <w:rsid w:val="006A4E81"/>
    <w:rsid w:val="006A4F89"/>
    <w:rsid w:val="006A557F"/>
    <w:rsid w:val="006A576E"/>
    <w:rsid w:val="006A5CE2"/>
    <w:rsid w:val="006A5D0B"/>
    <w:rsid w:val="006A5D15"/>
    <w:rsid w:val="006A5FB6"/>
    <w:rsid w:val="006A60C9"/>
    <w:rsid w:val="006A60D1"/>
    <w:rsid w:val="006A6321"/>
    <w:rsid w:val="006A6B0D"/>
    <w:rsid w:val="006A6C54"/>
    <w:rsid w:val="006A6FB6"/>
    <w:rsid w:val="006A71BF"/>
    <w:rsid w:val="006A73DA"/>
    <w:rsid w:val="006A7464"/>
    <w:rsid w:val="006A760D"/>
    <w:rsid w:val="006B0577"/>
    <w:rsid w:val="006B0CB7"/>
    <w:rsid w:val="006B0F46"/>
    <w:rsid w:val="006B10B6"/>
    <w:rsid w:val="006B126D"/>
    <w:rsid w:val="006B1377"/>
    <w:rsid w:val="006B14AA"/>
    <w:rsid w:val="006B1965"/>
    <w:rsid w:val="006B2143"/>
    <w:rsid w:val="006B238B"/>
    <w:rsid w:val="006B2726"/>
    <w:rsid w:val="006B28F3"/>
    <w:rsid w:val="006B2A56"/>
    <w:rsid w:val="006B337C"/>
    <w:rsid w:val="006B4230"/>
    <w:rsid w:val="006B468D"/>
    <w:rsid w:val="006B4766"/>
    <w:rsid w:val="006B4B1F"/>
    <w:rsid w:val="006B4EB9"/>
    <w:rsid w:val="006B56F8"/>
    <w:rsid w:val="006B5799"/>
    <w:rsid w:val="006B57B2"/>
    <w:rsid w:val="006B5A0E"/>
    <w:rsid w:val="006B62A1"/>
    <w:rsid w:val="006B6740"/>
    <w:rsid w:val="006B6904"/>
    <w:rsid w:val="006B6912"/>
    <w:rsid w:val="006B6D34"/>
    <w:rsid w:val="006B6F2C"/>
    <w:rsid w:val="006B710B"/>
    <w:rsid w:val="006B739D"/>
    <w:rsid w:val="006B78C7"/>
    <w:rsid w:val="006C0522"/>
    <w:rsid w:val="006C071E"/>
    <w:rsid w:val="006C0820"/>
    <w:rsid w:val="006C0EDC"/>
    <w:rsid w:val="006C109B"/>
    <w:rsid w:val="006C12A6"/>
    <w:rsid w:val="006C12B6"/>
    <w:rsid w:val="006C12E1"/>
    <w:rsid w:val="006C1517"/>
    <w:rsid w:val="006C16A0"/>
    <w:rsid w:val="006C180F"/>
    <w:rsid w:val="006C1BD2"/>
    <w:rsid w:val="006C1C07"/>
    <w:rsid w:val="006C1E02"/>
    <w:rsid w:val="006C258E"/>
    <w:rsid w:val="006C25E6"/>
    <w:rsid w:val="006C2665"/>
    <w:rsid w:val="006C27BA"/>
    <w:rsid w:val="006C2C40"/>
    <w:rsid w:val="006C2E5C"/>
    <w:rsid w:val="006C2F7A"/>
    <w:rsid w:val="006C3527"/>
    <w:rsid w:val="006C4214"/>
    <w:rsid w:val="006C433E"/>
    <w:rsid w:val="006C43A7"/>
    <w:rsid w:val="006C4856"/>
    <w:rsid w:val="006C4989"/>
    <w:rsid w:val="006C4F22"/>
    <w:rsid w:val="006C4F77"/>
    <w:rsid w:val="006C54D6"/>
    <w:rsid w:val="006C5BF6"/>
    <w:rsid w:val="006C5E24"/>
    <w:rsid w:val="006C6328"/>
    <w:rsid w:val="006C63D3"/>
    <w:rsid w:val="006C6443"/>
    <w:rsid w:val="006C6C9F"/>
    <w:rsid w:val="006C7FB3"/>
    <w:rsid w:val="006D016E"/>
    <w:rsid w:val="006D04B9"/>
    <w:rsid w:val="006D0890"/>
    <w:rsid w:val="006D0A7E"/>
    <w:rsid w:val="006D0D08"/>
    <w:rsid w:val="006D0F90"/>
    <w:rsid w:val="006D141E"/>
    <w:rsid w:val="006D1B2D"/>
    <w:rsid w:val="006D1E1F"/>
    <w:rsid w:val="006D1E80"/>
    <w:rsid w:val="006D1E8F"/>
    <w:rsid w:val="006D20B8"/>
    <w:rsid w:val="006D2424"/>
    <w:rsid w:val="006D2707"/>
    <w:rsid w:val="006D3233"/>
    <w:rsid w:val="006D3753"/>
    <w:rsid w:val="006D37B9"/>
    <w:rsid w:val="006D381C"/>
    <w:rsid w:val="006D382C"/>
    <w:rsid w:val="006D4E8E"/>
    <w:rsid w:val="006D511E"/>
    <w:rsid w:val="006D5309"/>
    <w:rsid w:val="006D555F"/>
    <w:rsid w:val="006D5860"/>
    <w:rsid w:val="006D5A53"/>
    <w:rsid w:val="006D61AB"/>
    <w:rsid w:val="006D6229"/>
    <w:rsid w:val="006D64F1"/>
    <w:rsid w:val="006D69B0"/>
    <w:rsid w:val="006D756F"/>
    <w:rsid w:val="006D7642"/>
    <w:rsid w:val="006D7A39"/>
    <w:rsid w:val="006D7D8A"/>
    <w:rsid w:val="006D7E28"/>
    <w:rsid w:val="006E0B31"/>
    <w:rsid w:val="006E0CDA"/>
    <w:rsid w:val="006E0DD7"/>
    <w:rsid w:val="006E17CD"/>
    <w:rsid w:val="006E1E52"/>
    <w:rsid w:val="006E22C8"/>
    <w:rsid w:val="006E235C"/>
    <w:rsid w:val="006E23B6"/>
    <w:rsid w:val="006E25AB"/>
    <w:rsid w:val="006E27EF"/>
    <w:rsid w:val="006E288F"/>
    <w:rsid w:val="006E28BF"/>
    <w:rsid w:val="006E28C7"/>
    <w:rsid w:val="006E313D"/>
    <w:rsid w:val="006E3262"/>
    <w:rsid w:val="006E3358"/>
    <w:rsid w:val="006E35E7"/>
    <w:rsid w:val="006E392D"/>
    <w:rsid w:val="006E39B2"/>
    <w:rsid w:val="006E3A6D"/>
    <w:rsid w:val="006E3CAD"/>
    <w:rsid w:val="006E416F"/>
    <w:rsid w:val="006E436D"/>
    <w:rsid w:val="006E4424"/>
    <w:rsid w:val="006E4748"/>
    <w:rsid w:val="006E4DA2"/>
    <w:rsid w:val="006E541C"/>
    <w:rsid w:val="006E5940"/>
    <w:rsid w:val="006E5A4C"/>
    <w:rsid w:val="006E685F"/>
    <w:rsid w:val="006E69F5"/>
    <w:rsid w:val="006E6B1D"/>
    <w:rsid w:val="006E6CB4"/>
    <w:rsid w:val="006E71EC"/>
    <w:rsid w:val="006E733D"/>
    <w:rsid w:val="006E75BA"/>
    <w:rsid w:val="006E7746"/>
    <w:rsid w:val="006E7777"/>
    <w:rsid w:val="006E7C22"/>
    <w:rsid w:val="006E7D34"/>
    <w:rsid w:val="006E7F70"/>
    <w:rsid w:val="006F05DA"/>
    <w:rsid w:val="006F0638"/>
    <w:rsid w:val="006F0E8D"/>
    <w:rsid w:val="006F1493"/>
    <w:rsid w:val="006F15AB"/>
    <w:rsid w:val="006F15AD"/>
    <w:rsid w:val="006F15E5"/>
    <w:rsid w:val="006F18C7"/>
    <w:rsid w:val="006F1BCB"/>
    <w:rsid w:val="006F1EE2"/>
    <w:rsid w:val="006F25C2"/>
    <w:rsid w:val="006F27C2"/>
    <w:rsid w:val="006F2C52"/>
    <w:rsid w:val="006F2EC1"/>
    <w:rsid w:val="006F3284"/>
    <w:rsid w:val="006F32C6"/>
    <w:rsid w:val="006F3725"/>
    <w:rsid w:val="006F3811"/>
    <w:rsid w:val="006F3AD3"/>
    <w:rsid w:val="006F46CF"/>
    <w:rsid w:val="006F4826"/>
    <w:rsid w:val="006F4D0E"/>
    <w:rsid w:val="006F4E9F"/>
    <w:rsid w:val="006F55C7"/>
    <w:rsid w:val="006F5623"/>
    <w:rsid w:val="006F5CAE"/>
    <w:rsid w:val="006F68DC"/>
    <w:rsid w:val="006F6D58"/>
    <w:rsid w:val="006F6DF4"/>
    <w:rsid w:val="006F738D"/>
    <w:rsid w:val="006F75E2"/>
    <w:rsid w:val="00700394"/>
    <w:rsid w:val="00700738"/>
    <w:rsid w:val="0070077E"/>
    <w:rsid w:val="0070099A"/>
    <w:rsid w:val="00700C10"/>
    <w:rsid w:val="007014BE"/>
    <w:rsid w:val="007017AC"/>
    <w:rsid w:val="00701933"/>
    <w:rsid w:val="007019E8"/>
    <w:rsid w:val="007020F9"/>
    <w:rsid w:val="007021F3"/>
    <w:rsid w:val="007023C5"/>
    <w:rsid w:val="0070264D"/>
    <w:rsid w:val="00702B47"/>
    <w:rsid w:val="00702B8C"/>
    <w:rsid w:val="00703127"/>
    <w:rsid w:val="00703C44"/>
    <w:rsid w:val="00703E1A"/>
    <w:rsid w:val="00705196"/>
    <w:rsid w:val="00705286"/>
    <w:rsid w:val="007056A7"/>
    <w:rsid w:val="00705BE7"/>
    <w:rsid w:val="007063FB"/>
    <w:rsid w:val="007064B2"/>
    <w:rsid w:val="007065AB"/>
    <w:rsid w:val="007070B5"/>
    <w:rsid w:val="007077E5"/>
    <w:rsid w:val="007078A7"/>
    <w:rsid w:val="007078D1"/>
    <w:rsid w:val="00707997"/>
    <w:rsid w:val="00707DCC"/>
    <w:rsid w:val="0071029B"/>
    <w:rsid w:val="0071052E"/>
    <w:rsid w:val="00710D46"/>
    <w:rsid w:val="007111D4"/>
    <w:rsid w:val="007112C5"/>
    <w:rsid w:val="00711762"/>
    <w:rsid w:val="00712290"/>
    <w:rsid w:val="007124EF"/>
    <w:rsid w:val="00712A9B"/>
    <w:rsid w:val="00712C17"/>
    <w:rsid w:val="00712C2F"/>
    <w:rsid w:val="007130AE"/>
    <w:rsid w:val="007130D1"/>
    <w:rsid w:val="0071369B"/>
    <w:rsid w:val="00713A18"/>
    <w:rsid w:val="00713EF0"/>
    <w:rsid w:val="007141AD"/>
    <w:rsid w:val="007141D0"/>
    <w:rsid w:val="00714433"/>
    <w:rsid w:val="00714D3F"/>
    <w:rsid w:val="007150FB"/>
    <w:rsid w:val="0071529E"/>
    <w:rsid w:val="007152C8"/>
    <w:rsid w:val="0071575C"/>
    <w:rsid w:val="00716150"/>
    <w:rsid w:val="0071630A"/>
    <w:rsid w:val="0071633B"/>
    <w:rsid w:val="00716588"/>
    <w:rsid w:val="007173E1"/>
    <w:rsid w:val="0071763C"/>
    <w:rsid w:val="007178DD"/>
    <w:rsid w:val="00717FDC"/>
    <w:rsid w:val="00720B17"/>
    <w:rsid w:val="00720CCE"/>
    <w:rsid w:val="00720CE4"/>
    <w:rsid w:val="00720EEB"/>
    <w:rsid w:val="00721552"/>
    <w:rsid w:val="00721566"/>
    <w:rsid w:val="00721BEB"/>
    <w:rsid w:val="00721EB1"/>
    <w:rsid w:val="00721FA3"/>
    <w:rsid w:val="0072259C"/>
    <w:rsid w:val="007228A4"/>
    <w:rsid w:val="00722D44"/>
    <w:rsid w:val="00722E20"/>
    <w:rsid w:val="00722F65"/>
    <w:rsid w:val="00723088"/>
    <w:rsid w:val="00723392"/>
    <w:rsid w:val="00723663"/>
    <w:rsid w:val="00723A47"/>
    <w:rsid w:val="007242FB"/>
    <w:rsid w:val="00724434"/>
    <w:rsid w:val="00724AF9"/>
    <w:rsid w:val="00725349"/>
    <w:rsid w:val="0072564D"/>
    <w:rsid w:val="00725B33"/>
    <w:rsid w:val="00725BD8"/>
    <w:rsid w:val="007265CC"/>
    <w:rsid w:val="00726CA7"/>
    <w:rsid w:val="00726CF9"/>
    <w:rsid w:val="00726D17"/>
    <w:rsid w:val="00726D8A"/>
    <w:rsid w:val="00726E5E"/>
    <w:rsid w:val="00727710"/>
    <w:rsid w:val="007300A1"/>
    <w:rsid w:val="007302D1"/>
    <w:rsid w:val="007302E3"/>
    <w:rsid w:val="00730514"/>
    <w:rsid w:val="007306D0"/>
    <w:rsid w:val="00730CA8"/>
    <w:rsid w:val="00730F15"/>
    <w:rsid w:val="007312FA"/>
    <w:rsid w:val="00731AA3"/>
    <w:rsid w:val="00731EFC"/>
    <w:rsid w:val="00731F96"/>
    <w:rsid w:val="0073225E"/>
    <w:rsid w:val="007327F4"/>
    <w:rsid w:val="00733449"/>
    <w:rsid w:val="0073346B"/>
    <w:rsid w:val="00733622"/>
    <w:rsid w:val="00733710"/>
    <w:rsid w:val="00733772"/>
    <w:rsid w:val="00733C0B"/>
    <w:rsid w:val="00733CB5"/>
    <w:rsid w:val="007342C6"/>
    <w:rsid w:val="00734E84"/>
    <w:rsid w:val="00735AF0"/>
    <w:rsid w:val="00735B19"/>
    <w:rsid w:val="00735FDD"/>
    <w:rsid w:val="00736435"/>
    <w:rsid w:val="007367A7"/>
    <w:rsid w:val="007368D6"/>
    <w:rsid w:val="00736B3E"/>
    <w:rsid w:val="00736C13"/>
    <w:rsid w:val="00736E1E"/>
    <w:rsid w:val="00736F0E"/>
    <w:rsid w:val="00736F19"/>
    <w:rsid w:val="00736F94"/>
    <w:rsid w:val="00737A49"/>
    <w:rsid w:val="00737C45"/>
    <w:rsid w:val="00737E2C"/>
    <w:rsid w:val="00740BB7"/>
    <w:rsid w:val="00740D98"/>
    <w:rsid w:val="00741100"/>
    <w:rsid w:val="00741494"/>
    <w:rsid w:val="00741D55"/>
    <w:rsid w:val="00742225"/>
    <w:rsid w:val="007423F7"/>
    <w:rsid w:val="00742402"/>
    <w:rsid w:val="00742A12"/>
    <w:rsid w:val="00742B64"/>
    <w:rsid w:val="00743155"/>
    <w:rsid w:val="0074337A"/>
    <w:rsid w:val="00743D62"/>
    <w:rsid w:val="00743F8B"/>
    <w:rsid w:val="007443F1"/>
    <w:rsid w:val="007445DB"/>
    <w:rsid w:val="00744DAA"/>
    <w:rsid w:val="0074504E"/>
    <w:rsid w:val="0074569B"/>
    <w:rsid w:val="00745794"/>
    <w:rsid w:val="007457BD"/>
    <w:rsid w:val="00745E2F"/>
    <w:rsid w:val="007461C6"/>
    <w:rsid w:val="007463DA"/>
    <w:rsid w:val="00746607"/>
    <w:rsid w:val="00746639"/>
    <w:rsid w:val="007466BC"/>
    <w:rsid w:val="00746809"/>
    <w:rsid w:val="00746B2A"/>
    <w:rsid w:val="00747358"/>
    <w:rsid w:val="00747431"/>
    <w:rsid w:val="00750893"/>
    <w:rsid w:val="007509AB"/>
    <w:rsid w:val="007510B2"/>
    <w:rsid w:val="007510E2"/>
    <w:rsid w:val="007513AA"/>
    <w:rsid w:val="007518FE"/>
    <w:rsid w:val="00751D2E"/>
    <w:rsid w:val="00751D79"/>
    <w:rsid w:val="00752314"/>
    <w:rsid w:val="00752414"/>
    <w:rsid w:val="00752473"/>
    <w:rsid w:val="00752685"/>
    <w:rsid w:val="007527F4"/>
    <w:rsid w:val="00752903"/>
    <w:rsid w:val="007532F0"/>
    <w:rsid w:val="007535FA"/>
    <w:rsid w:val="00753E9C"/>
    <w:rsid w:val="00754230"/>
    <w:rsid w:val="00754697"/>
    <w:rsid w:val="00754B5F"/>
    <w:rsid w:val="00754F43"/>
    <w:rsid w:val="00755193"/>
    <w:rsid w:val="00755537"/>
    <w:rsid w:val="00755785"/>
    <w:rsid w:val="007558D2"/>
    <w:rsid w:val="00755B75"/>
    <w:rsid w:val="00755BE2"/>
    <w:rsid w:val="00756007"/>
    <w:rsid w:val="00756A4B"/>
    <w:rsid w:val="00756EDD"/>
    <w:rsid w:val="00757233"/>
    <w:rsid w:val="00757636"/>
    <w:rsid w:val="00757D44"/>
    <w:rsid w:val="00757EF1"/>
    <w:rsid w:val="00760171"/>
    <w:rsid w:val="00760304"/>
    <w:rsid w:val="00760FD0"/>
    <w:rsid w:val="007611EC"/>
    <w:rsid w:val="00761445"/>
    <w:rsid w:val="007615C9"/>
    <w:rsid w:val="00761870"/>
    <w:rsid w:val="00761A1B"/>
    <w:rsid w:val="00761A7F"/>
    <w:rsid w:val="007623BA"/>
    <w:rsid w:val="00762717"/>
    <w:rsid w:val="007629B6"/>
    <w:rsid w:val="00762FAE"/>
    <w:rsid w:val="00763304"/>
    <w:rsid w:val="007641CD"/>
    <w:rsid w:val="007646F9"/>
    <w:rsid w:val="0076504C"/>
    <w:rsid w:val="007656F3"/>
    <w:rsid w:val="007659D8"/>
    <w:rsid w:val="00765B5F"/>
    <w:rsid w:val="00765E2D"/>
    <w:rsid w:val="00765EEA"/>
    <w:rsid w:val="0076625D"/>
    <w:rsid w:val="007662FA"/>
    <w:rsid w:val="00766B90"/>
    <w:rsid w:val="00766BBE"/>
    <w:rsid w:val="0076713B"/>
    <w:rsid w:val="00767394"/>
    <w:rsid w:val="00767521"/>
    <w:rsid w:val="00767AAE"/>
    <w:rsid w:val="00770BDB"/>
    <w:rsid w:val="00770D90"/>
    <w:rsid w:val="00770EA7"/>
    <w:rsid w:val="00771579"/>
    <w:rsid w:val="0077221B"/>
    <w:rsid w:val="0077227F"/>
    <w:rsid w:val="00772737"/>
    <w:rsid w:val="007732C9"/>
    <w:rsid w:val="007738F3"/>
    <w:rsid w:val="007739E8"/>
    <w:rsid w:val="00773D31"/>
    <w:rsid w:val="007742C7"/>
    <w:rsid w:val="00774CB6"/>
    <w:rsid w:val="00774F77"/>
    <w:rsid w:val="0077501D"/>
    <w:rsid w:val="0077507F"/>
    <w:rsid w:val="00775AD4"/>
    <w:rsid w:val="00775D18"/>
    <w:rsid w:val="007765AA"/>
    <w:rsid w:val="00776A13"/>
    <w:rsid w:val="00776A3D"/>
    <w:rsid w:val="00776B05"/>
    <w:rsid w:val="00777323"/>
    <w:rsid w:val="007777B4"/>
    <w:rsid w:val="00777DDC"/>
    <w:rsid w:val="00777E3B"/>
    <w:rsid w:val="00777F63"/>
    <w:rsid w:val="0078042D"/>
    <w:rsid w:val="007805B6"/>
    <w:rsid w:val="0078060F"/>
    <w:rsid w:val="007806FA"/>
    <w:rsid w:val="00780D56"/>
    <w:rsid w:val="0078203C"/>
    <w:rsid w:val="00782072"/>
    <w:rsid w:val="00782475"/>
    <w:rsid w:val="00782488"/>
    <w:rsid w:val="0078296B"/>
    <w:rsid w:val="00782FFC"/>
    <w:rsid w:val="00783675"/>
    <w:rsid w:val="00783CAC"/>
    <w:rsid w:val="0078401F"/>
    <w:rsid w:val="00784197"/>
    <w:rsid w:val="00784623"/>
    <w:rsid w:val="00784F92"/>
    <w:rsid w:val="007850ED"/>
    <w:rsid w:val="0078528D"/>
    <w:rsid w:val="00785890"/>
    <w:rsid w:val="00785985"/>
    <w:rsid w:val="00785E3A"/>
    <w:rsid w:val="00785E49"/>
    <w:rsid w:val="0078620B"/>
    <w:rsid w:val="0078638E"/>
    <w:rsid w:val="007868C5"/>
    <w:rsid w:val="00786A5B"/>
    <w:rsid w:val="00786A8D"/>
    <w:rsid w:val="00786B17"/>
    <w:rsid w:val="00786D4C"/>
    <w:rsid w:val="00786FCD"/>
    <w:rsid w:val="00787030"/>
    <w:rsid w:val="00787122"/>
    <w:rsid w:val="00787244"/>
    <w:rsid w:val="00787338"/>
    <w:rsid w:val="00787463"/>
    <w:rsid w:val="00787C90"/>
    <w:rsid w:val="00787E34"/>
    <w:rsid w:val="0079019A"/>
    <w:rsid w:val="007904FF"/>
    <w:rsid w:val="00790936"/>
    <w:rsid w:val="00790A14"/>
    <w:rsid w:val="00790A1F"/>
    <w:rsid w:val="007910CC"/>
    <w:rsid w:val="00791120"/>
    <w:rsid w:val="0079143F"/>
    <w:rsid w:val="007916BD"/>
    <w:rsid w:val="00791969"/>
    <w:rsid w:val="007919B8"/>
    <w:rsid w:val="00791DE0"/>
    <w:rsid w:val="00792981"/>
    <w:rsid w:val="0079353B"/>
    <w:rsid w:val="0079357B"/>
    <w:rsid w:val="007937A6"/>
    <w:rsid w:val="00793B7A"/>
    <w:rsid w:val="00793C15"/>
    <w:rsid w:val="00793CF0"/>
    <w:rsid w:val="00793DA2"/>
    <w:rsid w:val="0079485F"/>
    <w:rsid w:val="0079595E"/>
    <w:rsid w:val="00795E99"/>
    <w:rsid w:val="007960A4"/>
    <w:rsid w:val="00796497"/>
    <w:rsid w:val="00796947"/>
    <w:rsid w:val="00796989"/>
    <w:rsid w:val="00796A01"/>
    <w:rsid w:val="00796CCF"/>
    <w:rsid w:val="00796E74"/>
    <w:rsid w:val="0079741B"/>
    <w:rsid w:val="0079748A"/>
    <w:rsid w:val="0079756C"/>
    <w:rsid w:val="00797CDF"/>
    <w:rsid w:val="007A01EB"/>
    <w:rsid w:val="007A0735"/>
    <w:rsid w:val="007A0B00"/>
    <w:rsid w:val="007A0C4D"/>
    <w:rsid w:val="007A0C97"/>
    <w:rsid w:val="007A0FB9"/>
    <w:rsid w:val="007A14EA"/>
    <w:rsid w:val="007A17B4"/>
    <w:rsid w:val="007A19B7"/>
    <w:rsid w:val="007A1D1A"/>
    <w:rsid w:val="007A2174"/>
    <w:rsid w:val="007A2E95"/>
    <w:rsid w:val="007A2F8B"/>
    <w:rsid w:val="007A35B8"/>
    <w:rsid w:val="007A35ED"/>
    <w:rsid w:val="007A3DDB"/>
    <w:rsid w:val="007A3ECA"/>
    <w:rsid w:val="007A3ECD"/>
    <w:rsid w:val="007A494D"/>
    <w:rsid w:val="007A4C84"/>
    <w:rsid w:val="007A53B4"/>
    <w:rsid w:val="007A53CB"/>
    <w:rsid w:val="007A56F9"/>
    <w:rsid w:val="007A572F"/>
    <w:rsid w:val="007A5BA6"/>
    <w:rsid w:val="007A6188"/>
    <w:rsid w:val="007A689B"/>
    <w:rsid w:val="007A6B85"/>
    <w:rsid w:val="007A6B95"/>
    <w:rsid w:val="007A7352"/>
    <w:rsid w:val="007A77D0"/>
    <w:rsid w:val="007A7BAE"/>
    <w:rsid w:val="007B0899"/>
    <w:rsid w:val="007B0B06"/>
    <w:rsid w:val="007B0C5E"/>
    <w:rsid w:val="007B11E6"/>
    <w:rsid w:val="007B13AE"/>
    <w:rsid w:val="007B19D8"/>
    <w:rsid w:val="007B1E96"/>
    <w:rsid w:val="007B2436"/>
    <w:rsid w:val="007B2475"/>
    <w:rsid w:val="007B249F"/>
    <w:rsid w:val="007B265D"/>
    <w:rsid w:val="007B26CF"/>
    <w:rsid w:val="007B27F3"/>
    <w:rsid w:val="007B2934"/>
    <w:rsid w:val="007B2ECC"/>
    <w:rsid w:val="007B3DB1"/>
    <w:rsid w:val="007B4420"/>
    <w:rsid w:val="007B4596"/>
    <w:rsid w:val="007B459A"/>
    <w:rsid w:val="007B47DF"/>
    <w:rsid w:val="007B4E1B"/>
    <w:rsid w:val="007B53F1"/>
    <w:rsid w:val="007B555F"/>
    <w:rsid w:val="007B5ADD"/>
    <w:rsid w:val="007B5C1F"/>
    <w:rsid w:val="007B5C95"/>
    <w:rsid w:val="007B5D99"/>
    <w:rsid w:val="007B61AA"/>
    <w:rsid w:val="007B6B4C"/>
    <w:rsid w:val="007B76D6"/>
    <w:rsid w:val="007B78DD"/>
    <w:rsid w:val="007C0169"/>
    <w:rsid w:val="007C07AE"/>
    <w:rsid w:val="007C0A3B"/>
    <w:rsid w:val="007C130C"/>
    <w:rsid w:val="007C149F"/>
    <w:rsid w:val="007C174F"/>
    <w:rsid w:val="007C179B"/>
    <w:rsid w:val="007C17ED"/>
    <w:rsid w:val="007C1CF7"/>
    <w:rsid w:val="007C1DF4"/>
    <w:rsid w:val="007C1F01"/>
    <w:rsid w:val="007C1F81"/>
    <w:rsid w:val="007C212D"/>
    <w:rsid w:val="007C2589"/>
    <w:rsid w:val="007C2604"/>
    <w:rsid w:val="007C2B8B"/>
    <w:rsid w:val="007C341E"/>
    <w:rsid w:val="007C3DD4"/>
    <w:rsid w:val="007C42F3"/>
    <w:rsid w:val="007C4DD0"/>
    <w:rsid w:val="007C4DF8"/>
    <w:rsid w:val="007C5394"/>
    <w:rsid w:val="007C5AAE"/>
    <w:rsid w:val="007C6BB9"/>
    <w:rsid w:val="007C7611"/>
    <w:rsid w:val="007C7A40"/>
    <w:rsid w:val="007C7CCC"/>
    <w:rsid w:val="007C7D27"/>
    <w:rsid w:val="007C7DA8"/>
    <w:rsid w:val="007C7F7A"/>
    <w:rsid w:val="007D05F1"/>
    <w:rsid w:val="007D0CC8"/>
    <w:rsid w:val="007D1098"/>
    <w:rsid w:val="007D10DD"/>
    <w:rsid w:val="007D1633"/>
    <w:rsid w:val="007D1B60"/>
    <w:rsid w:val="007D25B1"/>
    <w:rsid w:val="007D29E3"/>
    <w:rsid w:val="007D2B60"/>
    <w:rsid w:val="007D2DC9"/>
    <w:rsid w:val="007D2E6D"/>
    <w:rsid w:val="007D2EE8"/>
    <w:rsid w:val="007D2F0D"/>
    <w:rsid w:val="007D3004"/>
    <w:rsid w:val="007D32D8"/>
    <w:rsid w:val="007D346B"/>
    <w:rsid w:val="007D34D4"/>
    <w:rsid w:val="007D3572"/>
    <w:rsid w:val="007D3701"/>
    <w:rsid w:val="007D3C30"/>
    <w:rsid w:val="007D41A8"/>
    <w:rsid w:val="007D41F0"/>
    <w:rsid w:val="007D4205"/>
    <w:rsid w:val="007D45BA"/>
    <w:rsid w:val="007D476E"/>
    <w:rsid w:val="007D4BF0"/>
    <w:rsid w:val="007D5501"/>
    <w:rsid w:val="007D5DCC"/>
    <w:rsid w:val="007D6223"/>
    <w:rsid w:val="007D64B7"/>
    <w:rsid w:val="007D67E1"/>
    <w:rsid w:val="007D6814"/>
    <w:rsid w:val="007D7D80"/>
    <w:rsid w:val="007D7EEA"/>
    <w:rsid w:val="007D7F23"/>
    <w:rsid w:val="007D7F77"/>
    <w:rsid w:val="007E0011"/>
    <w:rsid w:val="007E004A"/>
    <w:rsid w:val="007E00CC"/>
    <w:rsid w:val="007E039E"/>
    <w:rsid w:val="007E073D"/>
    <w:rsid w:val="007E0BAD"/>
    <w:rsid w:val="007E1014"/>
    <w:rsid w:val="007E15E5"/>
    <w:rsid w:val="007E177E"/>
    <w:rsid w:val="007E1C72"/>
    <w:rsid w:val="007E1E3A"/>
    <w:rsid w:val="007E1E7B"/>
    <w:rsid w:val="007E1FF2"/>
    <w:rsid w:val="007E2036"/>
    <w:rsid w:val="007E2329"/>
    <w:rsid w:val="007E2530"/>
    <w:rsid w:val="007E260F"/>
    <w:rsid w:val="007E273F"/>
    <w:rsid w:val="007E2FEF"/>
    <w:rsid w:val="007E33B4"/>
    <w:rsid w:val="007E35CB"/>
    <w:rsid w:val="007E40DD"/>
    <w:rsid w:val="007E4714"/>
    <w:rsid w:val="007E47D7"/>
    <w:rsid w:val="007E4B05"/>
    <w:rsid w:val="007E4B9B"/>
    <w:rsid w:val="007E4C46"/>
    <w:rsid w:val="007E537B"/>
    <w:rsid w:val="007E57F5"/>
    <w:rsid w:val="007E5A7A"/>
    <w:rsid w:val="007E5C8F"/>
    <w:rsid w:val="007E6203"/>
    <w:rsid w:val="007E69AB"/>
    <w:rsid w:val="007E6E26"/>
    <w:rsid w:val="007E70FB"/>
    <w:rsid w:val="007E74ED"/>
    <w:rsid w:val="007E752E"/>
    <w:rsid w:val="007E7B35"/>
    <w:rsid w:val="007E7CBF"/>
    <w:rsid w:val="007E7E5D"/>
    <w:rsid w:val="007E7F29"/>
    <w:rsid w:val="007F05A3"/>
    <w:rsid w:val="007F0842"/>
    <w:rsid w:val="007F08DF"/>
    <w:rsid w:val="007F0B47"/>
    <w:rsid w:val="007F0C83"/>
    <w:rsid w:val="007F0F22"/>
    <w:rsid w:val="007F110D"/>
    <w:rsid w:val="007F16A8"/>
    <w:rsid w:val="007F1D34"/>
    <w:rsid w:val="007F2811"/>
    <w:rsid w:val="007F29F6"/>
    <w:rsid w:val="007F31EE"/>
    <w:rsid w:val="007F3384"/>
    <w:rsid w:val="007F38B1"/>
    <w:rsid w:val="007F3C13"/>
    <w:rsid w:val="007F417C"/>
    <w:rsid w:val="007F57A0"/>
    <w:rsid w:val="007F60AE"/>
    <w:rsid w:val="007F6149"/>
    <w:rsid w:val="007F618C"/>
    <w:rsid w:val="007F61B8"/>
    <w:rsid w:val="007F649C"/>
    <w:rsid w:val="007F688D"/>
    <w:rsid w:val="007F6EAD"/>
    <w:rsid w:val="007F77C8"/>
    <w:rsid w:val="007F7C3B"/>
    <w:rsid w:val="008001FF"/>
    <w:rsid w:val="008008C5"/>
    <w:rsid w:val="00800DE5"/>
    <w:rsid w:val="008010BA"/>
    <w:rsid w:val="0080131A"/>
    <w:rsid w:val="0080221E"/>
    <w:rsid w:val="00802325"/>
    <w:rsid w:val="008029BE"/>
    <w:rsid w:val="008029D3"/>
    <w:rsid w:val="00802C36"/>
    <w:rsid w:val="00802F83"/>
    <w:rsid w:val="00803B95"/>
    <w:rsid w:val="00803D1D"/>
    <w:rsid w:val="00804022"/>
    <w:rsid w:val="008040D9"/>
    <w:rsid w:val="0080426D"/>
    <w:rsid w:val="00804297"/>
    <w:rsid w:val="0080510F"/>
    <w:rsid w:val="008057AB"/>
    <w:rsid w:val="00805C72"/>
    <w:rsid w:val="00805E59"/>
    <w:rsid w:val="00805F46"/>
    <w:rsid w:val="00806073"/>
    <w:rsid w:val="00806436"/>
    <w:rsid w:val="008064BC"/>
    <w:rsid w:val="00806AEC"/>
    <w:rsid w:val="00806B5B"/>
    <w:rsid w:val="00806C2D"/>
    <w:rsid w:val="00806E6B"/>
    <w:rsid w:val="00806EB4"/>
    <w:rsid w:val="00806F44"/>
    <w:rsid w:val="008071AB"/>
    <w:rsid w:val="0080738F"/>
    <w:rsid w:val="008073A0"/>
    <w:rsid w:val="00807512"/>
    <w:rsid w:val="00807600"/>
    <w:rsid w:val="00807790"/>
    <w:rsid w:val="00807829"/>
    <w:rsid w:val="00807954"/>
    <w:rsid w:val="00807C45"/>
    <w:rsid w:val="00807F9B"/>
    <w:rsid w:val="00810636"/>
    <w:rsid w:val="008108AE"/>
    <w:rsid w:val="008109E7"/>
    <w:rsid w:val="008112A2"/>
    <w:rsid w:val="008117FC"/>
    <w:rsid w:val="008120C8"/>
    <w:rsid w:val="00812495"/>
    <w:rsid w:val="00812E7D"/>
    <w:rsid w:val="00812E83"/>
    <w:rsid w:val="0081341D"/>
    <w:rsid w:val="00813F81"/>
    <w:rsid w:val="0081465E"/>
    <w:rsid w:val="00814765"/>
    <w:rsid w:val="00815841"/>
    <w:rsid w:val="00815959"/>
    <w:rsid w:val="00815B31"/>
    <w:rsid w:val="00815DBC"/>
    <w:rsid w:val="008169FE"/>
    <w:rsid w:val="00816B38"/>
    <w:rsid w:val="00816C23"/>
    <w:rsid w:val="00816C30"/>
    <w:rsid w:val="00816DF4"/>
    <w:rsid w:val="00816E85"/>
    <w:rsid w:val="00816F1C"/>
    <w:rsid w:val="008171B4"/>
    <w:rsid w:val="00817274"/>
    <w:rsid w:val="008175AA"/>
    <w:rsid w:val="00817748"/>
    <w:rsid w:val="00817FD1"/>
    <w:rsid w:val="00820144"/>
    <w:rsid w:val="00820231"/>
    <w:rsid w:val="0082078F"/>
    <w:rsid w:val="00820DF8"/>
    <w:rsid w:val="008210EB"/>
    <w:rsid w:val="008212AB"/>
    <w:rsid w:val="008212C7"/>
    <w:rsid w:val="0082139D"/>
    <w:rsid w:val="008215D0"/>
    <w:rsid w:val="008217E0"/>
    <w:rsid w:val="00821855"/>
    <w:rsid w:val="008223E7"/>
    <w:rsid w:val="0082272E"/>
    <w:rsid w:val="008228F1"/>
    <w:rsid w:val="0082296E"/>
    <w:rsid w:val="00822A17"/>
    <w:rsid w:val="00822D90"/>
    <w:rsid w:val="00823428"/>
    <w:rsid w:val="0082374E"/>
    <w:rsid w:val="00823A6E"/>
    <w:rsid w:val="00823CDA"/>
    <w:rsid w:val="00823DA7"/>
    <w:rsid w:val="00823E8F"/>
    <w:rsid w:val="00823EE0"/>
    <w:rsid w:val="0082426B"/>
    <w:rsid w:val="00824976"/>
    <w:rsid w:val="008257A8"/>
    <w:rsid w:val="008257B1"/>
    <w:rsid w:val="008258B2"/>
    <w:rsid w:val="00825C62"/>
    <w:rsid w:val="00825FF5"/>
    <w:rsid w:val="00826D20"/>
    <w:rsid w:val="00826F4E"/>
    <w:rsid w:val="00826F53"/>
    <w:rsid w:val="00826F86"/>
    <w:rsid w:val="00827050"/>
    <w:rsid w:val="008272C5"/>
    <w:rsid w:val="00827B4F"/>
    <w:rsid w:val="00827E8A"/>
    <w:rsid w:val="00830918"/>
    <w:rsid w:val="00830B6D"/>
    <w:rsid w:val="008311FB"/>
    <w:rsid w:val="00831724"/>
    <w:rsid w:val="008317FA"/>
    <w:rsid w:val="00831A0F"/>
    <w:rsid w:val="00831C5E"/>
    <w:rsid w:val="00831DC1"/>
    <w:rsid w:val="00832DFE"/>
    <w:rsid w:val="00832E4E"/>
    <w:rsid w:val="00832E7C"/>
    <w:rsid w:val="0083305F"/>
    <w:rsid w:val="00833220"/>
    <w:rsid w:val="008335CF"/>
    <w:rsid w:val="00833678"/>
    <w:rsid w:val="00833C61"/>
    <w:rsid w:val="00833CAB"/>
    <w:rsid w:val="00834106"/>
    <w:rsid w:val="00834B7C"/>
    <w:rsid w:val="00834CFA"/>
    <w:rsid w:val="00835104"/>
    <w:rsid w:val="008357A1"/>
    <w:rsid w:val="00835BEB"/>
    <w:rsid w:val="00835FB8"/>
    <w:rsid w:val="00835FC1"/>
    <w:rsid w:val="00836037"/>
    <w:rsid w:val="00836145"/>
    <w:rsid w:val="00836181"/>
    <w:rsid w:val="00836C0D"/>
    <w:rsid w:val="008377C9"/>
    <w:rsid w:val="008377FE"/>
    <w:rsid w:val="00837AD2"/>
    <w:rsid w:val="00840150"/>
    <w:rsid w:val="00840314"/>
    <w:rsid w:val="00840460"/>
    <w:rsid w:val="008404DF"/>
    <w:rsid w:val="008404F9"/>
    <w:rsid w:val="00840815"/>
    <w:rsid w:val="008408C1"/>
    <w:rsid w:val="00840B15"/>
    <w:rsid w:val="00841117"/>
    <w:rsid w:val="0084126C"/>
    <w:rsid w:val="0084133B"/>
    <w:rsid w:val="008413D6"/>
    <w:rsid w:val="008414F6"/>
    <w:rsid w:val="00841C51"/>
    <w:rsid w:val="00841D28"/>
    <w:rsid w:val="0084227A"/>
    <w:rsid w:val="00842921"/>
    <w:rsid w:val="00842F55"/>
    <w:rsid w:val="00843014"/>
    <w:rsid w:val="00843210"/>
    <w:rsid w:val="0084325F"/>
    <w:rsid w:val="008433C4"/>
    <w:rsid w:val="00843737"/>
    <w:rsid w:val="00843764"/>
    <w:rsid w:val="00843A62"/>
    <w:rsid w:val="00843F4D"/>
    <w:rsid w:val="00844457"/>
    <w:rsid w:val="00844662"/>
    <w:rsid w:val="00844DCE"/>
    <w:rsid w:val="00845241"/>
    <w:rsid w:val="0084560A"/>
    <w:rsid w:val="00845AB3"/>
    <w:rsid w:val="00845B05"/>
    <w:rsid w:val="00845FF0"/>
    <w:rsid w:val="0084705D"/>
    <w:rsid w:val="00847119"/>
    <w:rsid w:val="0084737D"/>
    <w:rsid w:val="0084763A"/>
    <w:rsid w:val="00847A0C"/>
    <w:rsid w:val="00847AFB"/>
    <w:rsid w:val="008503AA"/>
    <w:rsid w:val="00850A45"/>
    <w:rsid w:val="00850FA3"/>
    <w:rsid w:val="00851079"/>
    <w:rsid w:val="00851333"/>
    <w:rsid w:val="0085158E"/>
    <w:rsid w:val="0085182D"/>
    <w:rsid w:val="00851B81"/>
    <w:rsid w:val="00851BD5"/>
    <w:rsid w:val="00851DCB"/>
    <w:rsid w:val="0085234E"/>
    <w:rsid w:val="00852527"/>
    <w:rsid w:val="00852558"/>
    <w:rsid w:val="0085282D"/>
    <w:rsid w:val="00852881"/>
    <w:rsid w:val="00852BC3"/>
    <w:rsid w:val="008531C0"/>
    <w:rsid w:val="00853618"/>
    <w:rsid w:val="0085369F"/>
    <w:rsid w:val="00853E7B"/>
    <w:rsid w:val="008542E4"/>
    <w:rsid w:val="0085476D"/>
    <w:rsid w:val="00854775"/>
    <w:rsid w:val="0085486B"/>
    <w:rsid w:val="00854B9F"/>
    <w:rsid w:val="00854CA3"/>
    <w:rsid w:val="00854DBD"/>
    <w:rsid w:val="00854DE6"/>
    <w:rsid w:val="00854E3D"/>
    <w:rsid w:val="00854FEA"/>
    <w:rsid w:val="0085577D"/>
    <w:rsid w:val="00855901"/>
    <w:rsid w:val="00855BD7"/>
    <w:rsid w:val="008561F9"/>
    <w:rsid w:val="008565AF"/>
    <w:rsid w:val="00856C57"/>
    <w:rsid w:val="00856D01"/>
    <w:rsid w:val="00856E94"/>
    <w:rsid w:val="00856EB2"/>
    <w:rsid w:val="0085716C"/>
    <w:rsid w:val="0085716E"/>
    <w:rsid w:val="00857E65"/>
    <w:rsid w:val="008601C5"/>
    <w:rsid w:val="008603AE"/>
    <w:rsid w:val="00860839"/>
    <w:rsid w:val="008619C5"/>
    <w:rsid w:val="00861DFE"/>
    <w:rsid w:val="008620F3"/>
    <w:rsid w:val="0086221E"/>
    <w:rsid w:val="00862483"/>
    <w:rsid w:val="008625B9"/>
    <w:rsid w:val="00862787"/>
    <w:rsid w:val="00862994"/>
    <w:rsid w:val="00862C48"/>
    <w:rsid w:val="00862E61"/>
    <w:rsid w:val="0086300A"/>
    <w:rsid w:val="008631BE"/>
    <w:rsid w:val="00863DA9"/>
    <w:rsid w:val="00863F9A"/>
    <w:rsid w:val="0086406A"/>
    <w:rsid w:val="008640AA"/>
    <w:rsid w:val="00864126"/>
    <w:rsid w:val="00864508"/>
    <w:rsid w:val="008647CD"/>
    <w:rsid w:val="00864C5E"/>
    <w:rsid w:val="00865CB6"/>
    <w:rsid w:val="00865F66"/>
    <w:rsid w:val="00865FD1"/>
    <w:rsid w:val="008663B1"/>
    <w:rsid w:val="00866A83"/>
    <w:rsid w:val="00866CCF"/>
    <w:rsid w:val="00866CDE"/>
    <w:rsid w:val="00867518"/>
    <w:rsid w:val="00867687"/>
    <w:rsid w:val="00867932"/>
    <w:rsid w:val="008700AA"/>
    <w:rsid w:val="008704E4"/>
    <w:rsid w:val="00870875"/>
    <w:rsid w:val="00870E16"/>
    <w:rsid w:val="0087114A"/>
    <w:rsid w:val="00871487"/>
    <w:rsid w:val="008716B7"/>
    <w:rsid w:val="008719EB"/>
    <w:rsid w:val="00872A58"/>
    <w:rsid w:val="00872CDE"/>
    <w:rsid w:val="00872E29"/>
    <w:rsid w:val="00873860"/>
    <w:rsid w:val="00873D64"/>
    <w:rsid w:val="00873D70"/>
    <w:rsid w:val="00873D87"/>
    <w:rsid w:val="008749F0"/>
    <w:rsid w:val="0087512A"/>
    <w:rsid w:val="00875143"/>
    <w:rsid w:val="0087537C"/>
    <w:rsid w:val="00875643"/>
    <w:rsid w:val="008757BE"/>
    <w:rsid w:val="00875A91"/>
    <w:rsid w:val="00876062"/>
    <w:rsid w:val="00876140"/>
    <w:rsid w:val="008762B7"/>
    <w:rsid w:val="00877D8C"/>
    <w:rsid w:val="0088015C"/>
    <w:rsid w:val="00880313"/>
    <w:rsid w:val="0088040E"/>
    <w:rsid w:val="00880650"/>
    <w:rsid w:val="00880790"/>
    <w:rsid w:val="00880BFE"/>
    <w:rsid w:val="00880D0A"/>
    <w:rsid w:val="00880DE8"/>
    <w:rsid w:val="00881195"/>
    <w:rsid w:val="00881281"/>
    <w:rsid w:val="00881408"/>
    <w:rsid w:val="008814AC"/>
    <w:rsid w:val="008816D8"/>
    <w:rsid w:val="008816FC"/>
    <w:rsid w:val="008817B4"/>
    <w:rsid w:val="00881FAF"/>
    <w:rsid w:val="00882021"/>
    <w:rsid w:val="0088218B"/>
    <w:rsid w:val="0088249F"/>
    <w:rsid w:val="008833E9"/>
    <w:rsid w:val="00883509"/>
    <w:rsid w:val="00883585"/>
    <w:rsid w:val="00883D94"/>
    <w:rsid w:val="00884320"/>
    <w:rsid w:val="00884792"/>
    <w:rsid w:val="008856E3"/>
    <w:rsid w:val="00885A97"/>
    <w:rsid w:val="00885B10"/>
    <w:rsid w:val="00885DB2"/>
    <w:rsid w:val="008865BA"/>
    <w:rsid w:val="008867D1"/>
    <w:rsid w:val="00886979"/>
    <w:rsid w:val="00887251"/>
    <w:rsid w:val="00887AD9"/>
    <w:rsid w:val="00887BCA"/>
    <w:rsid w:val="00887C33"/>
    <w:rsid w:val="00887EBB"/>
    <w:rsid w:val="00887F39"/>
    <w:rsid w:val="00890466"/>
    <w:rsid w:val="008906F7"/>
    <w:rsid w:val="008907A1"/>
    <w:rsid w:val="00890BD7"/>
    <w:rsid w:val="00890D4B"/>
    <w:rsid w:val="00890E25"/>
    <w:rsid w:val="00891010"/>
    <w:rsid w:val="00891017"/>
    <w:rsid w:val="00891A6E"/>
    <w:rsid w:val="00891B8A"/>
    <w:rsid w:val="00891E63"/>
    <w:rsid w:val="0089290F"/>
    <w:rsid w:val="00892BE2"/>
    <w:rsid w:val="0089302E"/>
    <w:rsid w:val="00893587"/>
    <w:rsid w:val="008935F7"/>
    <w:rsid w:val="008936F9"/>
    <w:rsid w:val="008937AA"/>
    <w:rsid w:val="00893AB4"/>
    <w:rsid w:val="00893BEA"/>
    <w:rsid w:val="00893CDA"/>
    <w:rsid w:val="008941B7"/>
    <w:rsid w:val="00894254"/>
    <w:rsid w:val="00894AA7"/>
    <w:rsid w:val="008951FB"/>
    <w:rsid w:val="008957C8"/>
    <w:rsid w:val="00896591"/>
    <w:rsid w:val="0089665E"/>
    <w:rsid w:val="008967C9"/>
    <w:rsid w:val="008968EB"/>
    <w:rsid w:val="00896C9E"/>
    <w:rsid w:val="00896E63"/>
    <w:rsid w:val="00897591"/>
    <w:rsid w:val="00897689"/>
    <w:rsid w:val="0089773A"/>
    <w:rsid w:val="00897C77"/>
    <w:rsid w:val="00897DDD"/>
    <w:rsid w:val="00897E46"/>
    <w:rsid w:val="00897FEE"/>
    <w:rsid w:val="008A0904"/>
    <w:rsid w:val="008A0B94"/>
    <w:rsid w:val="008A0DD0"/>
    <w:rsid w:val="008A130F"/>
    <w:rsid w:val="008A1396"/>
    <w:rsid w:val="008A1B4C"/>
    <w:rsid w:val="008A20C6"/>
    <w:rsid w:val="008A25A3"/>
    <w:rsid w:val="008A2FFC"/>
    <w:rsid w:val="008A32D1"/>
    <w:rsid w:val="008A3884"/>
    <w:rsid w:val="008A398B"/>
    <w:rsid w:val="008A399D"/>
    <w:rsid w:val="008A3A56"/>
    <w:rsid w:val="008A3A7A"/>
    <w:rsid w:val="008A405E"/>
    <w:rsid w:val="008A4174"/>
    <w:rsid w:val="008A4422"/>
    <w:rsid w:val="008A4DD1"/>
    <w:rsid w:val="008A500B"/>
    <w:rsid w:val="008A51A2"/>
    <w:rsid w:val="008A51C6"/>
    <w:rsid w:val="008A51D2"/>
    <w:rsid w:val="008A530E"/>
    <w:rsid w:val="008A5318"/>
    <w:rsid w:val="008A5809"/>
    <w:rsid w:val="008A6D68"/>
    <w:rsid w:val="008A70EC"/>
    <w:rsid w:val="008A7489"/>
    <w:rsid w:val="008A75AD"/>
    <w:rsid w:val="008A79D6"/>
    <w:rsid w:val="008A7CDD"/>
    <w:rsid w:val="008B0122"/>
    <w:rsid w:val="008B07DA"/>
    <w:rsid w:val="008B0868"/>
    <w:rsid w:val="008B1102"/>
    <w:rsid w:val="008B162D"/>
    <w:rsid w:val="008B1728"/>
    <w:rsid w:val="008B2403"/>
    <w:rsid w:val="008B242C"/>
    <w:rsid w:val="008B28EE"/>
    <w:rsid w:val="008B2EB2"/>
    <w:rsid w:val="008B3220"/>
    <w:rsid w:val="008B324B"/>
    <w:rsid w:val="008B3673"/>
    <w:rsid w:val="008B3B43"/>
    <w:rsid w:val="008B3F42"/>
    <w:rsid w:val="008B41DD"/>
    <w:rsid w:val="008B449F"/>
    <w:rsid w:val="008B4505"/>
    <w:rsid w:val="008B4858"/>
    <w:rsid w:val="008B4AA0"/>
    <w:rsid w:val="008B4BF0"/>
    <w:rsid w:val="008B4E82"/>
    <w:rsid w:val="008B50D2"/>
    <w:rsid w:val="008B54FC"/>
    <w:rsid w:val="008B63F9"/>
    <w:rsid w:val="008B64E4"/>
    <w:rsid w:val="008B65BA"/>
    <w:rsid w:val="008B6674"/>
    <w:rsid w:val="008B66E6"/>
    <w:rsid w:val="008B69D3"/>
    <w:rsid w:val="008B76A5"/>
    <w:rsid w:val="008B774F"/>
    <w:rsid w:val="008B7816"/>
    <w:rsid w:val="008B7AF1"/>
    <w:rsid w:val="008B7FB2"/>
    <w:rsid w:val="008C02DF"/>
    <w:rsid w:val="008C033B"/>
    <w:rsid w:val="008C07C4"/>
    <w:rsid w:val="008C086D"/>
    <w:rsid w:val="008C0975"/>
    <w:rsid w:val="008C0A6F"/>
    <w:rsid w:val="008C1799"/>
    <w:rsid w:val="008C21B7"/>
    <w:rsid w:val="008C2967"/>
    <w:rsid w:val="008C2C26"/>
    <w:rsid w:val="008C3DC4"/>
    <w:rsid w:val="008C3EB9"/>
    <w:rsid w:val="008C4C07"/>
    <w:rsid w:val="008C4E1A"/>
    <w:rsid w:val="008C5250"/>
    <w:rsid w:val="008C5367"/>
    <w:rsid w:val="008C55F6"/>
    <w:rsid w:val="008C5E38"/>
    <w:rsid w:val="008C63A6"/>
    <w:rsid w:val="008C65CC"/>
    <w:rsid w:val="008C6606"/>
    <w:rsid w:val="008C6767"/>
    <w:rsid w:val="008C6954"/>
    <w:rsid w:val="008C69E1"/>
    <w:rsid w:val="008C6A3D"/>
    <w:rsid w:val="008C72FC"/>
    <w:rsid w:val="008C7850"/>
    <w:rsid w:val="008C7947"/>
    <w:rsid w:val="008C79F8"/>
    <w:rsid w:val="008D05ED"/>
    <w:rsid w:val="008D0F5D"/>
    <w:rsid w:val="008D103E"/>
    <w:rsid w:val="008D1310"/>
    <w:rsid w:val="008D139A"/>
    <w:rsid w:val="008D1EE4"/>
    <w:rsid w:val="008D24EC"/>
    <w:rsid w:val="008D2A74"/>
    <w:rsid w:val="008D2E7F"/>
    <w:rsid w:val="008D347A"/>
    <w:rsid w:val="008D38A1"/>
    <w:rsid w:val="008D3B5D"/>
    <w:rsid w:val="008D3C22"/>
    <w:rsid w:val="008D5E2E"/>
    <w:rsid w:val="008D5E56"/>
    <w:rsid w:val="008D615E"/>
    <w:rsid w:val="008D640F"/>
    <w:rsid w:val="008D666E"/>
    <w:rsid w:val="008D6808"/>
    <w:rsid w:val="008D6FE0"/>
    <w:rsid w:val="008D725F"/>
    <w:rsid w:val="008D7375"/>
    <w:rsid w:val="008D7432"/>
    <w:rsid w:val="008D7602"/>
    <w:rsid w:val="008D7A2D"/>
    <w:rsid w:val="008D7A92"/>
    <w:rsid w:val="008D7D6F"/>
    <w:rsid w:val="008E00CD"/>
    <w:rsid w:val="008E0319"/>
    <w:rsid w:val="008E1219"/>
    <w:rsid w:val="008E1C34"/>
    <w:rsid w:val="008E1D22"/>
    <w:rsid w:val="008E2154"/>
    <w:rsid w:val="008E21F5"/>
    <w:rsid w:val="008E234A"/>
    <w:rsid w:val="008E2A93"/>
    <w:rsid w:val="008E36EC"/>
    <w:rsid w:val="008E3A6A"/>
    <w:rsid w:val="008E3F60"/>
    <w:rsid w:val="008E4678"/>
    <w:rsid w:val="008E4FCF"/>
    <w:rsid w:val="008E536B"/>
    <w:rsid w:val="008E5CE3"/>
    <w:rsid w:val="008E63A3"/>
    <w:rsid w:val="008E6CE3"/>
    <w:rsid w:val="008E706E"/>
    <w:rsid w:val="008E7C67"/>
    <w:rsid w:val="008E7D6B"/>
    <w:rsid w:val="008F0C05"/>
    <w:rsid w:val="008F0C1E"/>
    <w:rsid w:val="008F10C0"/>
    <w:rsid w:val="008F1194"/>
    <w:rsid w:val="008F189E"/>
    <w:rsid w:val="008F1A33"/>
    <w:rsid w:val="008F1C46"/>
    <w:rsid w:val="008F2378"/>
    <w:rsid w:val="008F23C9"/>
    <w:rsid w:val="008F270F"/>
    <w:rsid w:val="008F273A"/>
    <w:rsid w:val="008F2824"/>
    <w:rsid w:val="008F2C0D"/>
    <w:rsid w:val="008F303B"/>
    <w:rsid w:val="008F30E0"/>
    <w:rsid w:val="008F31C6"/>
    <w:rsid w:val="008F3253"/>
    <w:rsid w:val="008F393F"/>
    <w:rsid w:val="008F434C"/>
    <w:rsid w:val="008F4470"/>
    <w:rsid w:val="008F49D8"/>
    <w:rsid w:val="008F5FA6"/>
    <w:rsid w:val="008F628F"/>
    <w:rsid w:val="008F642E"/>
    <w:rsid w:val="008F64BD"/>
    <w:rsid w:val="008F72D0"/>
    <w:rsid w:val="008F76EE"/>
    <w:rsid w:val="008F77D9"/>
    <w:rsid w:val="008F785B"/>
    <w:rsid w:val="008F788E"/>
    <w:rsid w:val="008F7A9C"/>
    <w:rsid w:val="008F7D37"/>
    <w:rsid w:val="00900135"/>
    <w:rsid w:val="0090016F"/>
    <w:rsid w:val="009002FD"/>
    <w:rsid w:val="00900503"/>
    <w:rsid w:val="00900869"/>
    <w:rsid w:val="00900A9A"/>
    <w:rsid w:val="00900ADB"/>
    <w:rsid w:val="00900BC9"/>
    <w:rsid w:val="00900D9C"/>
    <w:rsid w:val="00901295"/>
    <w:rsid w:val="009017A5"/>
    <w:rsid w:val="009017AF"/>
    <w:rsid w:val="0090239F"/>
    <w:rsid w:val="00902B05"/>
    <w:rsid w:val="00902B91"/>
    <w:rsid w:val="00902F54"/>
    <w:rsid w:val="009032C3"/>
    <w:rsid w:val="009037AB"/>
    <w:rsid w:val="0090395A"/>
    <w:rsid w:val="00903A71"/>
    <w:rsid w:val="00904617"/>
    <w:rsid w:val="0090467A"/>
    <w:rsid w:val="00904689"/>
    <w:rsid w:val="009049C5"/>
    <w:rsid w:val="00904C05"/>
    <w:rsid w:val="00904EC6"/>
    <w:rsid w:val="00905099"/>
    <w:rsid w:val="009052FB"/>
    <w:rsid w:val="009059CD"/>
    <w:rsid w:val="00905C07"/>
    <w:rsid w:val="009064A2"/>
    <w:rsid w:val="009066D5"/>
    <w:rsid w:val="009066EF"/>
    <w:rsid w:val="00906E8A"/>
    <w:rsid w:val="00907509"/>
    <w:rsid w:val="009077BA"/>
    <w:rsid w:val="00907946"/>
    <w:rsid w:val="00907CC8"/>
    <w:rsid w:val="00907E1F"/>
    <w:rsid w:val="00910120"/>
    <w:rsid w:val="009105D2"/>
    <w:rsid w:val="00910939"/>
    <w:rsid w:val="00910C2D"/>
    <w:rsid w:val="00910ECA"/>
    <w:rsid w:val="009110AA"/>
    <w:rsid w:val="009118B1"/>
    <w:rsid w:val="00911D2B"/>
    <w:rsid w:val="009120C6"/>
    <w:rsid w:val="00912318"/>
    <w:rsid w:val="00912452"/>
    <w:rsid w:val="0091299A"/>
    <w:rsid w:val="00912ABA"/>
    <w:rsid w:val="0091320D"/>
    <w:rsid w:val="00913359"/>
    <w:rsid w:val="00913E02"/>
    <w:rsid w:val="00913ED9"/>
    <w:rsid w:val="009141BA"/>
    <w:rsid w:val="0091446E"/>
    <w:rsid w:val="00914764"/>
    <w:rsid w:val="0091479B"/>
    <w:rsid w:val="009149D3"/>
    <w:rsid w:val="00914B32"/>
    <w:rsid w:val="00914CBC"/>
    <w:rsid w:val="009151D7"/>
    <w:rsid w:val="0091539C"/>
    <w:rsid w:val="00915A45"/>
    <w:rsid w:val="00915C4B"/>
    <w:rsid w:val="00915DC3"/>
    <w:rsid w:val="0091685A"/>
    <w:rsid w:val="009168BD"/>
    <w:rsid w:val="009169BF"/>
    <w:rsid w:val="0091706C"/>
    <w:rsid w:val="009172F5"/>
    <w:rsid w:val="009174F8"/>
    <w:rsid w:val="009177E5"/>
    <w:rsid w:val="00917822"/>
    <w:rsid w:val="00917911"/>
    <w:rsid w:val="00917989"/>
    <w:rsid w:val="00917B9B"/>
    <w:rsid w:val="00917CE5"/>
    <w:rsid w:val="00917CF2"/>
    <w:rsid w:val="00920A74"/>
    <w:rsid w:val="00921DB5"/>
    <w:rsid w:val="00921E54"/>
    <w:rsid w:val="0092239E"/>
    <w:rsid w:val="009225B9"/>
    <w:rsid w:val="0092263E"/>
    <w:rsid w:val="00922795"/>
    <w:rsid w:val="00922FF7"/>
    <w:rsid w:val="009238C0"/>
    <w:rsid w:val="00923E05"/>
    <w:rsid w:val="00924364"/>
    <w:rsid w:val="00924D99"/>
    <w:rsid w:val="009251D1"/>
    <w:rsid w:val="00925A5D"/>
    <w:rsid w:val="00925E3A"/>
    <w:rsid w:val="00925EE3"/>
    <w:rsid w:val="00925F9F"/>
    <w:rsid w:val="009264A6"/>
    <w:rsid w:val="009265B4"/>
    <w:rsid w:val="0092676E"/>
    <w:rsid w:val="00927173"/>
    <w:rsid w:val="0092759F"/>
    <w:rsid w:val="0092796F"/>
    <w:rsid w:val="00927B56"/>
    <w:rsid w:val="00930585"/>
    <w:rsid w:val="009305C1"/>
    <w:rsid w:val="00930AF1"/>
    <w:rsid w:val="00930B61"/>
    <w:rsid w:val="00930FDB"/>
    <w:rsid w:val="0093110A"/>
    <w:rsid w:val="00931592"/>
    <w:rsid w:val="009317F7"/>
    <w:rsid w:val="00931997"/>
    <w:rsid w:val="00931F5D"/>
    <w:rsid w:val="0093263D"/>
    <w:rsid w:val="00932847"/>
    <w:rsid w:val="009328FC"/>
    <w:rsid w:val="0093384E"/>
    <w:rsid w:val="009338F9"/>
    <w:rsid w:val="00933AEC"/>
    <w:rsid w:val="00933D7D"/>
    <w:rsid w:val="00933DD2"/>
    <w:rsid w:val="00933E0D"/>
    <w:rsid w:val="0093454B"/>
    <w:rsid w:val="009348BB"/>
    <w:rsid w:val="00936095"/>
    <w:rsid w:val="009360C5"/>
    <w:rsid w:val="009366D7"/>
    <w:rsid w:val="00936867"/>
    <w:rsid w:val="009368CE"/>
    <w:rsid w:val="00936C37"/>
    <w:rsid w:val="009372F1"/>
    <w:rsid w:val="00937986"/>
    <w:rsid w:val="00937A00"/>
    <w:rsid w:val="00940993"/>
    <w:rsid w:val="00940B9D"/>
    <w:rsid w:val="00940EF8"/>
    <w:rsid w:val="009413C8"/>
    <w:rsid w:val="009418A5"/>
    <w:rsid w:val="009419EB"/>
    <w:rsid w:val="0094200A"/>
    <w:rsid w:val="009421A2"/>
    <w:rsid w:val="009433DC"/>
    <w:rsid w:val="009437AF"/>
    <w:rsid w:val="0094381E"/>
    <w:rsid w:val="00943B2F"/>
    <w:rsid w:val="00943BCB"/>
    <w:rsid w:val="00943D92"/>
    <w:rsid w:val="00943DA7"/>
    <w:rsid w:val="00944150"/>
    <w:rsid w:val="0094420F"/>
    <w:rsid w:val="00944341"/>
    <w:rsid w:val="00944372"/>
    <w:rsid w:val="009443A1"/>
    <w:rsid w:val="00944443"/>
    <w:rsid w:val="0094479D"/>
    <w:rsid w:val="00944B18"/>
    <w:rsid w:val="0094501C"/>
    <w:rsid w:val="009455EC"/>
    <w:rsid w:val="00945726"/>
    <w:rsid w:val="00945744"/>
    <w:rsid w:val="0094625F"/>
    <w:rsid w:val="0094698C"/>
    <w:rsid w:val="00946E46"/>
    <w:rsid w:val="00946EA8"/>
    <w:rsid w:val="00947160"/>
    <w:rsid w:val="00947256"/>
    <w:rsid w:val="009473B7"/>
    <w:rsid w:val="009475EA"/>
    <w:rsid w:val="00947623"/>
    <w:rsid w:val="00947AA4"/>
    <w:rsid w:val="00947D76"/>
    <w:rsid w:val="009501A2"/>
    <w:rsid w:val="009502E6"/>
    <w:rsid w:val="009503D5"/>
    <w:rsid w:val="00950794"/>
    <w:rsid w:val="00950842"/>
    <w:rsid w:val="00950EB1"/>
    <w:rsid w:val="00951279"/>
    <w:rsid w:val="00951A8C"/>
    <w:rsid w:val="009520E4"/>
    <w:rsid w:val="00952575"/>
    <w:rsid w:val="00953127"/>
    <w:rsid w:val="0095329C"/>
    <w:rsid w:val="00953405"/>
    <w:rsid w:val="00953736"/>
    <w:rsid w:val="00953919"/>
    <w:rsid w:val="00953A6D"/>
    <w:rsid w:val="00953F79"/>
    <w:rsid w:val="009542B4"/>
    <w:rsid w:val="00954817"/>
    <w:rsid w:val="0095602D"/>
    <w:rsid w:val="00956318"/>
    <w:rsid w:val="00956381"/>
    <w:rsid w:val="00956F14"/>
    <w:rsid w:val="00957152"/>
    <w:rsid w:val="009574E5"/>
    <w:rsid w:val="0095757E"/>
    <w:rsid w:val="00957796"/>
    <w:rsid w:val="00957BD7"/>
    <w:rsid w:val="00957E8F"/>
    <w:rsid w:val="0096036B"/>
    <w:rsid w:val="00960502"/>
    <w:rsid w:val="00960636"/>
    <w:rsid w:val="0096064B"/>
    <w:rsid w:val="0096072A"/>
    <w:rsid w:val="00960DC0"/>
    <w:rsid w:val="00960F80"/>
    <w:rsid w:val="009619DC"/>
    <w:rsid w:val="00961B6C"/>
    <w:rsid w:val="009622FF"/>
    <w:rsid w:val="009625B3"/>
    <w:rsid w:val="00962E81"/>
    <w:rsid w:val="00963265"/>
    <w:rsid w:val="0096347D"/>
    <w:rsid w:val="00963568"/>
    <w:rsid w:val="009635C9"/>
    <w:rsid w:val="00964381"/>
    <w:rsid w:val="00964AF0"/>
    <w:rsid w:val="00964BF1"/>
    <w:rsid w:val="009654A0"/>
    <w:rsid w:val="0096552D"/>
    <w:rsid w:val="00965D53"/>
    <w:rsid w:val="00965ED4"/>
    <w:rsid w:val="00966D0B"/>
    <w:rsid w:val="0096706A"/>
    <w:rsid w:val="009671E6"/>
    <w:rsid w:val="0096722D"/>
    <w:rsid w:val="009676EE"/>
    <w:rsid w:val="00967974"/>
    <w:rsid w:val="009701F8"/>
    <w:rsid w:val="009704B0"/>
    <w:rsid w:val="00970F39"/>
    <w:rsid w:val="00971162"/>
    <w:rsid w:val="0097138B"/>
    <w:rsid w:val="0097196E"/>
    <w:rsid w:val="00971B3F"/>
    <w:rsid w:val="00971C30"/>
    <w:rsid w:val="00971EEE"/>
    <w:rsid w:val="00972004"/>
    <w:rsid w:val="00972036"/>
    <w:rsid w:val="00972246"/>
    <w:rsid w:val="0097233F"/>
    <w:rsid w:val="00972586"/>
    <w:rsid w:val="009727B9"/>
    <w:rsid w:val="00972D80"/>
    <w:rsid w:val="00973215"/>
    <w:rsid w:val="00973B4B"/>
    <w:rsid w:val="009741D4"/>
    <w:rsid w:val="0097466A"/>
    <w:rsid w:val="00974A06"/>
    <w:rsid w:val="0097524D"/>
    <w:rsid w:val="009752A7"/>
    <w:rsid w:val="00975C08"/>
    <w:rsid w:val="00975E64"/>
    <w:rsid w:val="00975F52"/>
    <w:rsid w:val="00976854"/>
    <w:rsid w:val="009771CA"/>
    <w:rsid w:val="00977523"/>
    <w:rsid w:val="00977524"/>
    <w:rsid w:val="0097752C"/>
    <w:rsid w:val="00977621"/>
    <w:rsid w:val="009776DE"/>
    <w:rsid w:val="00977707"/>
    <w:rsid w:val="00977935"/>
    <w:rsid w:val="00977F2A"/>
    <w:rsid w:val="009801C7"/>
    <w:rsid w:val="00980216"/>
    <w:rsid w:val="00980755"/>
    <w:rsid w:val="00980BD2"/>
    <w:rsid w:val="00980C19"/>
    <w:rsid w:val="0098160B"/>
    <w:rsid w:val="00981671"/>
    <w:rsid w:val="0098182B"/>
    <w:rsid w:val="00981B8E"/>
    <w:rsid w:val="00981DA7"/>
    <w:rsid w:val="00981F1D"/>
    <w:rsid w:val="00981F23"/>
    <w:rsid w:val="00981F6E"/>
    <w:rsid w:val="00982488"/>
    <w:rsid w:val="00982C44"/>
    <w:rsid w:val="00982E6F"/>
    <w:rsid w:val="0098311F"/>
    <w:rsid w:val="00983521"/>
    <w:rsid w:val="00983A4F"/>
    <w:rsid w:val="00983A9C"/>
    <w:rsid w:val="00983B17"/>
    <w:rsid w:val="00983D17"/>
    <w:rsid w:val="00983E3B"/>
    <w:rsid w:val="00983F19"/>
    <w:rsid w:val="009846FD"/>
    <w:rsid w:val="009854DD"/>
    <w:rsid w:val="00985651"/>
    <w:rsid w:val="00985A89"/>
    <w:rsid w:val="009862FC"/>
    <w:rsid w:val="009869E8"/>
    <w:rsid w:val="00986E3D"/>
    <w:rsid w:val="009870A4"/>
    <w:rsid w:val="00987799"/>
    <w:rsid w:val="00987853"/>
    <w:rsid w:val="00987871"/>
    <w:rsid w:val="009900E8"/>
    <w:rsid w:val="00990682"/>
    <w:rsid w:val="009910CB"/>
    <w:rsid w:val="00991199"/>
    <w:rsid w:val="00991779"/>
    <w:rsid w:val="00991961"/>
    <w:rsid w:val="00991B13"/>
    <w:rsid w:val="00991F31"/>
    <w:rsid w:val="00991F6D"/>
    <w:rsid w:val="009920D4"/>
    <w:rsid w:val="00992156"/>
    <w:rsid w:val="009927A6"/>
    <w:rsid w:val="0099290D"/>
    <w:rsid w:val="00992D7D"/>
    <w:rsid w:val="00992F09"/>
    <w:rsid w:val="009934B2"/>
    <w:rsid w:val="0099381F"/>
    <w:rsid w:val="00993970"/>
    <w:rsid w:val="00993A12"/>
    <w:rsid w:val="00993AAD"/>
    <w:rsid w:val="00993ACE"/>
    <w:rsid w:val="00993C21"/>
    <w:rsid w:val="00993F0E"/>
    <w:rsid w:val="00994083"/>
    <w:rsid w:val="0099432F"/>
    <w:rsid w:val="00994522"/>
    <w:rsid w:val="00994AE3"/>
    <w:rsid w:val="00994B43"/>
    <w:rsid w:val="009951DA"/>
    <w:rsid w:val="009952EB"/>
    <w:rsid w:val="00995D43"/>
    <w:rsid w:val="0099609F"/>
    <w:rsid w:val="009962BF"/>
    <w:rsid w:val="00996379"/>
    <w:rsid w:val="00996484"/>
    <w:rsid w:val="009964E7"/>
    <w:rsid w:val="00996660"/>
    <w:rsid w:val="009969EE"/>
    <w:rsid w:val="00997744"/>
    <w:rsid w:val="00997D9E"/>
    <w:rsid w:val="009A0384"/>
    <w:rsid w:val="009A07E9"/>
    <w:rsid w:val="009A0D54"/>
    <w:rsid w:val="009A163E"/>
    <w:rsid w:val="009A180F"/>
    <w:rsid w:val="009A1AD8"/>
    <w:rsid w:val="009A1E9B"/>
    <w:rsid w:val="009A1F78"/>
    <w:rsid w:val="009A207E"/>
    <w:rsid w:val="009A20E5"/>
    <w:rsid w:val="009A2641"/>
    <w:rsid w:val="009A311A"/>
    <w:rsid w:val="009A3193"/>
    <w:rsid w:val="009A31C8"/>
    <w:rsid w:val="009A326F"/>
    <w:rsid w:val="009A359B"/>
    <w:rsid w:val="009A4457"/>
    <w:rsid w:val="009A4665"/>
    <w:rsid w:val="009A46A9"/>
    <w:rsid w:val="009A4E49"/>
    <w:rsid w:val="009A4FCB"/>
    <w:rsid w:val="009A590B"/>
    <w:rsid w:val="009A61B7"/>
    <w:rsid w:val="009A623A"/>
    <w:rsid w:val="009A6968"/>
    <w:rsid w:val="009A6C87"/>
    <w:rsid w:val="009A706F"/>
    <w:rsid w:val="009A7105"/>
    <w:rsid w:val="009A78B6"/>
    <w:rsid w:val="009A7AB1"/>
    <w:rsid w:val="009A7D48"/>
    <w:rsid w:val="009A7EF6"/>
    <w:rsid w:val="009B0137"/>
    <w:rsid w:val="009B05E1"/>
    <w:rsid w:val="009B097E"/>
    <w:rsid w:val="009B0DCD"/>
    <w:rsid w:val="009B142F"/>
    <w:rsid w:val="009B1854"/>
    <w:rsid w:val="009B1AA5"/>
    <w:rsid w:val="009B1D66"/>
    <w:rsid w:val="009B23BE"/>
    <w:rsid w:val="009B2424"/>
    <w:rsid w:val="009B2797"/>
    <w:rsid w:val="009B2B5A"/>
    <w:rsid w:val="009B2CA4"/>
    <w:rsid w:val="009B2D83"/>
    <w:rsid w:val="009B3319"/>
    <w:rsid w:val="009B3A53"/>
    <w:rsid w:val="009B3BF9"/>
    <w:rsid w:val="009B40E7"/>
    <w:rsid w:val="009B4643"/>
    <w:rsid w:val="009B4B17"/>
    <w:rsid w:val="009B4F38"/>
    <w:rsid w:val="009B5133"/>
    <w:rsid w:val="009B527C"/>
    <w:rsid w:val="009B532B"/>
    <w:rsid w:val="009B5987"/>
    <w:rsid w:val="009B5F0E"/>
    <w:rsid w:val="009B6027"/>
    <w:rsid w:val="009B67EF"/>
    <w:rsid w:val="009B6B20"/>
    <w:rsid w:val="009B6D5A"/>
    <w:rsid w:val="009B6D6F"/>
    <w:rsid w:val="009B6FAB"/>
    <w:rsid w:val="009B7560"/>
    <w:rsid w:val="009B77E9"/>
    <w:rsid w:val="009B7FCA"/>
    <w:rsid w:val="009C02EB"/>
    <w:rsid w:val="009C04AB"/>
    <w:rsid w:val="009C07AC"/>
    <w:rsid w:val="009C07B5"/>
    <w:rsid w:val="009C095A"/>
    <w:rsid w:val="009C0C2F"/>
    <w:rsid w:val="009C0CE0"/>
    <w:rsid w:val="009C12DF"/>
    <w:rsid w:val="009C1690"/>
    <w:rsid w:val="009C28DD"/>
    <w:rsid w:val="009C29C5"/>
    <w:rsid w:val="009C2CE5"/>
    <w:rsid w:val="009C3699"/>
    <w:rsid w:val="009C3B4B"/>
    <w:rsid w:val="009C3E19"/>
    <w:rsid w:val="009C3EFE"/>
    <w:rsid w:val="009C4136"/>
    <w:rsid w:val="009C429E"/>
    <w:rsid w:val="009C4684"/>
    <w:rsid w:val="009C482A"/>
    <w:rsid w:val="009C4C85"/>
    <w:rsid w:val="009C4E1A"/>
    <w:rsid w:val="009C4E42"/>
    <w:rsid w:val="009C52EC"/>
    <w:rsid w:val="009C532F"/>
    <w:rsid w:val="009C53CD"/>
    <w:rsid w:val="009C5815"/>
    <w:rsid w:val="009C58FA"/>
    <w:rsid w:val="009C5D21"/>
    <w:rsid w:val="009C5D25"/>
    <w:rsid w:val="009C5DC9"/>
    <w:rsid w:val="009C6169"/>
    <w:rsid w:val="009C630A"/>
    <w:rsid w:val="009C66D9"/>
    <w:rsid w:val="009C6E64"/>
    <w:rsid w:val="009C76A2"/>
    <w:rsid w:val="009C7912"/>
    <w:rsid w:val="009C7E2E"/>
    <w:rsid w:val="009D0671"/>
    <w:rsid w:val="009D0AF5"/>
    <w:rsid w:val="009D0B34"/>
    <w:rsid w:val="009D1168"/>
    <w:rsid w:val="009D1201"/>
    <w:rsid w:val="009D13C7"/>
    <w:rsid w:val="009D197C"/>
    <w:rsid w:val="009D1BC4"/>
    <w:rsid w:val="009D20ED"/>
    <w:rsid w:val="009D2515"/>
    <w:rsid w:val="009D29D3"/>
    <w:rsid w:val="009D36F4"/>
    <w:rsid w:val="009D39F5"/>
    <w:rsid w:val="009D3EE1"/>
    <w:rsid w:val="009D427B"/>
    <w:rsid w:val="009D43C3"/>
    <w:rsid w:val="009D468B"/>
    <w:rsid w:val="009D492F"/>
    <w:rsid w:val="009D49D6"/>
    <w:rsid w:val="009D4F04"/>
    <w:rsid w:val="009D53B3"/>
    <w:rsid w:val="009D559A"/>
    <w:rsid w:val="009D6034"/>
    <w:rsid w:val="009D61DD"/>
    <w:rsid w:val="009D665D"/>
    <w:rsid w:val="009D67A2"/>
    <w:rsid w:val="009D6F45"/>
    <w:rsid w:val="009D7B55"/>
    <w:rsid w:val="009D7E49"/>
    <w:rsid w:val="009D7EBB"/>
    <w:rsid w:val="009E0052"/>
    <w:rsid w:val="009E0445"/>
    <w:rsid w:val="009E0D6A"/>
    <w:rsid w:val="009E1493"/>
    <w:rsid w:val="009E1541"/>
    <w:rsid w:val="009E1574"/>
    <w:rsid w:val="009E1A46"/>
    <w:rsid w:val="009E1F57"/>
    <w:rsid w:val="009E24AD"/>
    <w:rsid w:val="009E2592"/>
    <w:rsid w:val="009E25E1"/>
    <w:rsid w:val="009E2C54"/>
    <w:rsid w:val="009E3DB0"/>
    <w:rsid w:val="009E3E67"/>
    <w:rsid w:val="009E46B9"/>
    <w:rsid w:val="009E4E6D"/>
    <w:rsid w:val="009E50A6"/>
    <w:rsid w:val="009E51CE"/>
    <w:rsid w:val="009E59CA"/>
    <w:rsid w:val="009E5C09"/>
    <w:rsid w:val="009E5C4C"/>
    <w:rsid w:val="009E5D82"/>
    <w:rsid w:val="009E5E11"/>
    <w:rsid w:val="009E621B"/>
    <w:rsid w:val="009E62C7"/>
    <w:rsid w:val="009E652D"/>
    <w:rsid w:val="009E6A57"/>
    <w:rsid w:val="009E6ACA"/>
    <w:rsid w:val="009E6F48"/>
    <w:rsid w:val="009E7078"/>
    <w:rsid w:val="009E734D"/>
    <w:rsid w:val="009E745B"/>
    <w:rsid w:val="009E7480"/>
    <w:rsid w:val="009E751F"/>
    <w:rsid w:val="009E761B"/>
    <w:rsid w:val="009E76B7"/>
    <w:rsid w:val="009E7D6D"/>
    <w:rsid w:val="009F0667"/>
    <w:rsid w:val="009F09E6"/>
    <w:rsid w:val="009F0EAA"/>
    <w:rsid w:val="009F110D"/>
    <w:rsid w:val="009F192A"/>
    <w:rsid w:val="009F1A13"/>
    <w:rsid w:val="009F21CB"/>
    <w:rsid w:val="009F2848"/>
    <w:rsid w:val="009F2ED2"/>
    <w:rsid w:val="009F31F9"/>
    <w:rsid w:val="009F3500"/>
    <w:rsid w:val="009F37CF"/>
    <w:rsid w:val="009F37EF"/>
    <w:rsid w:val="009F38A2"/>
    <w:rsid w:val="009F42AB"/>
    <w:rsid w:val="009F452B"/>
    <w:rsid w:val="009F486C"/>
    <w:rsid w:val="009F5270"/>
    <w:rsid w:val="009F5809"/>
    <w:rsid w:val="009F5A9B"/>
    <w:rsid w:val="009F5D97"/>
    <w:rsid w:val="009F5F31"/>
    <w:rsid w:val="009F6881"/>
    <w:rsid w:val="009F68ED"/>
    <w:rsid w:val="009F6E7C"/>
    <w:rsid w:val="009F74CC"/>
    <w:rsid w:val="009F762D"/>
    <w:rsid w:val="009F78CB"/>
    <w:rsid w:val="009F79DC"/>
    <w:rsid w:val="009F79F9"/>
    <w:rsid w:val="009F7CD7"/>
    <w:rsid w:val="009F7FC0"/>
    <w:rsid w:val="00A007B2"/>
    <w:rsid w:val="00A00A06"/>
    <w:rsid w:val="00A00A2A"/>
    <w:rsid w:val="00A010D1"/>
    <w:rsid w:val="00A014EB"/>
    <w:rsid w:val="00A016CF"/>
    <w:rsid w:val="00A01790"/>
    <w:rsid w:val="00A0209C"/>
    <w:rsid w:val="00A0211C"/>
    <w:rsid w:val="00A02263"/>
    <w:rsid w:val="00A0227F"/>
    <w:rsid w:val="00A0283E"/>
    <w:rsid w:val="00A02D72"/>
    <w:rsid w:val="00A02E28"/>
    <w:rsid w:val="00A0300D"/>
    <w:rsid w:val="00A0302B"/>
    <w:rsid w:val="00A0309C"/>
    <w:rsid w:val="00A0326C"/>
    <w:rsid w:val="00A03742"/>
    <w:rsid w:val="00A038D9"/>
    <w:rsid w:val="00A041B9"/>
    <w:rsid w:val="00A05055"/>
    <w:rsid w:val="00A0538A"/>
    <w:rsid w:val="00A05611"/>
    <w:rsid w:val="00A05881"/>
    <w:rsid w:val="00A0599B"/>
    <w:rsid w:val="00A06174"/>
    <w:rsid w:val="00A06196"/>
    <w:rsid w:val="00A06AB8"/>
    <w:rsid w:val="00A070AB"/>
    <w:rsid w:val="00A0717B"/>
    <w:rsid w:val="00A072DA"/>
    <w:rsid w:val="00A073D7"/>
    <w:rsid w:val="00A077AF"/>
    <w:rsid w:val="00A07931"/>
    <w:rsid w:val="00A07BC1"/>
    <w:rsid w:val="00A07E4E"/>
    <w:rsid w:val="00A07E5A"/>
    <w:rsid w:val="00A1084E"/>
    <w:rsid w:val="00A10EB3"/>
    <w:rsid w:val="00A1183F"/>
    <w:rsid w:val="00A11A92"/>
    <w:rsid w:val="00A120D2"/>
    <w:rsid w:val="00A12A19"/>
    <w:rsid w:val="00A12E63"/>
    <w:rsid w:val="00A13E7E"/>
    <w:rsid w:val="00A13F80"/>
    <w:rsid w:val="00A14107"/>
    <w:rsid w:val="00A1437F"/>
    <w:rsid w:val="00A14450"/>
    <w:rsid w:val="00A14924"/>
    <w:rsid w:val="00A14949"/>
    <w:rsid w:val="00A14DD2"/>
    <w:rsid w:val="00A14F55"/>
    <w:rsid w:val="00A15014"/>
    <w:rsid w:val="00A15407"/>
    <w:rsid w:val="00A1583F"/>
    <w:rsid w:val="00A15FBC"/>
    <w:rsid w:val="00A162E8"/>
    <w:rsid w:val="00A1646A"/>
    <w:rsid w:val="00A16BFB"/>
    <w:rsid w:val="00A1733A"/>
    <w:rsid w:val="00A17C4C"/>
    <w:rsid w:val="00A17CE5"/>
    <w:rsid w:val="00A2025D"/>
    <w:rsid w:val="00A2041A"/>
    <w:rsid w:val="00A20493"/>
    <w:rsid w:val="00A20621"/>
    <w:rsid w:val="00A20674"/>
    <w:rsid w:val="00A20DBC"/>
    <w:rsid w:val="00A21374"/>
    <w:rsid w:val="00A215DA"/>
    <w:rsid w:val="00A21710"/>
    <w:rsid w:val="00A21BA7"/>
    <w:rsid w:val="00A21D5B"/>
    <w:rsid w:val="00A21EAB"/>
    <w:rsid w:val="00A22450"/>
    <w:rsid w:val="00A23125"/>
    <w:rsid w:val="00A231AE"/>
    <w:rsid w:val="00A236CB"/>
    <w:rsid w:val="00A237A9"/>
    <w:rsid w:val="00A23A34"/>
    <w:rsid w:val="00A23F94"/>
    <w:rsid w:val="00A23FE4"/>
    <w:rsid w:val="00A24063"/>
    <w:rsid w:val="00A240F3"/>
    <w:rsid w:val="00A2429B"/>
    <w:rsid w:val="00A2434C"/>
    <w:rsid w:val="00A24751"/>
    <w:rsid w:val="00A254FB"/>
    <w:rsid w:val="00A25DCB"/>
    <w:rsid w:val="00A263FC"/>
    <w:rsid w:val="00A267EF"/>
    <w:rsid w:val="00A268DC"/>
    <w:rsid w:val="00A26DCE"/>
    <w:rsid w:val="00A26F91"/>
    <w:rsid w:val="00A27EBF"/>
    <w:rsid w:val="00A27EDB"/>
    <w:rsid w:val="00A27F42"/>
    <w:rsid w:val="00A308EA"/>
    <w:rsid w:val="00A30C12"/>
    <w:rsid w:val="00A30FCD"/>
    <w:rsid w:val="00A3127F"/>
    <w:rsid w:val="00A3290A"/>
    <w:rsid w:val="00A32D20"/>
    <w:rsid w:val="00A32EDC"/>
    <w:rsid w:val="00A337AE"/>
    <w:rsid w:val="00A34603"/>
    <w:rsid w:val="00A3470D"/>
    <w:rsid w:val="00A34BC3"/>
    <w:rsid w:val="00A3502C"/>
    <w:rsid w:val="00A3530B"/>
    <w:rsid w:val="00A35344"/>
    <w:rsid w:val="00A35507"/>
    <w:rsid w:val="00A35817"/>
    <w:rsid w:val="00A3594A"/>
    <w:rsid w:val="00A35C1C"/>
    <w:rsid w:val="00A35EEA"/>
    <w:rsid w:val="00A36116"/>
    <w:rsid w:val="00A362A5"/>
    <w:rsid w:val="00A36428"/>
    <w:rsid w:val="00A3691F"/>
    <w:rsid w:val="00A36C54"/>
    <w:rsid w:val="00A36E7C"/>
    <w:rsid w:val="00A370F9"/>
    <w:rsid w:val="00A3755E"/>
    <w:rsid w:val="00A376B2"/>
    <w:rsid w:val="00A37A71"/>
    <w:rsid w:val="00A40042"/>
    <w:rsid w:val="00A400D9"/>
    <w:rsid w:val="00A408EF"/>
    <w:rsid w:val="00A40A56"/>
    <w:rsid w:val="00A40CC4"/>
    <w:rsid w:val="00A4109A"/>
    <w:rsid w:val="00A410CD"/>
    <w:rsid w:val="00A4126F"/>
    <w:rsid w:val="00A412AA"/>
    <w:rsid w:val="00A4137F"/>
    <w:rsid w:val="00A41431"/>
    <w:rsid w:val="00A4151E"/>
    <w:rsid w:val="00A41726"/>
    <w:rsid w:val="00A41B05"/>
    <w:rsid w:val="00A41B1D"/>
    <w:rsid w:val="00A426CE"/>
    <w:rsid w:val="00A42DBA"/>
    <w:rsid w:val="00A42E54"/>
    <w:rsid w:val="00A4301D"/>
    <w:rsid w:val="00A436FB"/>
    <w:rsid w:val="00A4385F"/>
    <w:rsid w:val="00A43C9F"/>
    <w:rsid w:val="00A43D00"/>
    <w:rsid w:val="00A446A3"/>
    <w:rsid w:val="00A4503E"/>
    <w:rsid w:val="00A4594B"/>
    <w:rsid w:val="00A45C3A"/>
    <w:rsid w:val="00A465D1"/>
    <w:rsid w:val="00A46C5E"/>
    <w:rsid w:val="00A46F96"/>
    <w:rsid w:val="00A47197"/>
    <w:rsid w:val="00A47209"/>
    <w:rsid w:val="00A476C0"/>
    <w:rsid w:val="00A47FD1"/>
    <w:rsid w:val="00A50089"/>
    <w:rsid w:val="00A502B4"/>
    <w:rsid w:val="00A5033A"/>
    <w:rsid w:val="00A50410"/>
    <w:rsid w:val="00A50455"/>
    <w:rsid w:val="00A50514"/>
    <w:rsid w:val="00A5099F"/>
    <w:rsid w:val="00A5103B"/>
    <w:rsid w:val="00A515D6"/>
    <w:rsid w:val="00A51997"/>
    <w:rsid w:val="00A51E3C"/>
    <w:rsid w:val="00A51FBD"/>
    <w:rsid w:val="00A5200A"/>
    <w:rsid w:val="00A520CC"/>
    <w:rsid w:val="00A521A4"/>
    <w:rsid w:val="00A52250"/>
    <w:rsid w:val="00A52B58"/>
    <w:rsid w:val="00A52BD7"/>
    <w:rsid w:val="00A52C01"/>
    <w:rsid w:val="00A52DE5"/>
    <w:rsid w:val="00A52E92"/>
    <w:rsid w:val="00A5355A"/>
    <w:rsid w:val="00A535EE"/>
    <w:rsid w:val="00A536BD"/>
    <w:rsid w:val="00A537F4"/>
    <w:rsid w:val="00A53C8B"/>
    <w:rsid w:val="00A53CA5"/>
    <w:rsid w:val="00A53E48"/>
    <w:rsid w:val="00A541ED"/>
    <w:rsid w:val="00A5483F"/>
    <w:rsid w:val="00A54C8D"/>
    <w:rsid w:val="00A55299"/>
    <w:rsid w:val="00A55391"/>
    <w:rsid w:val="00A55401"/>
    <w:rsid w:val="00A5549A"/>
    <w:rsid w:val="00A55566"/>
    <w:rsid w:val="00A5574C"/>
    <w:rsid w:val="00A5577C"/>
    <w:rsid w:val="00A55E59"/>
    <w:rsid w:val="00A56458"/>
    <w:rsid w:val="00A5685D"/>
    <w:rsid w:val="00A570EF"/>
    <w:rsid w:val="00A571B5"/>
    <w:rsid w:val="00A576F4"/>
    <w:rsid w:val="00A605A0"/>
    <w:rsid w:val="00A60DEA"/>
    <w:rsid w:val="00A60E95"/>
    <w:rsid w:val="00A61796"/>
    <w:rsid w:val="00A617A2"/>
    <w:rsid w:val="00A61A49"/>
    <w:rsid w:val="00A61F89"/>
    <w:rsid w:val="00A63318"/>
    <w:rsid w:val="00A633EB"/>
    <w:rsid w:val="00A63E37"/>
    <w:rsid w:val="00A63F29"/>
    <w:rsid w:val="00A644AB"/>
    <w:rsid w:val="00A64C43"/>
    <w:rsid w:val="00A64F27"/>
    <w:rsid w:val="00A64F8B"/>
    <w:rsid w:val="00A650B7"/>
    <w:rsid w:val="00A6582E"/>
    <w:rsid w:val="00A65E6B"/>
    <w:rsid w:val="00A66A91"/>
    <w:rsid w:val="00A66DE9"/>
    <w:rsid w:val="00A674A1"/>
    <w:rsid w:val="00A6788C"/>
    <w:rsid w:val="00A67903"/>
    <w:rsid w:val="00A679FB"/>
    <w:rsid w:val="00A70797"/>
    <w:rsid w:val="00A70873"/>
    <w:rsid w:val="00A70DD1"/>
    <w:rsid w:val="00A710AE"/>
    <w:rsid w:val="00A7142C"/>
    <w:rsid w:val="00A716CA"/>
    <w:rsid w:val="00A7197C"/>
    <w:rsid w:val="00A71A79"/>
    <w:rsid w:val="00A71A9D"/>
    <w:rsid w:val="00A723D4"/>
    <w:rsid w:val="00A7244D"/>
    <w:rsid w:val="00A72492"/>
    <w:rsid w:val="00A72537"/>
    <w:rsid w:val="00A72624"/>
    <w:rsid w:val="00A72AE2"/>
    <w:rsid w:val="00A72DB8"/>
    <w:rsid w:val="00A73123"/>
    <w:rsid w:val="00A737F5"/>
    <w:rsid w:val="00A738A9"/>
    <w:rsid w:val="00A7397B"/>
    <w:rsid w:val="00A73A63"/>
    <w:rsid w:val="00A7402C"/>
    <w:rsid w:val="00A7439D"/>
    <w:rsid w:val="00A744F8"/>
    <w:rsid w:val="00A74C2C"/>
    <w:rsid w:val="00A74CAD"/>
    <w:rsid w:val="00A75376"/>
    <w:rsid w:val="00A753FD"/>
    <w:rsid w:val="00A75F0A"/>
    <w:rsid w:val="00A76373"/>
    <w:rsid w:val="00A76A99"/>
    <w:rsid w:val="00A76EC7"/>
    <w:rsid w:val="00A80106"/>
    <w:rsid w:val="00A80626"/>
    <w:rsid w:val="00A80A4B"/>
    <w:rsid w:val="00A81299"/>
    <w:rsid w:val="00A81383"/>
    <w:rsid w:val="00A81C07"/>
    <w:rsid w:val="00A81F60"/>
    <w:rsid w:val="00A82227"/>
    <w:rsid w:val="00A823F8"/>
    <w:rsid w:val="00A82743"/>
    <w:rsid w:val="00A82C81"/>
    <w:rsid w:val="00A8376F"/>
    <w:rsid w:val="00A83863"/>
    <w:rsid w:val="00A84786"/>
    <w:rsid w:val="00A847E1"/>
    <w:rsid w:val="00A84928"/>
    <w:rsid w:val="00A84A98"/>
    <w:rsid w:val="00A84B23"/>
    <w:rsid w:val="00A84BF2"/>
    <w:rsid w:val="00A84CBF"/>
    <w:rsid w:val="00A85409"/>
    <w:rsid w:val="00A85718"/>
    <w:rsid w:val="00A85C20"/>
    <w:rsid w:val="00A86058"/>
    <w:rsid w:val="00A8640D"/>
    <w:rsid w:val="00A86985"/>
    <w:rsid w:val="00A86D8F"/>
    <w:rsid w:val="00A86F87"/>
    <w:rsid w:val="00A875C1"/>
    <w:rsid w:val="00A906AC"/>
    <w:rsid w:val="00A90771"/>
    <w:rsid w:val="00A90BD5"/>
    <w:rsid w:val="00A90C89"/>
    <w:rsid w:val="00A90DEF"/>
    <w:rsid w:val="00A90E70"/>
    <w:rsid w:val="00A90F41"/>
    <w:rsid w:val="00A911B0"/>
    <w:rsid w:val="00A91345"/>
    <w:rsid w:val="00A914A3"/>
    <w:rsid w:val="00A916D6"/>
    <w:rsid w:val="00A9238B"/>
    <w:rsid w:val="00A92572"/>
    <w:rsid w:val="00A93122"/>
    <w:rsid w:val="00A93DF1"/>
    <w:rsid w:val="00A942D3"/>
    <w:rsid w:val="00A943B2"/>
    <w:rsid w:val="00A94A48"/>
    <w:rsid w:val="00A94EEC"/>
    <w:rsid w:val="00A95A37"/>
    <w:rsid w:val="00A95C9B"/>
    <w:rsid w:val="00A95F66"/>
    <w:rsid w:val="00A9602E"/>
    <w:rsid w:val="00A965CC"/>
    <w:rsid w:val="00A9675F"/>
    <w:rsid w:val="00A96D36"/>
    <w:rsid w:val="00A96D6D"/>
    <w:rsid w:val="00A97290"/>
    <w:rsid w:val="00AA013F"/>
    <w:rsid w:val="00AA01AA"/>
    <w:rsid w:val="00AA0222"/>
    <w:rsid w:val="00AA02C9"/>
    <w:rsid w:val="00AA0BE2"/>
    <w:rsid w:val="00AA17D4"/>
    <w:rsid w:val="00AA1C04"/>
    <w:rsid w:val="00AA2657"/>
    <w:rsid w:val="00AA3A52"/>
    <w:rsid w:val="00AA4086"/>
    <w:rsid w:val="00AA43A4"/>
    <w:rsid w:val="00AA4BB9"/>
    <w:rsid w:val="00AA5147"/>
    <w:rsid w:val="00AA64DD"/>
    <w:rsid w:val="00AA6647"/>
    <w:rsid w:val="00AA6875"/>
    <w:rsid w:val="00AA6CCA"/>
    <w:rsid w:val="00AA74E4"/>
    <w:rsid w:val="00AA750C"/>
    <w:rsid w:val="00AA7DF0"/>
    <w:rsid w:val="00AB04F7"/>
    <w:rsid w:val="00AB0538"/>
    <w:rsid w:val="00AB07A4"/>
    <w:rsid w:val="00AB0C51"/>
    <w:rsid w:val="00AB1083"/>
    <w:rsid w:val="00AB11CB"/>
    <w:rsid w:val="00AB1428"/>
    <w:rsid w:val="00AB17EA"/>
    <w:rsid w:val="00AB181B"/>
    <w:rsid w:val="00AB2553"/>
    <w:rsid w:val="00AB2800"/>
    <w:rsid w:val="00AB2C9E"/>
    <w:rsid w:val="00AB2CB5"/>
    <w:rsid w:val="00AB2E64"/>
    <w:rsid w:val="00AB393C"/>
    <w:rsid w:val="00AB3C59"/>
    <w:rsid w:val="00AB3E85"/>
    <w:rsid w:val="00AB41C2"/>
    <w:rsid w:val="00AB4531"/>
    <w:rsid w:val="00AB4D75"/>
    <w:rsid w:val="00AB5240"/>
    <w:rsid w:val="00AB526B"/>
    <w:rsid w:val="00AB53FB"/>
    <w:rsid w:val="00AB578B"/>
    <w:rsid w:val="00AB5E47"/>
    <w:rsid w:val="00AB6DDE"/>
    <w:rsid w:val="00AB6F87"/>
    <w:rsid w:val="00AB797E"/>
    <w:rsid w:val="00AC0DAD"/>
    <w:rsid w:val="00AC0F0F"/>
    <w:rsid w:val="00AC10A9"/>
    <w:rsid w:val="00AC1219"/>
    <w:rsid w:val="00AC143E"/>
    <w:rsid w:val="00AC15FC"/>
    <w:rsid w:val="00AC17A3"/>
    <w:rsid w:val="00AC1904"/>
    <w:rsid w:val="00AC1A07"/>
    <w:rsid w:val="00AC1D37"/>
    <w:rsid w:val="00AC24BF"/>
    <w:rsid w:val="00AC34C3"/>
    <w:rsid w:val="00AC37A1"/>
    <w:rsid w:val="00AC3B69"/>
    <w:rsid w:val="00AC3E58"/>
    <w:rsid w:val="00AC418C"/>
    <w:rsid w:val="00AC4239"/>
    <w:rsid w:val="00AC464B"/>
    <w:rsid w:val="00AC49DB"/>
    <w:rsid w:val="00AC4A08"/>
    <w:rsid w:val="00AC5001"/>
    <w:rsid w:val="00AC50D9"/>
    <w:rsid w:val="00AC51FF"/>
    <w:rsid w:val="00AC53D6"/>
    <w:rsid w:val="00AC5580"/>
    <w:rsid w:val="00AC61D5"/>
    <w:rsid w:val="00AC624D"/>
    <w:rsid w:val="00AC6396"/>
    <w:rsid w:val="00AC641D"/>
    <w:rsid w:val="00AC6720"/>
    <w:rsid w:val="00AC6A23"/>
    <w:rsid w:val="00AC6C63"/>
    <w:rsid w:val="00AC708D"/>
    <w:rsid w:val="00AC7406"/>
    <w:rsid w:val="00AC7895"/>
    <w:rsid w:val="00AC7ECD"/>
    <w:rsid w:val="00AD013A"/>
    <w:rsid w:val="00AD0766"/>
    <w:rsid w:val="00AD07E2"/>
    <w:rsid w:val="00AD083F"/>
    <w:rsid w:val="00AD0B31"/>
    <w:rsid w:val="00AD1007"/>
    <w:rsid w:val="00AD1744"/>
    <w:rsid w:val="00AD1A11"/>
    <w:rsid w:val="00AD1B04"/>
    <w:rsid w:val="00AD1C7F"/>
    <w:rsid w:val="00AD1FC8"/>
    <w:rsid w:val="00AD2170"/>
    <w:rsid w:val="00AD2584"/>
    <w:rsid w:val="00AD275A"/>
    <w:rsid w:val="00AD2CAB"/>
    <w:rsid w:val="00AD30CC"/>
    <w:rsid w:val="00AD32ED"/>
    <w:rsid w:val="00AD36B8"/>
    <w:rsid w:val="00AD3D6D"/>
    <w:rsid w:val="00AD3FA7"/>
    <w:rsid w:val="00AD4CD4"/>
    <w:rsid w:val="00AD4E5F"/>
    <w:rsid w:val="00AD4F02"/>
    <w:rsid w:val="00AD5627"/>
    <w:rsid w:val="00AD5EDB"/>
    <w:rsid w:val="00AD691D"/>
    <w:rsid w:val="00AD6B65"/>
    <w:rsid w:val="00AD780B"/>
    <w:rsid w:val="00AD79C6"/>
    <w:rsid w:val="00AD7C77"/>
    <w:rsid w:val="00AD7F00"/>
    <w:rsid w:val="00AE036E"/>
    <w:rsid w:val="00AE052B"/>
    <w:rsid w:val="00AE0559"/>
    <w:rsid w:val="00AE0862"/>
    <w:rsid w:val="00AE0CA4"/>
    <w:rsid w:val="00AE0D97"/>
    <w:rsid w:val="00AE1732"/>
    <w:rsid w:val="00AE1AFE"/>
    <w:rsid w:val="00AE22BA"/>
    <w:rsid w:val="00AE22D8"/>
    <w:rsid w:val="00AE2878"/>
    <w:rsid w:val="00AE299E"/>
    <w:rsid w:val="00AE3677"/>
    <w:rsid w:val="00AE38E9"/>
    <w:rsid w:val="00AE3B42"/>
    <w:rsid w:val="00AE3B5F"/>
    <w:rsid w:val="00AE3CFD"/>
    <w:rsid w:val="00AE3DD2"/>
    <w:rsid w:val="00AE4B20"/>
    <w:rsid w:val="00AE4E16"/>
    <w:rsid w:val="00AE52DF"/>
    <w:rsid w:val="00AE55D2"/>
    <w:rsid w:val="00AE5D77"/>
    <w:rsid w:val="00AE6881"/>
    <w:rsid w:val="00AE7106"/>
    <w:rsid w:val="00AE74A8"/>
    <w:rsid w:val="00AE76E0"/>
    <w:rsid w:val="00AF0552"/>
    <w:rsid w:val="00AF06CB"/>
    <w:rsid w:val="00AF12AF"/>
    <w:rsid w:val="00AF1709"/>
    <w:rsid w:val="00AF1B84"/>
    <w:rsid w:val="00AF2703"/>
    <w:rsid w:val="00AF2BAD"/>
    <w:rsid w:val="00AF3073"/>
    <w:rsid w:val="00AF3473"/>
    <w:rsid w:val="00AF37BE"/>
    <w:rsid w:val="00AF3A1B"/>
    <w:rsid w:val="00AF3B95"/>
    <w:rsid w:val="00AF3F24"/>
    <w:rsid w:val="00AF44D2"/>
    <w:rsid w:val="00AF4753"/>
    <w:rsid w:val="00AF4955"/>
    <w:rsid w:val="00AF4D16"/>
    <w:rsid w:val="00AF513F"/>
    <w:rsid w:val="00AF52D4"/>
    <w:rsid w:val="00AF53EB"/>
    <w:rsid w:val="00AF544D"/>
    <w:rsid w:val="00AF556F"/>
    <w:rsid w:val="00AF5B4A"/>
    <w:rsid w:val="00AF5CBA"/>
    <w:rsid w:val="00AF5DCA"/>
    <w:rsid w:val="00AF6215"/>
    <w:rsid w:val="00AF698A"/>
    <w:rsid w:val="00AF6FBB"/>
    <w:rsid w:val="00AF74C4"/>
    <w:rsid w:val="00AF7715"/>
    <w:rsid w:val="00AF7750"/>
    <w:rsid w:val="00AF780C"/>
    <w:rsid w:val="00AF792B"/>
    <w:rsid w:val="00B0016B"/>
    <w:rsid w:val="00B0017C"/>
    <w:rsid w:val="00B00229"/>
    <w:rsid w:val="00B006AF"/>
    <w:rsid w:val="00B00897"/>
    <w:rsid w:val="00B011F8"/>
    <w:rsid w:val="00B014CC"/>
    <w:rsid w:val="00B0158F"/>
    <w:rsid w:val="00B0164A"/>
    <w:rsid w:val="00B016D3"/>
    <w:rsid w:val="00B0203C"/>
    <w:rsid w:val="00B020F0"/>
    <w:rsid w:val="00B0277F"/>
    <w:rsid w:val="00B0302E"/>
    <w:rsid w:val="00B03106"/>
    <w:rsid w:val="00B032B1"/>
    <w:rsid w:val="00B03428"/>
    <w:rsid w:val="00B0357B"/>
    <w:rsid w:val="00B035CC"/>
    <w:rsid w:val="00B03BB9"/>
    <w:rsid w:val="00B03C08"/>
    <w:rsid w:val="00B04639"/>
    <w:rsid w:val="00B04D89"/>
    <w:rsid w:val="00B05547"/>
    <w:rsid w:val="00B05989"/>
    <w:rsid w:val="00B05C7F"/>
    <w:rsid w:val="00B05C8A"/>
    <w:rsid w:val="00B065CA"/>
    <w:rsid w:val="00B06606"/>
    <w:rsid w:val="00B068D9"/>
    <w:rsid w:val="00B06E83"/>
    <w:rsid w:val="00B06F13"/>
    <w:rsid w:val="00B07275"/>
    <w:rsid w:val="00B07711"/>
    <w:rsid w:val="00B100E0"/>
    <w:rsid w:val="00B103CA"/>
    <w:rsid w:val="00B10883"/>
    <w:rsid w:val="00B108C9"/>
    <w:rsid w:val="00B10B7F"/>
    <w:rsid w:val="00B11181"/>
    <w:rsid w:val="00B11329"/>
    <w:rsid w:val="00B11CF3"/>
    <w:rsid w:val="00B11FDA"/>
    <w:rsid w:val="00B12217"/>
    <w:rsid w:val="00B126DC"/>
    <w:rsid w:val="00B13919"/>
    <w:rsid w:val="00B13C08"/>
    <w:rsid w:val="00B14087"/>
    <w:rsid w:val="00B14126"/>
    <w:rsid w:val="00B14A27"/>
    <w:rsid w:val="00B14EDA"/>
    <w:rsid w:val="00B14F73"/>
    <w:rsid w:val="00B15394"/>
    <w:rsid w:val="00B15590"/>
    <w:rsid w:val="00B1583D"/>
    <w:rsid w:val="00B15B60"/>
    <w:rsid w:val="00B16D6E"/>
    <w:rsid w:val="00B16E9F"/>
    <w:rsid w:val="00B177F5"/>
    <w:rsid w:val="00B17CC5"/>
    <w:rsid w:val="00B204EB"/>
    <w:rsid w:val="00B206F9"/>
    <w:rsid w:val="00B21056"/>
    <w:rsid w:val="00B21472"/>
    <w:rsid w:val="00B21B3C"/>
    <w:rsid w:val="00B21D0A"/>
    <w:rsid w:val="00B21E2B"/>
    <w:rsid w:val="00B21F79"/>
    <w:rsid w:val="00B222AD"/>
    <w:rsid w:val="00B22A39"/>
    <w:rsid w:val="00B22AA7"/>
    <w:rsid w:val="00B23282"/>
    <w:rsid w:val="00B23CE0"/>
    <w:rsid w:val="00B23EC5"/>
    <w:rsid w:val="00B2426E"/>
    <w:rsid w:val="00B24563"/>
    <w:rsid w:val="00B245C5"/>
    <w:rsid w:val="00B246F0"/>
    <w:rsid w:val="00B25F42"/>
    <w:rsid w:val="00B260CD"/>
    <w:rsid w:val="00B2623A"/>
    <w:rsid w:val="00B26878"/>
    <w:rsid w:val="00B268F6"/>
    <w:rsid w:val="00B26B51"/>
    <w:rsid w:val="00B26E2F"/>
    <w:rsid w:val="00B2754C"/>
    <w:rsid w:val="00B2795A"/>
    <w:rsid w:val="00B27991"/>
    <w:rsid w:val="00B27F1B"/>
    <w:rsid w:val="00B27F43"/>
    <w:rsid w:val="00B3023A"/>
    <w:rsid w:val="00B3089C"/>
    <w:rsid w:val="00B30B5C"/>
    <w:rsid w:val="00B30E83"/>
    <w:rsid w:val="00B310A0"/>
    <w:rsid w:val="00B319A8"/>
    <w:rsid w:val="00B31E09"/>
    <w:rsid w:val="00B3204C"/>
    <w:rsid w:val="00B326AD"/>
    <w:rsid w:val="00B32804"/>
    <w:rsid w:val="00B32996"/>
    <w:rsid w:val="00B329C4"/>
    <w:rsid w:val="00B32B8D"/>
    <w:rsid w:val="00B33441"/>
    <w:rsid w:val="00B3368F"/>
    <w:rsid w:val="00B33991"/>
    <w:rsid w:val="00B33B4B"/>
    <w:rsid w:val="00B34013"/>
    <w:rsid w:val="00B34418"/>
    <w:rsid w:val="00B34437"/>
    <w:rsid w:val="00B3452A"/>
    <w:rsid w:val="00B34F64"/>
    <w:rsid w:val="00B3596F"/>
    <w:rsid w:val="00B35A18"/>
    <w:rsid w:val="00B35D94"/>
    <w:rsid w:val="00B35E57"/>
    <w:rsid w:val="00B36397"/>
    <w:rsid w:val="00B36712"/>
    <w:rsid w:val="00B36963"/>
    <w:rsid w:val="00B36E18"/>
    <w:rsid w:val="00B370ED"/>
    <w:rsid w:val="00B37562"/>
    <w:rsid w:val="00B377BB"/>
    <w:rsid w:val="00B378B8"/>
    <w:rsid w:val="00B378CD"/>
    <w:rsid w:val="00B37A08"/>
    <w:rsid w:val="00B37B04"/>
    <w:rsid w:val="00B37D13"/>
    <w:rsid w:val="00B40939"/>
    <w:rsid w:val="00B40D47"/>
    <w:rsid w:val="00B41388"/>
    <w:rsid w:val="00B41F86"/>
    <w:rsid w:val="00B42AA3"/>
    <w:rsid w:val="00B433C3"/>
    <w:rsid w:val="00B43404"/>
    <w:rsid w:val="00B441E6"/>
    <w:rsid w:val="00B44BF0"/>
    <w:rsid w:val="00B45012"/>
    <w:rsid w:val="00B452C2"/>
    <w:rsid w:val="00B458A7"/>
    <w:rsid w:val="00B45E08"/>
    <w:rsid w:val="00B4638E"/>
    <w:rsid w:val="00B46398"/>
    <w:rsid w:val="00B4647B"/>
    <w:rsid w:val="00B4659C"/>
    <w:rsid w:val="00B4721E"/>
    <w:rsid w:val="00B473E6"/>
    <w:rsid w:val="00B47612"/>
    <w:rsid w:val="00B4ED12"/>
    <w:rsid w:val="00B50222"/>
    <w:rsid w:val="00B506A9"/>
    <w:rsid w:val="00B5091A"/>
    <w:rsid w:val="00B5137D"/>
    <w:rsid w:val="00B51908"/>
    <w:rsid w:val="00B51E34"/>
    <w:rsid w:val="00B51E71"/>
    <w:rsid w:val="00B51E8B"/>
    <w:rsid w:val="00B5206A"/>
    <w:rsid w:val="00B522B8"/>
    <w:rsid w:val="00B52737"/>
    <w:rsid w:val="00B5285B"/>
    <w:rsid w:val="00B52C52"/>
    <w:rsid w:val="00B52EEB"/>
    <w:rsid w:val="00B52FEE"/>
    <w:rsid w:val="00B53061"/>
    <w:rsid w:val="00B530EF"/>
    <w:rsid w:val="00B5338E"/>
    <w:rsid w:val="00B53405"/>
    <w:rsid w:val="00B5372A"/>
    <w:rsid w:val="00B537B8"/>
    <w:rsid w:val="00B53B79"/>
    <w:rsid w:val="00B53CA5"/>
    <w:rsid w:val="00B53DBC"/>
    <w:rsid w:val="00B54185"/>
    <w:rsid w:val="00B5432D"/>
    <w:rsid w:val="00B543CB"/>
    <w:rsid w:val="00B545AE"/>
    <w:rsid w:val="00B54F6A"/>
    <w:rsid w:val="00B5561F"/>
    <w:rsid w:val="00B55B61"/>
    <w:rsid w:val="00B55D8E"/>
    <w:rsid w:val="00B55F0E"/>
    <w:rsid w:val="00B5688A"/>
    <w:rsid w:val="00B57538"/>
    <w:rsid w:val="00B577CE"/>
    <w:rsid w:val="00B57C31"/>
    <w:rsid w:val="00B6046A"/>
    <w:rsid w:val="00B60486"/>
    <w:rsid w:val="00B60E3D"/>
    <w:rsid w:val="00B6101E"/>
    <w:rsid w:val="00B6110F"/>
    <w:rsid w:val="00B611FC"/>
    <w:rsid w:val="00B616AB"/>
    <w:rsid w:val="00B626BF"/>
    <w:rsid w:val="00B62982"/>
    <w:rsid w:val="00B63468"/>
    <w:rsid w:val="00B6347F"/>
    <w:rsid w:val="00B636BA"/>
    <w:rsid w:val="00B63883"/>
    <w:rsid w:val="00B63E29"/>
    <w:rsid w:val="00B64531"/>
    <w:rsid w:val="00B646D5"/>
    <w:rsid w:val="00B64ED0"/>
    <w:rsid w:val="00B65A0F"/>
    <w:rsid w:val="00B65DDD"/>
    <w:rsid w:val="00B65F93"/>
    <w:rsid w:val="00B66010"/>
    <w:rsid w:val="00B6653A"/>
    <w:rsid w:val="00B665D5"/>
    <w:rsid w:val="00B66BC1"/>
    <w:rsid w:val="00B67116"/>
    <w:rsid w:val="00B67126"/>
    <w:rsid w:val="00B67239"/>
    <w:rsid w:val="00B674E0"/>
    <w:rsid w:val="00B67BB8"/>
    <w:rsid w:val="00B67EC8"/>
    <w:rsid w:val="00B705D3"/>
    <w:rsid w:val="00B715E5"/>
    <w:rsid w:val="00B71786"/>
    <w:rsid w:val="00B71FDE"/>
    <w:rsid w:val="00B71FEA"/>
    <w:rsid w:val="00B72391"/>
    <w:rsid w:val="00B725A0"/>
    <w:rsid w:val="00B72A42"/>
    <w:rsid w:val="00B7303F"/>
    <w:rsid w:val="00B732DC"/>
    <w:rsid w:val="00B73929"/>
    <w:rsid w:val="00B742C0"/>
    <w:rsid w:val="00B743B3"/>
    <w:rsid w:val="00B74AC4"/>
    <w:rsid w:val="00B74BEB"/>
    <w:rsid w:val="00B74C6E"/>
    <w:rsid w:val="00B74DDA"/>
    <w:rsid w:val="00B753C7"/>
    <w:rsid w:val="00B754B2"/>
    <w:rsid w:val="00B75C77"/>
    <w:rsid w:val="00B76639"/>
    <w:rsid w:val="00B776C2"/>
    <w:rsid w:val="00B779C0"/>
    <w:rsid w:val="00B77B6D"/>
    <w:rsid w:val="00B77F07"/>
    <w:rsid w:val="00B80087"/>
    <w:rsid w:val="00B80228"/>
    <w:rsid w:val="00B80239"/>
    <w:rsid w:val="00B8038A"/>
    <w:rsid w:val="00B803DB"/>
    <w:rsid w:val="00B80D39"/>
    <w:rsid w:val="00B80E2D"/>
    <w:rsid w:val="00B80F62"/>
    <w:rsid w:val="00B80F6F"/>
    <w:rsid w:val="00B811A9"/>
    <w:rsid w:val="00B812A6"/>
    <w:rsid w:val="00B81385"/>
    <w:rsid w:val="00B814D3"/>
    <w:rsid w:val="00B816CE"/>
    <w:rsid w:val="00B819BE"/>
    <w:rsid w:val="00B81DF1"/>
    <w:rsid w:val="00B81F81"/>
    <w:rsid w:val="00B8219F"/>
    <w:rsid w:val="00B82278"/>
    <w:rsid w:val="00B827FF"/>
    <w:rsid w:val="00B831D5"/>
    <w:rsid w:val="00B83E54"/>
    <w:rsid w:val="00B84136"/>
    <w:rsid w:val="00B8445D"/>
    <w:rsid w:val="00B846E1"/>
    <w:rsid w:val="00B85373"/>
    <w:rsid w:val="00B855DC"/>
    <w:rsid w:val="00B85A11"/>
    <w:rsid w:val="00B85B52"/>
    <w:rsid w:val="00B8684A"/>
    <w:rsid w:val="00B86907"/>
    <w:rsid w:val="00B86934"/>
    <w:rsid w:val="00B869C2"/>
    <w:rsid w:val="00B86DEB"/>
    <w:rsid w:val="00B86DFF"/>
    <w:rsid w:val="00B872B1"/>
    <w:rsid w:val="00B9000E"/>
    <w:rsid w:val="00B900C1"/>
    <w:rsid w:val="00B9010E"/>
    <w:rsid w:val="00B9061C"/>
    <w:rsid w:val="00B90786"/>
    <w:rsid w:val="00B907FD"/>
    <w:rsid w:val="00B90A67"/>
    <w:rsid w:val="00B9179B"/>
    <w:rsid w:val="00B918F8"/>
    <w:rsid w:val="00B92A3F"/>
    <w:rsid w:val="00B9306F"/>
    <w:rsid w:val="00B9311F"/>
    <w:rsid w:val="00B93351"/>
    <w:rsid w:val="00B93882"/>
    <w:rsid w:val="00B93FAF"/>
    <w:rsid w:val="00B94CE6"/>
    <w:rsid w:val="00B9542D"/>
    <w:rsid w:val="00B95730"/>
    <w:rsid w:val="00B95E4C"/>
    <w:rsid w:val="00B9601D"/>
    <w:rsid w:val="00B962A8"/>
    <w:rsid w:val="00B965B5"/>
    <w:rsid w:val="00B9681B"/>
    <w:rsid w:val="00B96A73"/>
    <w:rsid w:val="00B96AC7"/>
    <w:rsid w:val="00B96DBD"/>
    <w:rsid w:val="00B96F5B"/>
    <w:rsid w:val="00B9744A"/>
    <w:rsid w:val="00B974D5"/>
    <w:rsid w:val="00B974EE"/>
    <w:rsid w:val="00B977A4"/>
    <w:rsid w:val="00B979A9"/>
    <w:rsid w:val="00B97FB1"/>
    <w:rsid w:val="00BA0502"/>
    <w:rsid w:val="00BA0736"/>
    <w:rsid w:val="00BA0A7E"/>
    <w:rsid w:val="00BA0C69"/>
    <w:rsid w:val="00BA0D89"/>
    <w:rsid w:val="00BA12B1"/>
    <w:rsid w:val="00BA1995"/>
    <w:rsid w:val="00BA1CD7"/>
    <w:rsid w:val="00BA2476"/>
    <w:rsid w:val="00BA2A15"/>
    <w:rsid w:val="00BA33B9"/>
    <w:rsid w:val="00BA3516"/>
    <w:rsid w:val="00BA381B"/>
    <w:rsid w:val="00BA3AC3"/>
    <w:rsid w:val="00BA4E07"/>
    <w:rsid w:val="00BA4E46"/>
    <w:rsid w:val="00BA4F12"/>
    <w:rsid w:val="00BA53F4"/>
    <w:rsid w:val="00BA5413"/>
    <w:rsid w:val="00BA5931"/>
    <w:rsid w:val="00BA594F"/>
    <w:rsid w:val="00BA5AC3"/>
    <w:rsid w:val="00BA5CE9"/>
    <w:rsid w:val="00BA5F2E"/>
    <w:rsid w:val="00BA608A"/>
    <w:rsid w:val="00BA6358"/>
    <w:rsid w:val="00BA6C89"/>
    <w:rsid w:val="00BA6D12"/>
    <w:rsid w:val="00BA7587"/>
    <w:rsid w:val="00BA77FC"/>
    <w:rsid w:val="00BA7827"/>
    <w:rsid w:val="00BA7F8B"/>
    <w:rsid w:val="00BB02D1"/>
    <w:rsid w:val="00BB0458"/>
    <w:rsid w:val="00BB13FF"/>
    <w:rsid w:val="00BB16D0"/>
    <w:rsid w:val="00BB175D"/>
    <w:rsid w:val="00BB20D5"/>
    <w:rsid w:val="00BB24B3"/>
    <w:rsid w:val="00BB274C"/>
    <w:rsid w:val="00BB2996"/>
    <w:rsid w:val="00BB30C9"/>
    <w:rsid w:val="00BB343A"/>
    <w:rsid w:val="00BB363E"/>
    <w:rsid w:val="00BB5E31"/>
    <w:rsid w:val="00BB6D37"/>
    <w:rsid w:val="00BB6F89"/>
    <w:rsid w:val="00BB723F"/>
    <w:rsid w:val="00BB72B3"/>
    <w:rsid w:val="00BB74C5"/>
    <w:rsid w:val="00BB77AD"/>
    <w:rsid w:val="00BB7B52"/>
    <w:rsid w:val="00BB7F4C"/>
    <w:rsid w:val="00BC042B"/>
    <w:rsid w:val="00BC0F0D"/>
    <w:rsid w:val="00BC16B4"/>
    <w:rsid w:val="00BC178D"/>
    <w:rsid w:val="00BC1E31"/>
    <w:rsid w:val="00BC1F50"/>
    <w:rsid w:val="00BC2074"/>
    <w:rsid w:val="00BC2283"/>
    <w:rsid w:val="00BC256D"/>
    <w:rsid w:val="00BC3B5D"/>
    <w:rsid w:val="00BC46FA"/>
    <w:rsid w:val="00BC49F4"/>
    <w:rsid w:val="00BC4AC3"/>
    <w:rsid w:val="00BC4AF9"/>
    <w:rsid w:val="00BC4F3A"/>
    <w:rsid w:val="00BC568B"/>
    <w:rsid w:val="00BC622C"/>
    <w:rsid w:val="00BC6768"/>
    <w:rsid w:val="00BC6871"/>
    <w:rsid w:val="00BC70FB"/>
    <w:rsid w:val="00BC70FF"/>
    <w:rsid w:val="00BC728A"/>
    <w:rsid w:val="00BC7662"/>
    <w:rsid w:val="00BD03B4"/>
    <w:rsid w:val="00BD0813"/>
    <w:rsid w:val="00BD0F8F"/>
    <w:rsid w:val="00BD186D"/>
    <w:rsid w:val="00BD1C95"/>
    <w:rsid w:val="00BD1D19"/>
    <w:rsid w:val="00BD211A"/>
    <w:rsid w:val="00BD241F"/>
    <w:rsid w:val="00BD267E"/>
    <w:rsid w:val="00BD2A22"/>
    <w:rsid w:val="00BD2D5F"/>
    <w:rsid w:val="00BD3275"/>
    <w:rsid w:val="00BD38E6"/>
    <w:rsid w:val="00BD3AC3"/>
    <w:rsid w:val="00BD3D08"/>
    <w:rsid w:val="00BD3F82"/>
    <w:rsid w:val="00BD403D"/>
    <w:rsid w:val="00BD5570"/>
    <w:rsid w:val="00BD5EAF"/>
    <w:rsid w:val="00BD6178"/>
    <w:rsid w:val="00BD6AF2"/>
    <w:rsid w:val="00BD7002"/>
    <w:rsid w:val="00BD7114"/>
    <w:rsid w:val="00BD7AA5"/>
    <w:rsid w:val="00BD7D5E"/>
    <w:rsid w:val="00BE04BB"/>
    <w:rsid w:val="00BE0613"/>
    <w:rsid w:val="00BE085C"/>
    <w:rsid w:val="00BE0A75"/>
    <w:rsid w:val="00BE0AEB"/>
    <w:rsid w:val="00BE1799"/>
    <w:rsid w:val="00BE1B92"/>
    <w:rsid w:val="00BE22F4"/>
    <w:rsid w:val="00BE2679"/>
    <w:rsid w:val="00BE2690"/>
    <w:rsid w:val="00BE26F6"/>
    <w:rsid w:val="00BE270D"/>
    <w:rsid w:val="00BE2A1A"/>
    <w:rsid w:val="00BE309C"/>
    <w:rsid w:val="00BE3414"/>
    <w:rsid w:val="00BE3C04"/>
    <w:rsid w:val="00BE3C7B"/>
    <w:rsid w:val="00BE3CF1"/>
    <w:rsid w:val="00BE3F62"/>
    <w:rsid w:val="00BE4C14"/>
    <w:rsid w:val="00BE4C99"/>
    <w:rsid w:val="00BE553A"/>
    <w:rsid w:val="00BE5631"/>
    <w:rsid w:val="00BE57C9"/>
    <w:rsid w:val="00BE5A09"/>
    <w:rsid w:val="00BE5AAD"/>
    <w:rsid w:val="00BE5D84"/>
    <w:rsid w:val="00BE5DF6"/>
    <w:rsid w:val="00BE60A5"/>
    <w:rsid w:val="00BE680B"/>
    <w:rsid w:val="00BE6955"/>
    <w:rsid w:val="00BE697D"/>
    <w:rsid w:val="00BE6D8C"/>
    <w:rsid w:val="00BE6EFF"/>
    <w:rsid w:val="00BE6F12"/>
    <w:rsid w:val="00BE71A8"/>
    <w:rsid w:val="00BE723B"/>
    <w:rsid w:val="00BE725E"/>
    <w:rsid w:val="00BE782C"/>
    <w:rsid w:val="00BE7AEF"/>
    <w:rsid w:val="00BE7CD7"/>
    <w:rsid w:val="00BE7E25"/>
    <w:rsid w:val="00BF0016"/>
    <w:rsid w:val="00BF0D27"/>
    <w:rsid w:val="00BF0EFF"/>
    <w:rsid w:val="00BF0F24"/>
    <w:rsid w:val="00BF109A"/>
    <w:rsid w:val="00BF151C"/>
    <w:rsid w:val="00BF16D0"/>
    <w:rsid w:val="00BF2161"/>
    <w:rsid w:val="00BF2D41"/>
    <w:rsid w:val="00BF2E42"/>
    <w:rsid w:val="00BF4E17"/>
    <w:rsid w:val="00BF529F"/>
    <w:rsid w:val="00BF53E7"/>
    <w:rsid w:val="00BF598C"/>
    <w:rsid w:val="00BF5ABE"/>
    <w:rsid w:val="00BF631F"/>
    <w:rsid w:val="00BF6512"/>
    <w:rsid w:val="00BF672E"/>
    <w:rsid w:val="00BF676F"/>
    <w:rsid w:val="00BF68B3"/>
    <w:rsid w:val="00BF6CF6"/>
    <w:rsid w:val="00BF7016"/>
    <w:rsid w:val="00BF71DC"/>
    <w:rsid w:val="00BF71EA"/>
    <w:rsid w:val="00BF7273"/>
    <w:rsid w:val="00BF7329"/>
    <w:rsid w:val="00BF7FCF"/>
    <w:rsid w:val="00C005D7"/>
    <w:rsid w:val="00C0099E"/>
    <w:rsid w:val="00C00D44"/>
    <w:rsid w:val="00C00F6D"/>
    <w:rsid w:val="00C0138A"/>
    <w:rsid w:val="00C015C4"/>
    <w:rsid w:val="00C018CF"/>
    <w:rsid w:val="00C01D0C"/>
    <w:rsid w:val="00C01D33"/>
    <w:rsid w:val="00C02D67"/>
    <w:rsid w:val="00C03243"/>
    <w:rsid w:val="00C0332E"/>
    <w:rsid w:val="00C03F27"/>
    <w:rsid w:val="00C0427F"/>
    <w:rsid w:val="00C04301"/>
    <w:rsid w:val="00C04450"/>
    <w:rsid w:val="00C0451E"/>
    <w:rsid w:val="00C046BE"/>
    <w:rsid w:val="00C04A5D"/>
    <w:rsid w:val="00C04B22"/>
    <w:rsid w:val="00C04FE9"/>
    <w:rsid w:val="00C050A8"/>
    <w:rsid w:val="00C05525"/>
    <w:rsid w:val="00C05655"/>
    <w:rsid w:val="00C05DFB"/>
    <w:rsid w:val="00C060F8"/>
    <w:rsid w:val="00C061CA"/>
    <w:rsid w:val="00C06322"/>
    <w:rsid w:val="00C06326"/>
    <w:rsid w:val="00C069C3"/>
    <w:rsid w:val="00C07712"/>
    <w:rsid w:val="00C07829"/>
    <w:rsid w:val="00C102B5"/>
    <w:rsid w:val="00C10648"/>
    <w:rsid w:val="00C1104A"/>
    <w:rsid w:val="00C114D1"/>
    <w:rsid w:val="00C12241"/>
    <w:rsid w:val="00C1289B"/>
    <w:rsid w:val="00C12E35"/>
    <w:rsid w:val="00C12F51"/>
    <w:rsid w:val="00C1301E"/>
    <w:rsid w:val="00C13D2A"/>
    <w:rsid w:val="00C140E8"/>
    <w:rsid w:val="00C14296"/>
    <w:rsid w:val="00C146D8"/>
    <w:rsid w:val="00C148C1"/>
    <w:rsid w:val="00C14942"/>
    <w:rsid w:val="00C14F0D"/>
    <w:rsid w:val="00C15BA4"/>
    <w:rsid w:val="00C16159"/>
    <w:rsid w:val="00C16907"/>
    <w:rsid w:val="00C16D99"/>
    <w:rsid w:val="00C17383"/>
    <w:rsid w:val="00C175CB"/>
    <w:rsid w:val="00C177CC"/>
    <w:rsid w:val="00C17AE6"/>
    <w:rsid w:val="00C20539"/>
    <w:rsid w:val="00C20E3D"/>
    <w:rsid w:val="00C20EDC"/>
    <w:rsid w:val="00C21421"/>
    <w:rsid w:val="00C215A9"/>
    <w:rsid w:val="00C2257D"/>
    <w:rsid w:val="00C22633"/>
    <w:rsid w:val="00C226F1"/>
    <w:rsid w:val="00C2290D"/>
    <w:rsid w:val="00C23138"/>
    <w:rsid w:val="00C23342"/>
    <w:rsid w:val="00C235CA"/>
    <w:rsid w:val="00C23D64"/>
    <w:rsid w:val="00C23DCD"/>
    <w:rsid w:val="00C23F4E"/>
    <w:rsid w:val="00C23F52"/>
    <w:rsid w:val="00C24208"/>
    <w:rsid w:val="00C2514B"/>
    <w:rsid w:val="00C251A3"/>
    <w:rsid w:val="00C253CB"/>
    <w:rsid w:val="00C258A2"/>
    <w:rsid w:val="00C25A61"/>
    <w:rsid w:val="00C25CB9"/>
    <w:rsid w:val="00C267CC"/>
    <w:rsid w:val="00C26B87"/>
    <w:rsid w:val="00C26C70"/>
    <w:rsid w:val="00C26CD0"/>
    <w:rsid w:val="00C26DDA"/>
    <w:rsid w:val="00C2742F"/>
    <w:rsid w:val="00C27641"/>
    <w:rsid w:val="00C2771A"/>
    <w:rsid w:val="00C27D21"/>
    <w:rsid w:val="00C30378"/>
    <w:rsid w:val="00C30436"/>
    <w:rsid w:val="00C30877"/>
    <w:rsid w:val="00C30DC9"/>
    <w:rsid w:val="00C30DF3"/>
    <w:rsid w:val="00C31287"/>
    <w:rsid w:val="00C31450"/>
    <w:rsid w:val="00C31740"/>
    <w:rsid w:val="00C31AA4"/>
    <w:rsid w:val="00C31DBF"/>
    <w:rsid w:val="00C324CD"/>
    <w:rsid w:val="00C32935"/>
    <w:rsid w:val="00C32B0F"/>
    <w:rsid w:val="00C32B5E"/>
    <w:rsid w:val="00C32E7A"/>
    <w:rsid w:val="00C33270"/>
    <w:rsid w:val="00C33DC6"/>
    <w:rsid w:val="00C34562"/>
    <w:rsid w:val="00C34849"/>
    <w:rsid w:val="00C3489B"/>
    <w:rsid w:val="00C35782"/>
    <w:rsid w:val="00C35909"/>
    <w:rsid w:val="00C360A7"/>
    <w:rsid w:val="00C362F2"/>
    <w:rsid w:val="00C3631F"/>
    <w:rsid w:val="00C36B90"/>
    <w:rsid w:val="00C37131"/>
    <w:rsid w:val="00C375B9"/>
    <w:rsid w:val="00C37921"/>
    <w:rsid w:val="00C37A1A"/>
    <w:rsid w:val="00C3B67F"/>
    <w:rsid w:val="00C40204"/>
    <w:rsid w:val="00C40458"/>
    <w:rsid w:val="00C415AE"/>
    <w:rsid w:val="00C418BB"/>
    <w:rsid w:val="00C41EEF"/>
    <w:rsid w:val="00C422BC"/>
    <w:rsid w:val="00C42598"/>
    <w:rsid w:val="00C42B47"/>
    <w:rsid w:val="00C42FE6"/>
    <w:rsid w:val="00C4367C"/>
    <w:rsid w:val="00C43761"/>
    <w:rsid w:val="00C4439F"/>
    <w:rsid w:val="00C4478D"/>
    <w:rsid w:val="00C44A53"/>
    <w:rsid w:val="00C44AFA"/>
    <w:rsid w:val="00C44BBE"/>
    <w:rsid w:val="00C44FD9"/>
    <w:rsid w:val="00C4547B"/>
    <w:rsid w:val="00C45992"/>
    <w:rsid w:val="00C45D2C"/>
    <w:rsid w:val="00C45D62"/>
    <w:rsid w:val="00C4631C"/>
    <w:rsid w:val="00C463B6"/>
    <w:rsid w:val="00C4665D"/>
    <w:rsid w:val="00C46667"/>
    <w:rsid w:val="00C469A4"/>
    <w:rsid w:val="00C46C37"/>
    <w:rsid w:val="00C46D1D"/>
    <w:rsid w:val="00C471CD"/>
    <w:rsid w:val="00C479EF"/>
    <w:rsid w:val="00C47A50"/>
    <w:rsid w:val="00C500FF"/>
    <w:rsid w:val="00C5023F"/>
    <w:rsid w:val="00C5041E"/>
    <w:rsid w:val="00C507C3"/>
    <w:rsid w:val="00C51067"/>
    <w:rsid w:val="00C51DFF"/>
    <w:rsid w:val="00C52188"/>
    <w:rsid w:val="00C5218F"/>
    <w:rsid w:val="00C52738"/>
    <w:rsid w:val="00C52911"/>
    <w:rsid w:val="00C52C07"/>
    <w:rsid w:val="00C53015"/>
    <w:rsid w:val="00C5358D"/>
    <w:rsid w:val="00C53D2A"/>
    <w:rsid w:val="00C54024"/>
    <w:rsid w:val="00C545DC"/>
    <w:rsid w:val="00C5485D"/>
    <w:rsid w:val="00C54AB6"/>
    <w:rsid w:val="00C54B6D"/>
    <w:rsid w:val="00C55308"/>
    <w:rsid w:val="00C55A8C"/>
    <w:rsid w:val="00C55BD2"/>
    <w:rsid w:val="00C5605D"/>
    <w:rsid w:val="00C56524"/>
    <w:rsid w:val="00C56AB8"/>
    <w:rsid w:val="00C56D03"/>
    <w:rsid w:val="00C57850"/>
    <w:rsid w:val="00C5786E"/>
    <w:rsid w:val="00C57F6A"/>
    <w:rsid w:val="00C60395"/>
    <w:rsid w:val="00C607EB"/>
    <w:rsid w:val="00C607F8"/>
    <w:rsid w:val="00C6083C"/>
    <w:rsid w:val="00C61603"/>
    <w:rsid w:val="00C6164B"/>
    <w:rsid w:val="00C62801"/>
    <w:rsid w:val="00C62978"/>
    <w:rsid w:val="00C62BBB"/>
    <w:rsid w:val="00C6302E"/>
    <w:rsid w:val="00C63108"/>
    <w:rsid w:val="00C63B29"/>
    <w:rsid w:val="00C63B3B"/>
    <w:rsid w:val="00C63D46"/>
    <w:rsid w:val="00C64130"/>
    <w:rsid w:val="00C64878"/>
    <w:rsid w:val="00C64AD3"/>
    <w:rsid w:val="00C64C06"/>
    <w:rsid w:val="00C657BD"/>
    <w:rsid w:val="00C662C0"/>
    <w:rsid w:val="00C666F0"/>
    <w:rsid w:val="00C6685E"/>
    <w:rsid w:val="00C66A8B"/>
    <w:rsid w:val="00C66ED8"/>
    <w:rsid w:val="00C67038"/>
    <w:rsid w:val="00C678A5"/>
    <w:rsid w:val="00C67BE3"/>
    <w:rsid w:val="00C700D3"/>
    <w:rsid w:val="00C705F1"/>
    <w:rsid w:val="00C70750"/>
    <w:rsid w:val="00C70955"/>
    <w:rsid w:val="00C709ED"/>
    <w:rsid w:val="00C70BF4"/>
    <w:rsid w:val="00C70CD7"/>
    <w:rsid w:val="00C70EAC"/>
    <w:rsid w:val="00C70EEE"/>
    <w:rsid w:val="00C70F83"/>
    <w:rsid w:val="00C71518"/>
    <w:rsid w:val="00C71888"/>
    <w:rsid w:val="00C723AF"/>
    <w:rsid w:val="00C72A24"/>
    <w:rsid w:val="00C72A3B"/>
    <w:rsid w:val="00C731E8"/>
    <w:rsid w:val="00C734D1"/>
    <w:rsid w:val="00C73896"/>
    <w:rsid w:val="00C73DCA"/>
    <w:rsid w:val="00C74611"/>
    <w:rsid w:val="00C74839"/>
    <w:rsid w:val="00C75084"/>
    <w:rsid w:val="00C755C4"/>
    <w:rsid w:val="00C756C2"/>
    <w:rsid w:val="00C75E6C"/>
    <w:rsid w:val="00C760FD"/>
    <w:rsid w:val="00C761B1"/>
    <w:rsid w:val="00C7648C"/>
    <w:rsid w:val="00C76947"/>
    <w:rsid w:val="00C76C10"/>
    <w:rsid w:val="00C76D62"/>
    <w:rsid w:val="00C77081"/>
    <w:rsid w:val="00C770B0"/>
    <w:rsid w:val="00C7765F"/>
    <w:rsid w:val="00C7771A"/>
    <w:rsid w:val="00C77E1B"/>
    <w:rsid w:val="00C80108"/>
    <w:rsid w:val="00C806B1"/>
    <w:rsid w:val="00C80787"/>
    <w:rsid w:val="00C80BE6"/>
    <w:rsid w:val="00C80D4B"/>
    <w:rsid w:val="00C80ED7"/>
    <w:rsid w:val="00C80EEA"/>
    <w:rsid w:val="00C81A8F"/>
    <w:rsid w:val="00C81B2F"/>
    <w:rsid w:val="00C82685"/>
    <w:rsid w:val="00C832E2"/>
    <w:rsid w:val="00C83B2F"/>
    <w:rsid w:val="00C83B61"/>
    <w:rsid w:val="00C83DF8"/>
    <w:rsid w:val="00C8422B"/>
    <w:rsid w:val="00C84DD4"/>
    <w:rsid w:val="00C8536A"/>
    <w:rsid w:val="00C858FA"/>
    <w:rsid w:val="00C863D9"/>
    <w:rsid w:val="00C8692E"/>
    <w:rsid w:val="00C8699C"/>
    <w:rsid w:val="00C86A37"/>
    <w:rsid w:val="00C86B25"/>
    <w:rsid w:val="00C87252"/>
    <w:rsid w:val="00C87964"/>
    <w:rsid w:val="00C87BD2"/>
    <w:rsid w:val="00C87BD7"/>
    <w:rsid w:val="00C9059E"/>
    <w:rsid w:val="00C90897"/>
    <w:rsid w:val="00C90C8A"/>
    <w:rsid w:val="00C91030"/>
    <w:rsid w:val="00C9159A"/>
    <w:rsid w:val="00C92E5C"/>
    <w:rsid w:val="00C93276"/>
    <w:rsid w:val="00C93774"/>
    <w:rsid w:val="00C93827"/>
    <w:rsid w:val="00C93D33"/>
    <w:rsid w:val="00C93D59"/>
    <w:rsid w:val="00C94571"/>
    <w:rsid w:val="00C945DD"/>
    <w:rsid w:val="00C94600"/>
    <w:rsid w:val="00C946F1"/>
    <w:rsid w:val="00C94923"/>
    <w:rsid w:val="00C957AF"/>
    <w:rsid w:val="00C95E36"/>
    <w:rsid w:val="00C964F3"/>
    <w:rsid w:val="00C978AA"/>
    <w:rsid w:val="00C97946"/>
    <w:rsid w:val="00C97AAF"/>
    <w:rsid w:val="00C97C0F"/>
    <w:rsid w:val="00C97CF0"/>
    <w:rsid w:val="00CA011F"/>
    <w:rsid w:val="00CA0480"/>
    <w:rsid w:val="00CA0809"/>
    <w:rsid w:val="00CA0B75"/>
    <w:rsid w:val="00CA0C20"/>
    <w:rsid w:val="00CA0D6E"/>
    <w:rsid w:val="00CA0DC9"/>
    <w:rsid w:val="00CA1965"/>
    <w:rsid w:val="00CA1BD4"/>
    <w:rsid w:val="00CA218B"/>
    <w:rsid w:val="00CA234D"/>
    <w:rsid w:val="00CA2660"/>
    <w:rsid w:val="00CA301D"/>
    <w:rsid w:val="00CA321A"/>
    <w:rsid w:val="00CA32AA"/>
    <w:rsid w:val="00CA391F"/>
    <w:rsid w:val="00CA43A1"/>
    <w:rsid w:val="00CA4699"/>
    <w:rsid w:val="00CA46E4"/>
    <w:rsid w:val="00CA4E97"/>
    <w:rsid w:val="00CA5214"/>
    <w:rsid w:val="00CA5249"/>
    <w:rsid w:val="00CA5812"/>
    <w:rsid w:val="00CA5DC9"/>
    <w:rsid w:val="00CA60DD"/>
    <w:rsid w:val="00CA6148"/>
    <w:rsid w:val="00CA6313"/>
    <w:rsid w:val="00CA64EB"/>
    <w:rsid w:val="00CA6719"/>
    <w:rsid w:val="00CA7B51"/>
    <w:rsid w:val="00CA7C2C"/>
    <w:rsid w:val="00CB03A1"/>
    <w:rsid w:val="00CB0496"/>
    <w:rsid w:val="00CB04CD"/>
    <w:rsid w:val="00CB1668"/>
    <w:rsid w:val="00CB1E7B"/>
    <w:rsid w:val="00CB2518"/>
    <w:rsid w:val="00CB27AB"/>
    <w:rsid w:val="00CB2D9B"/>
    <w:rsid w:val="00CB2DEC"/>
    <w:rsid w:val="00CB2E92"/>
    <w:rsid w:val="00CB2FFE"/>
    <w:rsid w:val="00CB305D"/>
    <w:rsid w:val="00CB3423"/>
    <w:rsid w:val="00CB3572"/>
    <w:rsid w:val="00CB3939"/>
    <w:rsid w:val="00CB3FFB"/>
    <w:rsid w:val="00CB435E"/>
    <w:rsid w:val="00CB4D40"/>
    <w:rsid w:val="00CB4F2B"/>
    <w:rsid w:val="00CB5426"/>
    <w:rsid w:val="00CB59D1"/>
    <w:rsid w:val="00CB5C28"/>
    <w:rsid w:val="00CB5C74"/>
    <w:rsid w:val="00CB5DE4"/>
    <w:rsid w:val="00CB5E3B"/>
    <w:rsid w:val="00CB63D4"/>
    <w:rsid w:val="00CB63F8"/>
    <w:rsid w:val="00CB670D"/>
    <w:rsid w:val="00CB6763"/>
    <w:rsid w:val="00CB6BE2"/>
    <w:rsid w:val="00CB712C"/>
    <w:rsid w:val="00CB7A3C"/>
    <w:rsid w:val="00CB7BBA"/>
    <w:rsid w:val="00CB7E58"/>
    <w:rsid w:val="00CC00C7"/>
    <w:rsid w:val="00CC08B3"/>
    <w:rsid w:val="00CC0F54"/>
    <w:rsid w:val="00CC13FC"/>
    <w:rsid w:val="00CC1B1A"/>
    <w:rsid w:val="00CC2A0B"/>
    <w:rsid w:val="00CC332E"/>
    <w:rsid w:val="00CC35BE"/>
    <w:rsid w:val="00CC3C50"/>
    <w:rsid w:val="00CC3C8A"/>
    <w:rsid w:val="00CC3D0D"/>
    <w:rsid w:val="00CC3DDB"/>
    <w:rsid w:val="00CC3EAE"/>
    <w:rsid w:val="00CC40C5"/>
    <w:rsid w:val="00CC4470"/>
    <w:rsid w:val="00CC5067"/>
    <w:rsid w:val="00CC50FA"/>
    <w:rsid w:val="00CC537E"/>
    <w:rsid w:val="00CC5BED"/>
    <w:rsid w:val="00CC5FBA"/>
    <w:rsid w:val="00CC639D"/>
    <w:rsid w:val="00CC689C"/>
    <w:rsid w:val="00CC6D30"/>
    <w:rsid w:val="00CC6FA2"/>
    <w:rsid w:val="00CC7035"/>
    <w:rsid w:val="00CC746E"/>
    <w:rsid w:val="00CD0245"/>
    <w:rsid w:val="00CD02B2"/>
    <w:rsid w:val="00CD054E"/>
    <w:rsid w:val="00CD0984"/>
    <w:rsid w:val="00CD1443"/>
    <w:rsid w:val="00CD1608"/>
    <w:rsid w:val="00CD186E"/>
    <w:rsid w:val="00CD1AFC"/>
    <w:rsid w:val="00CD1F96"/>
    <w:rsid w:val="00CD23DC"/>
    <w:rsid w:val="00CD27C9"/>
    <w:rsid w:val="00CD2CBB"/>
    <w:rsid w:val="00CD33C4"/>
    <w:rsid w:val="00CD39F8"/>
    <w:rsid w:val="00CD4424"/>
    <w:rsid w:val="00CD4425"/>
    <w:rsid w:val="00CD55BC"/>
    <w:rsid w:val="00CD5664"/>
    <w:rsid w:val="00CD5730"/>
    <w:rsid w:val="00CD5B9E"/>
    <w:rsid w:val="00CD6F57"/>
    <w:rsid w:val="00CD70D6"/>
    <w:rsid w:val="00CD75AC"/>
    <w:rsid w:val="00CD7E74"/>
    <w:rsid w:val="00CD7F1C"/>
    <w:rsid w:val="00CE0130"/>
    <w:rsid w:val="00CE0441"/>
    <w:rsid w:val="00CE05BA"/>
    <w:rsid w:val="00CE060E"/>
    <w:rsid w:val="00CE133F"/>
    <w:rsid w:val="00CE1373"/>
    <w:rsid w:val="00CE1734"/>
    <w:rsid w:val="00CE17A5"/>
    <w:rsid w:val="00CE2308"/>
    <w:rsid w:val="00CE2E83"/>
    <w:rsid w:val="00CE30FF"/>
    <w:rsid w:val="00CE3B10"/>
    <w:rsid w:val="00CE44C5"/>
    <w:rsid w:val="00CE4546"/>
    <w:rsid w:val="00CE45A7"/>
    <w:rsid w:val="00CE4912"/>
    <w:rsid w:val="00CE4AA6"/>
    <w:rsid w:val="00CE4BF5"/>
    <w:rsid w:val="00CE4F63"/>
    <w:rsid w:val="00CE53A3"/>
    <w:rsid w:val="00CE54A4"/>
    <w:rsid w:val="00CE5EEA"/>
    <w:rsid w:val="00CE6A32"/>
    <w:rsid w:val="00CE6D6D"/>
    <w:rsid w:val="00CF01AA"/>
    <w:rsid w:val="00CF0593"/>
    <w:rsid w:val="00CF0ADE"/>
    <w:rsid w:val="00CF163E"/>
    <w:rsid w:val="00CF18EB"/>
    <w:rsid w:val="00CF1C3C"/>
    <w:rsid w:val="00CF1C47"/>
    <w:rsid w:val="00CF1F0A"/>
    <w:rsid w:val="00CF24F3"/>
    <w:rsid w:val="00CF2723"/>
    <w:rsid w:val="00CF2B39"/>
    <w:rsid w:val="00CF3593"/>
    <w:rsid w:val="00CF3D04"/>
    <w:rsid w:val="00CF40AD"/>
    <w:rsid w:val="00CF41F5"/>
    <w:rsid w:val="00CF4589"/>
    <w:rsid w:val="00CF46AC"/>
    <w:rsid w:val="00CF4C49"/>
    <w:rsid w:val="00CF537A"/>
    <w:rsid w:val="00CF5516"/>
    <w:rsid w:val="00CF561E"/>
    <w:rsid w:val="00CF643D"/>
    <w:rsid w:val="00CF6520"/>
    <w:rsid w:val="00CF65CD"/>
    <w:rsid w:val="00CF683D"/>
    <w:rsid w:val="00CF7499"/>
    <w:rsid w:val="00CF7B71"/>
    <w:rsid w:val="00D0032C"/>
    <w:rsid w:val="00D00F33"/>
    <w:rsid w:val="00D0107E"/>
    <w:rsid w:val="00D014A5"/>
    <w:rsid w:val="00D014A9"/>
    <w:rsid w:val="00D0187B"/>
    <w:rsid w:val="00D01A08"/>
    <w:rsid w:val="00D01C29"/>
    <w:rsid w:val="00D01D17"/>
    <w:rsid w:val="00D0224A"/>
    <w:rsid w:val="00D023A5"/>
    <w:rsid w:val="00D0259D"/>
    <w:rsid w:val="00D02E01"/>
    <w:rsid w:val="00D035D6"/>
    <w:rsid w:val="00D0362F"/>
    <w:rsid w:val="00D0366F"/>
    <w:rsid w:val="00D0376A"/>
    <w:rsid w:val="00D039F4"/>
    <w:rsid w:val="00D03AA1"/>
    <w:rsid w:val="00D03BBA"/>
    <w:rsid w:val="00D03CC4"/>
    <w:rsid w:val="00D03F4D"/>
    <w:rsid w:val="00D04115"/>
    <w:rsid w:val="00D044DD"/>
    <w:rsid w:val="00D04581"/>
    <w:rsid w:val="00D04D41"/>
    <w:rsid w:val="00D05446"/>
    <w:rsid w:val="00D05895"/>
    <w:rsid w:val="00D059E8"/>
    <w:rsid w:val="00D06091"/>
    <w:rsid w:val="00D061BE"/>
    <w:rsid w:val="00D0626C"/>
    <w:rsid w:val="00D0643B"/>
    <w:rsid w:val="00D06572"/>
    <w:rsid w:val="00D06C59"/>
    <w:rsid w:val="00D071A7"/>
    <w:rsid w:val="00D0769E"/>
    <w:rsid w:val="00D07762"/>
    <w:rsid w:val="00D10298"/>
    <w:rsid w:val="00D1034B"/>
    <w:rsid w:val="00D1044D"/>
    <w:rsid w:val="00D105D7"/>
    <w:rsid w:val="00D10ACB"/>
    <w:rsid w:val="00D10FE0"/>
    <w:rsid w:val="00D1142B"/>
    <w:rsid w:val="00D11503"/>
    <w:rsid w:val="00D1157F"/>
    <w:rsid w:val="00D11A66"/>
    <w:rsid w:val="00D11B7A"/>
    <w:rsid w:val="00D12705"/>
    <w:rsid w:val="00D12B05"/>
    <w:rsid w:val="00D13340"/>
    <w:rsid w:val="00D1395C"/>
    <w:rsid w:val="00D1435A"/>
    <w:rsid w:val="00D1452F"/>
    <w:rsid w:val="00D14796"/>
    <w:rsid w:val="00D14853"/>
    <w:rsid w:val="00D15215"/>
    <w:rsid w:val="00D15311"/>
    <w:rsid w:val="00D1574A"/>
    <w:rsid w:val="00D1613E"/>
    <w:rsid w:val="00D1662F"/>
    <w:rsid w:val="00D16C00"/>
    <w:rsid w:val="00D16D7D"/>
    <w:rsid w:val="00D16F82"/>
    <w:rsid w:val="00D17ACB"/>
    <w:rsid w:val="00D17BE6"/>
    <w:rsid w:val="00D20077"/>
    <w:rsid w:val="00D204ED"/>
    <w:rsid w:val="00D218B3"/>
    <w:rsid w:val="00D21D00"/>
    <w:rsid w:val="00D222B6"/>
    <w:rsid w:val="00D228BB"/>
    <w:rsid w:val="00D22CE5"/>
    <w:rsid w:val="00D22ECF"/>
    <w:rsid w:val="00D22FEC"/>
    <w:rsid w:val="00D2325F"/>
    <w:rsid w:val="00D23445"/>
    <w:rsid w:val="00D2347B"/>
    <w:rsid w:val="00D23619"/>
    <w:rsid w:val="00D2397F"/>
    <w:rsid w:val="00D242A9"/>
    <w:rsid w:val="00D24823"/>
    <w:rsid w:val="00D24CE9"/>
    <w:rsid w:val="00D25778"/>
    <w:rsid w:val="00D2585D"/>
    <w:rsid w:val="00D25975"/>
    <w:rsid w:val="00D25F52"/>
    <w:rsid w:val="00D26079"/>
    <w:rsid w:val="00D26252"/>
    <w:rsid w:val="00D266FC"/>
    <w:rsid w:val="00D26EB7"/>
    <w:rsid w:val="00D272A5"/>
    <w:rsid w:val="00D27863"/>
    <w:rsid w:val="00D308D9"/>
    <w:rsid w:val="00D30DD9"/>
    <w:rsid w:val="00D3105D"/>
    <w:rsid w:val="00D314CA"/>
    <w:rsid w:val="00D31C46"/>
    <w:rsid w:val="00D31C5D"/>
    <w:rsid w:val="00D322FD"/>
    <w:rsid w:val="00D3259E"/>
    <w:rsid w:val="00D32C09"/>
    <w:rsid w:val="00D335E4"/>
    <w:rsid w:val="00D3385B"/>
    <w:rsid w:val="00D3471F"/>
    <w:rsid w:val="00D34F27"/>
    <w:rsid w:val="00D35189"/>
    <w:rsid w:val="00D3613D"/>
    <w:rsid w:val="00D36740"/>
    <w:rsid w:val="00D3706C"/>
    <w:rsid w:val="00D37B44"/>
    <w:rsid w:val="00D37EA2"/>
    <w:rsid w:val="00D40547"/>
    <w:rsid w:val="00D40614"/>
    <w:rsid w:val="00D40B29"/>
    <w:rsid w:val="00D40B76"/>
    <w:rsid w:val="00D40F5E"/>
    <w:rsid w:val="00D41826"/>
    <w:rsid w:val="00D41C97"/>
    <w:rsid w:val="00D41E1A"/>
    <w:rsid w:val="00D4229E"/>
    <w:rsid w:val="00D428F9"/>
    <w:rsid w:val="00D430AA"/>
    <w:rsid w:val="00D43966"/>
    <w:rsid w:val="00D44D00"/>
    <w:rsid w:val="00D451DE"/>
    <w:rsid w:val="00D4580D"/>
    <w:rsid w:val="00D45B2A"/>
    <w:rsid w:val="00D45BFD"/>
    <w:rsid w:val="00D45CBE"/>
    <w:rsid w:val="00D4633B"/>
    <w:rsid w:val="00D4745E"/>
    <w:rsid w:val="00D475B5"/>
    <w:rsid w:val="00D476DF"/>
    <w:rsid w:val="00D47B50"/>
    <w:rsid w:val="00D50933"/>
    <w:rsid w:val="00D509DE"/>
    <w:rsid w:val="00D50A79"/>
    <w:rsid w:val="00D511B4"/>
    <w:rsid w:val="00D51A4F"/>
    <w:rsid w:val="00D51C7D"/>
    <w:rsid w:val="00D51E4C"/>
    <w:rsid w:val="00D5204D"/>
    <w:rsid w:val="00D5208A"/>
    <w:rsid w:val="00D520E6"/>
    <w:rsid w:val="00D526FF"/>
    <w:rsid w:val="00D52B42"/>
    <w:rsid w:val="00D52C27"/>
    <w:rsid w:val="00D5341F"/>
    <w:rsid w:val="00D5350D"/>
    <w:rsid w:val="00D535AB"/>
    <w:rsid w:val="00D535C6"/>
    <w:rsid w:val="00D53E19"/>
    <w:rsid w:val="00D5513A"/>
    <w:rsid w:val="00D55149"/>
    <w:rsid w:val="00D55456"/>
    <w:rsid w:val="00D557D1"/>
    <w:rsid w:val="00D55D60"/>
    <w:rsid w:val="00D55D93"/>
    <w:rsid w:val="00D56098"/>
    <w:rsid w:val="00D56107"/>
    <w:rsid w:val="00D562A8"/>
    <w:rsid w:val="00D56BBE"/>
    <w:rsid w:val="00D572C9"/>
    <w:rsid w:val="00D572EB"/>
    <w:rsid w:val="00D57556"/>
    <w:rsid w:val="00D57902"/>
    <w:rsid w:val="00D57B53"/>
    <w:rsid w:val="00D57EBB"/>
    <w:rsid w:val="00D6062E"/>
    <w:rsid w:val="00D608C6"/>
    <w:rsid w:val="00D617B5"/>
    <w:rsid w:val="00D61A61"/>
    <w:rsid w:val="00D61F41"/>
    <w:rsid w:val="00D6219D"/>
    <w:rsid w:val="00D622F8"/>
    <w:rsid w:val="00D6286D"/>
    <w:rsid w:val="00D62907"/>
    <w:rsid w:val="00D62C77"/>
    <w:rsid w:val="00D62DA7"/>
    <w:rsid w:val="00D631A3"/>
    <w:rsid w:val="00D633FE"/>
    <w:rsid w:val="00D63AB4"/>
    <w:rsid w:val="00D643F6"/>
    <w:rsid w:val="00D64CE3"/>
    <w:rsid w:val="00D64D18"/>
    <w:rsid w:val="00D65053"/>
    <w:rsid w:val="00D65203"/>
    <w:rsid w:val="00D65A88"/>
    <w:rsid w:val="00D6623D"/>
    <w:rsid w:val="00D66620"/>
    <w:rsid w:val="00D66B08"/>
    <w:rsid w:val="00D6740E"/>
    <w:rsid w:val="00D6744D"/>
    <w:rsid w:val="00D67885"/>
    <w:rsid w:val="00D679DE"/>
    <w:rsid w:val="00D700A3"/>
    <w:rsid w:val="00D701A3"/>
    <w:rsid w:val="00D703D6"/>
    <w:rsid w:val="00D70513"/>
    <w:rsid w:val="00D706FB"/>
    <w:rsid w:val="00D70767"/>
    <w:rsid w:val="00D7081E"/>
    <w:rsid w:val="00D71690"/>
    <w:rsid w:val="00D71DEC"/>
    <w:rsid w:val="00D71E0D"/>
    <w:rsid w:val="00D71ECF"/>
    <w:rsid w:val="00D726E8"/>
    <w:rsid w:val="00D729DF"/>
    <w:rsid w:val="00D72A02"/>
    <w:rsid w:val="00D72F26"/>
    <w:rsid w:val="00D73600"/>
    <w:rsid w:val="00D73C07"/>
    <w:rsid w:val="00D73DC8"/>
    <w:rsid w:val="00D743B6"/>
    <w:rsid w:val="00D74957"/>
    <w:rsid w:val="00D74A3E"/>
    <w:rsid w:val="00D74BD6"/>
    <w:rsid w:val="00D75043"/>
    <w:rsid w:val="00D76253"/>
    <w:rsid w:val="00D76B41"/>
    <w:rsid w:val="00D76D3F"/>
    <w:rsid w:val="00D77075"/>
    <w:rsid w:val="00D77291"/>
    <w:rsid w:val="00D77F94"/>
    <w:rsid w:val="00D80059"/>
    <w:rsid w:val="00D804B6"/>
    <w:rsid w:val="00D80EBD"/>
    <w:rsid w:val="00D81067"/>
    <w:rsid w:val="00D810CB"/>
    <w:rsid w:val="00D81815"/>
    <w:rsid w:val="00D81B3B"/>
    <w:rsid w:val="00D821D7"/>
    <w:rsid w:val="00D82652"/>
    <w:rsid w:val="00D829C8"/>
    <w:rsid w:val="00D831E7"/>
    <w:rsid w:val="00D832F7"/>
    <w:rsid w:val="00D835D9"/>
    <w:rsid w:val="00D83704"/>
    <w:rsid w:val="00D83EA9"/>
    <w:rsid w:val="00D83FD3"/>
    <w:rsid w:val="00D84113"/>
    <w:rsid w:val="00D84519"/>
    <w:rsid w:val="00D84AE0"/>
    <w:rsid w:val="00D8570D"/>
    <w:rsid w:val="00D85E31"/>
    <w:rsid w:val="00D86132"/>
    <w:rsid w:val="00D86359"/>
    <w:rsid w:val="00D865A2"/>
    <w:rsid w:val="00D867B2"/>
    <w:rsid w:val="00D867C3"/>
    <w:rsid w:val="00D900AE"/>
    <w:rsid w:val="00D900B3"/>
    <w:rsid w:val="00D900D0"/>
    <w:rsid w:val="00D9024F"/>
    <w:rsid w:val="00D90293"/>
    <w:rsid w:val="00D903D7"/>
    <w:rsid w:val="00D911A6"/>
    <w:rsid w:val="00D91252"/>
    <w:rsid w:val="00D91542"/>
    <w:rsid w:val="00D918ED"/>
    <w:rsid w:val="00D91A8B"/>
    <w:rsid w:val="00D91AEC"/>
    <w:rsid w:val="00D91DC8"/>
    <w:rsid w:val="00D91DEC"/>
    <w:rsid w:val="00D91EE0"/>
    <w:rsid w:val="00D9253F"/>
    <w:rsid w:val="00D92DC5"/>
    <w:rsid w:val="00D92E2E"/>
    <w:rsid w:val="00D92EAE"/>
    <w:rsid w:val="00D9352C"/>
    <w:rsid w:val="00D93852"/>
    <w:rsid w:val="00D943F8"/>
    <w:rsid w:val="00D94918"/>
    <w:rsid w:val="00D94F12"/>
    <w:rsid w:val="00D951C7"/>
    <w:rsid w:val="00D95256"/>
    <w:rsid w:val="00D9529B"/>
    <w:rsid w:val="00D95471"/>
    <w:rsid w:val="00D954E7"/>
    <w:rsid w:val="00D95AD2"/>
    <w:rsid w:val="00D95CF0"/>
    <w:rsid w:val="00D95F71"/>
    <w:rsid w:val="00D961E5"/>
    <w:rsid w:val="00D96E5E"/>
    <w:rsid w:val="00D96F0E"/>
    <w:rsid w:val="00D970EC"/>
    <w:rsid w:val="00D970F8"/>
    <w:rsid w:val="00D97712"/>
    <w:rsid w:val="00D978A8"/>
    <w:rsid w:val="00DA0201"/>
    <w:rsid w:val="00DA0416"/>
    <w:rsid w:val="00DA0AC3"/>
    <w:rsid w:val="00DA16CD"/>
    <w:rsid w:val="00DA17B5"/>
    <w:rsid w:val="00DA19CC"/>
    <w:rsid w:val="00DA1A87"/>
    <w:rsid w:val="00DA2122"/>
    <w:rsid w:val="00DA218C"/>
    <w:rsid w:val="00DA2299"/>
    <w:rsid w:val="00DA2645"/>
    <w:rsid w:val="00DA28F7"/>
    <w:rsid w:val="00DA311E"/>
    <w:rsid w:val="00DA3E4C"/>
    <w:rsid w:val="00DA3E69"/>
    <w:rsid w:val="00DA45AD"/>
    <w:rsid w:val="00DA59F5"/>
    <w:rsid w:val="00DA5EB9"/>
    <w:rsid w:val="00DA63C1"/>
    <w:rsid w:val="00DA6B94"/>
    <w:rsid w:val="00DA6F63"/>
    <w:rsid w:val="00DA7A29"/>
    <w:rsid w:val="00DA7C35"/>
    <w:rsid w:val="00DB10AE"/>
    <w:rsid w:val="00DB1815"/>
    <w:rsid w:val="00DB1F78"/>
    <w:rsid w:val="00DB2075"/>
    <w:rsid w:val="00DB22E9"/>
    <w:rsid w:val="00DB24CC"/>
    <w:rsid w:val="00DB291A"/>
    <w:rsid w:val="00DB2E44"/>
    <w:rsid w:val="00DB2F46"/>
    <w:rsid w:val="00DB412B"/>
    <w:rsid w:val="00DB4294"/>
    <w:rsid w:val="00DB42C7"/>
    <w:rsid w:val="00DB438A"/>
    <w:rsid w:val="00DB4738"/>
    <w:rsid w:val="00DB4EAE"/>
    <w:rsid w:val="00DB515B"/>
    <w:rsid w:val="00DB525D"/>
    <w:rsid w:val="00DB55B9"/>
    <w:rsid w:val="00DB5A47"/>
    <w:rsid w:val="00DB5AA9"/>
    <w:rsid w:val="00DB64E2"/>
    <w:rsid w:val="00DB6676"/>
    <w:rsid w:val="00DB680C"/>
    <w:rsid w:val="00DB6EE5"/>
    <w:rsid w:val="00DB7111"/>
    <w:rsid w:val="00DB71B8"/>
    <w:rsid w:val="00DC06DB"/>
    <w:rsid w:val="00DC08DC"/>
    <w:rsid w:val="00DC121A"/>
    <w:rsid w:val="00DC1252"/>
    <w:rsid w:val="00DC13E5"/>
    <w:rsid w:val="00DC186F"/>
    <w:rsid w:val="00DC1C5F"/>
    <w:rsid w:val="00DC2413"/>
    <w:rsid w:val="00DC2828"/>
    <w:rsid w:val="00DC2A66"/>
    <w:rsid w:val="00DC34A8"/>
    <w:rsid w:val="00DC3CE7"/>
    <w:rsid w:val="00DC3D1F"/>
    <w:rsid w:val="00DC407A"/>
    <w:rsid w:val="00DC42AB"/>
    <w:rsid w:val="00DC4ABD"/>
    <w:rsid w:val="00DC4D7E"/>
    <w:rsid w:val="00DC52C9"/>
    <w:rsid w:val="00DC55AA"/>
    <w:rsid w:val="00DC5857"/>
    <w:rsid w:val="00DC677B"/>
    <w:rsid w:val="00DC6B8F"/>
    <w:rsid w:val="00DC739A"/>
    <w:rsid w:val="00DC753D"/>
    <w:rsid w:val="00DC75F2"/>
    <w:rsid w:val="00DC79FE"/>
    <w:rsid w:val="00DC7EE7"/>
    <w:rsid w:val="00DD01FF"/>
    <w:rsid w:val="00DD07F6"/>
    <w:rsid w:val="00DD0E61"/>
    <w:rsid w:val="00DD0F36"/>
    <w:rsid w:val="00DD2338"/>
    <w:rsid w:val="00DD2711"/>
    <w:rsid w:val="00DD27E2"/>
    <w:rsid w:val="00DD29DC"/>
    <w:rsid w:val="00DD31BF"/>
    <w:rsid w:val="00DD31C7"/>
    <w:rsid w:val="00DD330B"/>
    <w:rsid w:val="00DD3856"/>
    <w:rsid w:val="00DD3DE2"/>
    <w:rsid w:val="00DD43FB"/>
    <w:rsid w:val="00DD461C"/>
    <w:rsid w:val="00DD4924"/>
    <w:rsid w:val="00DD4E6B"/>
    <w:rsid w:val="00DD4E93"/>
    <w:rsid w:val="00DD4EDC"/>
    <w:rsid w:val="00DD4F5E"/>
    <w:rsid w:val="00DD52EC"/>
    <w:rsid w:val="00DD582F"/>
    <w:rsid w:val="00DD5BB0"/>
    <w:rsid w:val="00DD5FE8"/>
    <w:rsid w:val="00DD609C"/>
    <w:rsid w:val="00DD6282"/>
    <w:rsid w:val="00DD652E"/>
    <w:rsid w:val="00DD6F39"/>
    <w:rsid w:val="00DD6F9C"/>
    <w:rsid w:val="00DD70FF"/>
    <w:rsid w:val="00DE0479"/>
    <w:rsid w:val="00DE09D9"/>
    <w:rsid w:val="00DE0AB1"/>
    <w:rsid w:val="00DE0C23"/>
    <w:rsid w:val="00DE0EA5"/>
    <w:rsid w:val="00DE17D9"/>
    <w:rsid w:val="00DE1BA0"/>
    <w:rsid w:val="00DE1C0E"/>
    <w:rsid w:val="00DE1C54"/>
    <w:rsid w:val="00DE1E28"/>
    <w:rsid w:val="00DE1FE6"/>
    <w:rsid w:val="00DE2076"/>
    <w:rsid w:val="00DE21EE"/>
    <w:rsid w:val="00DE24F2"/>
    <w:rsid w:val="00DE2A87"/>
    <w:rsid w:val="00DE30A8"/>
    <w:rsid w:val="00DE312D"/>
    <w:rsid w:val="00DE3228"/>
    <w:rsid w:val="00DE3395"/>
    <w:rsid w:val="00DE3F02"/>
    <w:rsid w:val="00DE4219"/>
    <w:rsid w:val="00DE4537"/>
    <w:rsid w:val="00DE4735"/>
    <w:rsid w:val="00DE4C0C"/>
    <w:rsid w:val="00DE4F5D"/>
    <w:rsid w:val="00DE52DF"/>
    <w:rsid w:val="00DE5C53"/>
    <w:rsid w:val="00DE5D8E"/>
    <w:rsid w:val="00DE5F8E"/>
    <w:rsid w:val="00DE63F9"/>
    <w:rsid w:val="00DE64E2"/>
    <w:rsid w:val="00DE6E0B"/>
    <w:rsid w:val="00DE6FF2"/>
    <w:rsid w:val="00DE70D1"/>
    <w:rsid w:val="00DF0138"/>
    <w:rsid w:val="00DF019A"/>
    <w:rsid w:val="00DF0614"/>
    <w:rsid w:val="00DF0E50"/>
    <w:rsid w:val="00DF105A"/>
    <w:rsid w:val="00DF15CC"/>
    <w:rsid w:val="00DF238C"/>
    <w:rsid w:val="00DF2EE1"/>
    <w:rsid w:val="00DF365C"/>
    <w:rsid w:val="00DF3985"/>
    <w:rsid w:val="00DF3AB1"/>
    <w:rsid w:val="00DF428B"/>
    <w:rsid w:val="00DF42D0"/>
    <w:rsid w:val="00DF4393"/>
    <w:rsid w:val="00DF43BC"/>
    <w:rsid w:val="00DF464B"/>
    <w:rsid w:val="00DF5130"/>
    <w:rsid w:val="00DF5243"/>
    <w:rsid w:val="00DF5402"/>
    <w:rsid w:val="00DF54C3"/>
    <w:rsid w:val="00DF5990"/>
    <w:rsid w:val="00DF6B3A"/>
    <w:rsid w:val="00DF6E07"/>
    <w:rsid w:val="00DF6E53"/>
    <w:rsid w:val="00DF769B"/>
    <w:rsid w:val="00DF76AB"/>
    <w:rsid w:val="00DF7A16"/>
    <w:rsid w:val="00E008B8"/>
    <w:rsid w:val="00E00F76"/>
    <w:rsid w:val="00E0134A"/>
    <w:rsid w:val="00E01596"/>
    <w:rsid w:val="00E01759"/>
    <w:rsid w:val="00E01A5E"/>
    <w:rsid w:val="00E01AA0"/>
    <w:rsid w:val="00E020AD"/>
    <w:rsid w:val="00E021BF"/>
    <w:rsid w:val="00E021E3"/>
    <w:rsid w:val="00E02519"/>
    <w:rsid w:val="00E02D87"/>
    <w:rsid w:val="00E04447"/>
    <w:rsid w:val="00E04682"/>
    <w:rsid w:val="00E048E1"/>
    <w:rsid w:val="00E04C44"/>
    <w:rsid w:val="00E051D2"/>
    <w:rsid w:val="00E057BC"/>
    <w:rsid w:val="00E05CA1"/>
    <w:rsid w:val="00E05EC5"/>
    <w:rsid w:val="00E068CD"/>
    <w:rsid w:val="00E06970"/>
    <w:rsid w:val="00E06AD6"/>
    <w:rsid w:val="00E07224"/>
    <w:rsid w:val="00E0741A"/>
    <w:rsid w:val="00E0742F"/>
    <w:rsid w:val="00E074A4"/>
    <w:rsid w:val="00E07597"/>
    <w:rsid w:val="00E07870"/>
    <w:rsid w:val="00E079CA"/>
    <w:rsid w:val="00E07D64"/>
    <w:rsid w:val="00E105A5"/>
    <w:rsid w:val="00E105C2"/>
    <w:rsid w:val="00E10A5A"/>
    <w:rsid w:val="00E10DA7"/>
    <w:rsid w:val="00E10EF9"/>
    <w:rsid w:val="00E1167F"/>
    <w:rsid w:val="00E1173B"/>
    <w:rsid w:val="00E11873"/>
    <w:rsid w:val="00E11F5D"/>
    <w:rsid w:val="00E1245E"/>
    <w:rsid w:val="00E125D6"/>
    <w:rsid w:val="00E12779"/>
    <w:rsid w:val="00E1313E"/>
    <w:rsid w:val="00E138B7"/>
    <w:rsid w:val="00E13A1F"/>
    <w:rsid w:val="00E147BC"/>
    <w:rsid w:val="00E159F1"/>
    <w:rsid w:val="00E15CA5"/>
    <w:rsid w:val="00E16329"/>
    <w:rsid w:val="00E163B7"/>
    <w:rsid w:val="00E16695"/>
    <w:rsid w:val="00E167FA"/>
    <w:rsid w:val="00E16B33"/>
    <w:rsid w:val="00E16C3A"/>
    <w:rsid w:val="00E16F9B"/>
    <w:rsid w:val="00E16FAC"/>
    <w:rsid w:val="00E17B9C"/>
    <w:rsid w:val="00E17D89"/>
    <w:rsid w:val="00E2053C"/>
    <w:rsid w:val="00E20546"/>
    <w:rsid w:val="00E206B3"/>
    <w:rsid w:val="00E206F4"/>
    <w:rsid w:val="00E20A2C"/>
    <w:rsid w:val="00E2123A"/>
    <w:rsid w:val="00E212C8"/>
    <w:rsid w:val="00E218C2"/>
    <w:rsid w:val="00E22258"/>
    <w:rsid w:val="00E2239E"/>
    <w:rsid w:val="00E2253F"/>
    <w:rsid w:val="00E2259E"/>
    <w:rsid w:val="00E2274F"/>
    <w:rsid w:val="00E22AA3"/>
    <w:rsid w:val="00E22C94"/>
    <w:rsid w:val="00E23661"/>
    <w:rsid w:val="00E23781"/>
    <w:rsid w:val="00E24AB3"/>
    <w:rsid w:val="00E24C44"/>
    <w:rsid w:val="00E24CD7"/>
    <w:rsid w:val="00E24FC6"/>
    <w:rsid w:val="00E250E1"/>
    <w:rsid w:val="00E251B6"/>
    <w:rsid w:val="00E2533D"/>
    <w:rsid w:val="00E25A3C"/>
    <w:rsid w:val="00E26121"/>
    <w:rsid w:val="00E268F7"/>
    <w:rsid w:val="00E2715F"/>
    <w:rsid w:val="00E273C5"/>
    <w:rsid w:val="00E27DE6"/>
    <w:rsid w:val="00E301E1"/>
    <w:rsid w:val="00E303C2"/>
    <w:rsid w:val="00E30867"/>
    <w:rsid w:val="00E30E27"/>
    <w:rsid w:val="00E30FAB"/>
    <w:rsid w:val="00E31358"/>
    <w:rsid w:val="00E313DA"/>
    <w:rsid w:val="00E31E78"/>
    <w:rsid w:val="00E32622"/>
    <w:rsid w:val="00E32A95"/>
    <w:rsid w:val="00E32D05"/>
    <w:rsid w:val="00E32E8D"/>
    <w:rsid w:val="00E3302D"/>
    <w:rsid w:val="00E3337D"/>
    <w:rsid w:val="00E3367E"/>
    <w:rsid w:val="00E3423D"/>
    <w:rsid w:val="00E3428A"/>
    <w:rsid w:val="00E3477F"/>
    <w:rsid w:val="00E34920"/>
    <w:rsid w:val="00E34923"/>
    <w:rsid w:val="00E34A4C"/>
    <w:rsid w:val="00E34CA5"/>
    <w:rsid w:val="00E350F3"/>
    <w:rsid w:val="00E353BA"/>
    <w:rsid w:val="00E353BC"/>
    <w:rsid w:val="00E357E4"/>
    <w:rsid w:val="00E35972"/>
    <w:rsid w:val="00E35C14"/>
    <w:rsid w:val="00E35CE8"/>
    <w:rsid w:val="00E35E89"/>
    <w:rsid w:val="00E3644A"/>
    <w:rsid w:val="00E36862"/>
    <w:rsid w:val="00E36BFC"/>
    <w:rsid w:val="00E376A8"/>
    <w:rsid w:val="00E3780F"/>
    <w:rsid w:val="00E3797B"/>
    <w:rsid w:val="00E37C7C"/>
    <w:rsid w:val="00E37E6A"/>
    <w:rsid w:val="00E4020F"/>
    <w:rsid w:val="00E404F9"/>
    <w:rsid w:val="00E406FB"/>
    <w:rsid w:val="00E40D40"/>
    <w:rsid w:val="00E40EAC"/>
    <w:rsid w:val="00E41297"/>
    <w:rsid w:val="00E413D6"/>
    <w:rsid w:val="00E414A6"/>
    <w:rsid w:val="00E414CC"/>
    <w:rsid w:val="00E417CE"/>
    <w:rsid w:val="00E417F1"/>
    <w:rsid w:val="00E41C37"/>
    <w:rsid w:val="00E42564"/>
    <w:rsid w:val="00E4267F"/>
    <w:rsid w:val="00E42CAA"/>
    <w:rsid w:val="00E42EBA"/>
    <w:rsid w:val="00E42F94"/>
    <w:rsid w:val="00E4339C"/>
    <w:rsid w:val="00E437A9"/>
    <w:rsid w:val="00E43A80"/>
    <w:rsid w:val="00E444C5"/>
    <w:rsid w:val="00E4478F"/>
    <w:rsid w:val="00E4491D"/>
    <w:rsid w:val="00E44B75"/>
    <w:rsid w:val="00E44DF4"/>
    <w:rsid w:val="00E44F13"/>
    <w:rsid w:val="00E45026"/>
    <w:rsid w:val="00E45128"/>
    <w:rsid w:val="00E45BB5"/>
    <w:rsid w:val="00E45F37"/>
    <w:rsid w:val="00E467E7"/>
    <w:rsid w:val="00E46B24"/>
    <w:rsid w:val="00E46B2D"/>
    <w:rsid w:val="00E46C20"/>
    <w:rsid w:val="00E46D89"/>
    <w:rsid w:val="00E470E6"/>
    <w:rsid w:val="00E478CD"/>
    <w:rsid w:val="00E47937"/>
    <w:rsid w:val="00E50193"/>
    <w:rsid w:val="00E50F60"/>
    <w:rsid w:val="00E51160"/>
    <w:rsid w:val="00E514CC"/>
    <w:rsid w:val="00E53166"/>
    <w:rsid w:val="00E534B6"/>
    <w:rsid w:val="00E53612"/>
    <w:rsid w:val="00E539E7"/>
    <w:rsid w:val="00E53E53"/>
    <w:rsid w:val="00E547E5"/>
    <w:rsid w:val="00E55B8F"/>
    <w:rsid w:val="00E5672D"/>
    <w:rsid w:val="00E5691A"/>
    <w:rsid w:val="00E56A25"/>
    <w:rsid w:val="00E575C5"/>
    <w:rsid w:val="00E576CB"/>
    <w:rsid w:val="00E5777D"/>
    <w:rsid w:val="00E579D7"/>
    <w:rsid w:val="00E60083"/>
    <w:rsid w:val="00E60214"/>
    <w:rsid w:val="00E60329"/>
    <w:rsid w:val="00E607F3"/>
    <w:rsid w:val="00E609A0"/>
    <w:rsid w:val="00E609F3"/>
    <w:rsid w:val="00E60A97"/>
    <w:rsid w:val="00E60AD6"/>
    <w:rsid w:val="00E60E59"/>
    <w:rsid w:val="00E60E8A"/>
    <w:rsid w:val="00E60F7E"/>
    <w:rsid w:val="00E612B1"/>
    <w:rsid w:val="00E61497"/>
    <w:rsid w:val="00E61547"/>
    <w:rsid w:val="00E618C2"/>
    <w:rsid w:val="00E61C3B"/>
    <w:rsid w:val="00E61DB7"/>
    <w:rsid w:val="00E62074"/>
    <w:rsid w:val="00E6249C"/>
    <w:rsid w:val="00E62BB8"/>
    <w:rsid w:val="00E62DCD"/>
    <w:rsid w:val="00E63056"/>
    <w:rsid w:val="00E636E1"/>
    <w:rsid w:val="00E63927"/>
    <w:rsid w:val="00E63951"/>
    <w:rsid w:val="00E64C79"/>
    <w:rsid w:val="00E64C91"/>
    <w:rsid w:val="00E64CEA"/>
    <w:rsid w:val="00E64D12"/>
    <w:rsid w:val="00E65B97"/>
    <w:rsid w:val="00E65C50"/>
    <w:rsid w:val="00E6605E"/>
    <w:rsid w:val="00E66864"/>
    <w:rsid w:val="00E66BA4"/>
    <w:rsid w:val="00E66F0F"/>
    <w:rsid w:val="00E67261"/>
    <w:rsid w:val="00E6749D"/>
    <w:rsid w:val="00E67DD3"/>
    <w:rsid w:val="00E70664"/>
    <w:rsid w:val="00E7095D"/>
    <w:rsid w:val="00E70B00"/>
    <w:rsid w:val="00E70C34"/>
    <w:rsid w:val="00E71054"/>
    <w:rsid w:val="00E7108A"/>
    <w:rsid w:val="00E713E9"/>
    <w:rsid w:val="00E71556"/>
    <w:rsid w:val="00E71D4B"/>
    <w:rsid w:val="00E72DDD"/>
    <w:rsid w:val="00E72FFF"/>
    <w:rsid w:val="00E730C5"/>
    <w:rsid w:val="00E73802"/>
    <w:rsid w:val="00E73879"/>
    <w:rsid w:val="00E73A78"/>
    <w:rsid w:val="00E73ACE"/>
    <w:rsid w:val="00E74369"/>
    <w:rsid w:val="00E748DA"/>
    <w:rsid w:val="00E74BE8"/>
    <w:rsid w:val="00E754D3"/>
    <w:rsid w:val="00E75968"/>
    <w:rsid w:val="00E7596E"/>
    <w:rsid w:val="00E75C2E"/>
    <w:rsid w:val="00E765BF"/>
    <w:rsid w:val="00E769A9"/>
    <w:rsid w:val="00E77266"/>
    <w:rsid w:val="00E772F6"/>
    <w:rsid w:val="00E776CC"/>
    <w:rsid w:val="00E803E5"/>
    <w:rsid w:val="00E8047F"/>
    <w:rsid w:val="00E805E4"/>
    <w:rsid w:val="00E80CC5"/>
    <w:rsid w:val="00E8123C"/>
    <w:rsid w:val="00E8175C"/>
    <w:rsid w:val="00E81972"/>
    <w:rsid w:val="00E81CC9"/>
    <w:rsid w:val="00E825CA"/>
    <w:rsid w:val="00E829DB"/>
    <w:rsid w:val="00E832BC"/>
    <w:rsid w:val="00E833B4"/>
    <w:rsid w:val="00E83602"/>
    <w:rsid w:val="00E84080"/>
    <w:rsid w:val="00E84118"/>
    <w:rsid w:val="00E849B0"/>
    <w:rsid w:val="00E84B8C"/>
    <w:rsid w:val="00E84C4B"/>
    <w:rsid w:val="00E84E6F"/>
    <w:rsid w:val="00E84F7E"/>
    <w:rsid w:val="00E84F8A"/>
    <w:rsid w:val="00E85715"/>
    <w:rsid w:val="00E857E0"/>
    <w:rsid w:val="00E85B06"/>
    <w:rsid w:val="00E85B92"/>
    <w:rsid w:val="00E85BDC"/>
    <w:rsid w:val="00E85D2E"/>
    <w:rsid w:val="00E863D4"/>
    <w:rsid w:val="00E866F6"/>
    <w:rsid w:val="00E86979"/>
    <w:rsid w:val="00E86AEC"/>
    <w:rsid w:val="00E86EDD"/>
    <w:rsid w:val="00E870BD"/>
    <w:rsid w:val="00E872E9"/>
    <w:rsid w:val="00E878C9"/>
    <w:rsid w:val="00E87EEC"/>
    <w:rsid w:val="00E90101"/>
    <w:rsid w:val="00E905F0"/>
    <w:rsid w:val="00E909DE"/>
    <w:rsid w:val="00E91793"/>
    <w:rsid w:val="00E91A4B"/>
    <w:rsid w:val="00E91B1E"/>
    <w:rsid w:val="00E91CE3"/>
    <w:rsid w:val="00E91EB5"/>
    <w:rsid w:val="00E9244A"/>
    <w:rsid w:val="00E92A5D"/>
    <w:rsid w:val="00E92EF9"/>
    <w:rsid w:val="00E93206"/>
    <w:rsid w:val="00E936DD"/>
    <w:rsid w:val="00E93780"/>
    <w:rsid w:val="00E93D3D"/>
    <w:rsid w:val="00E93E2C"/>
    <w:rsid w:val="00E941E8"/>
    <w:rsid w:val="00E94B57"/>
    <w:rsid w:val="00E94DBF"/>
    <w:rsid w:val="00E94ED0"/>
    <w:rsid w:val="00E95127"/>
    <w:rsid w:val="00E95823"/>
    <w:rsid w:val="00E95956"/>
    <w:rsid w:val="00E95971"/>
    <w:rsid w:val="00E95C7C"/>
    <w:rsid w:val="00E96443"/>
    <w:rsid w:val="00E96D14"/>
    <w:rsid w:val="00E97103"/>
    <w:rsid w:val="00E97146"/>
    <w:rsid w:val="00E97164"/>
    <w:rsid w:val="00E9731E"/>
    <w:rsid w:val="00E97446"/>
    <w:rsid w:val="00E9754B"/>
    <w:rsid w:val="00EA02E3"/>
    <w:rsid w:val="00EA0E81"/>
    <w:rsid w:val="00EA1519"/>
    <w:rsid w:val="00EA17F0"/>
    <w:rsid w:val="00EA1967"/>
    <w:rsid w:val="00EA1A3A"/>
    <w:rsid w:val="00EA1D11"/>
    <w:rsid w:val="00EA2E18"/>
    <w:rsid w:val="00EA2EAE"/>
    <w:rsid w:val="00EA3214"/>
    <w:rsid w:val="00EA36DF"/>
    <w:rsid w:val="00EA3C12"/>
    <w:rsid w:val="00EA3ECC"/>
    <w:rsid w:val="00EA42DF"/>
    <w:rsid w:val="00EA4AA1"/>
    <w:rsid w:val="00EA5406"/>
    <w:rsid w:val="00EA5AA7"/>
    <w:rsid w:val="00EA63C0"/>
    <w:rsid w:val="00EA6795"/>
    <w:rsid w:val="00EA6E2E"/>
    <w:rsid w:val="00EA73CB"/>
    <w:rsid w:val="00EA749F"/>
    <w:rsid w:val="00EA7C58"/>
    <w:rsid w:val="00EA7E86"/>
    <w:rsid w:val="00EAD949"/>
    <w:rsid w:val="00EB0115"/>
    <w:rsid w:val="00EB0407"/>
    <w:rsid w:val="00EB0536"/>
    <w:rsid w:val="00EB07BB"/>
    <w:rsid w:val="00EB0CC8"/>
    <w:rsid w:val="00EB1559"/>
    <w:rsid w:val="00EB1572"/>
    <w:rsid w:val="00EB183C"/>
    <w:rsid w:val="00EB1D0C"/>
    <w:rsid w:val="00EB21B1"/>
    <w:rsid w:val="00EB223D"/>
    <w:rsid w:val="00EB2448"/>
    <w:rsid w:val="00EB2516"/>
    <w:rsid w:val="00EB2587"/>
    <w:rsid w:val="00EB275A"/>
    <w:rsid w:val="00EB2761"/>
    <w:rsid w:val="00EB27BE"/>
    <w:rsid w:val="00EB2E3A"/>
    <w:rsid w:val="00EB33BA"/>
    <w:rsid w:val="00EB39A4"/>
    <w:rsid w:val="00EB3AF3"/>
    <w:rsid w:val="00EB3D7E"/>
    <w:rsid w:val="00EB42A8"/>
    <w:rsid w:val="00EB44D6"/>
    <w:rsid w:val="00EB4617"/>
    <w:rsid w:val="00EB49C9"/>
    <w:rsid w:val="00EB4EF3"/>
    <w:rsid w:val="00EB5601"/>
    <w:rsid w:val="00EB5DA2"/>
    <w:rsid w:val="00EB601C"/>
    <w:rsid w:val="00EB6285"/>
    <w:rsid w:val="00EB6F34"/>
    <w:rsid w:val="00EB720C"/>
    <w:rsid w:val="00EB744F"/>
    <w:rsid w:val="00EB7648"/>
    <w:rsid w:val="00EB78DB"/>
    <w:rsid w:val="00EB7CCE"/>
    <w:rsid w:val="00EC05CF"/>
    <w:rsid w:val="00EC1B53"/>
    <w:rsid w:val="00EC20E9"/>
    <w:rsid w:val="00EC25F7"/>
    <w:rsid w:val="00EC2956"/>
    <w:rsid w:val="00EC2D3A"/>
    <w:rsid w:val="00EC33BB"/>
    <w:rsid w:val="00EC3635"/>
    <w:rsid w:val="00EC36A2"/>
    <w:rsid w:val="00EC413B"/>
    <w:rsid w:val="00EC434A"/>
    <w:rsid w:val="00EC49E8"/>
    <w:rsid w:val="00EC4A66"/>
    <w:rsid w:val="00EC501A"/>
    <w:rsid w:val="00EC521C"/>
    <w:rsid w:val="00EC526F"/>
    <w:rsid w:val="00EC54BC"/>
    <w:rsid w:val="00EC58EB"/>
    <w:rsid w:val="00EC5C01"/>
    <w:rsid w:val="00EC686C"/>
    <w:rsid w:val="00EC6AB4"/>
    <w:rsid w:val="00EC6B64"/>
    <w:rsid w:val="00EC7507"/>
    <w:rsid w:val="00EC7541"/>
    <w:rsid w:val="00EC76DA"/>
    <w:rsid w:val="00EC7C70"/>
    <w:rsid w:val="00EC7F0D"/>
    <w:rsid w:val="00ED0068"/>
    <w:rsid w:val="00ED01BF"/>
    <w:rsid w:val="00ED055C"/>
    <w:rsid w:val="00ED0A75"/>
    <w:rsid w:val="00ED145E"/>
    <w:rsid w:val="00ED14A5"/>
    <w:rsid w:val="00ED157A"/>
    <w:rsid w:val="00ED1759"/>
    <w:rsid w:val="00ED17BE"/>
    <w:rsid w:val="00ED18C8"/>
    <w:rsid w:val="00ED1B13"/>
    <w:rsid w:val="00ED2499"/>
    <w:rsid w:val="00ED4143"/>
    <w:rsid w:val="00ED4302"/>
    <w:rsid w:val="00ED47D3"/>
    <w:rsid w:val="00ED4C4A"/>
    <w:rsid w:val="00ED5D18"/>
    <w:rsid w:val="00ED5FCE"/>
    <w:rsid w:val="00ED610A"/>
    <w:rsid w:val="00ED6A8F"/>
    <w:rsid w:val="00ED6B8E"/>
    <w:rsid w:val="00ED753D"/>
    <w:rsid w:val="00ED762E"/>
    <w:rsid w:val="00ED7632"/>
    <w:rsid w:val="00ED7DA0"/>
    <w:rsid w:val="00ED7E6C"/>
    <w:rsid w:val="00ED7E9D"/>
    <w:rsid w:val="00EE00EE"/>
    <w:rsid w:val="00EE03A9"/>
    <w:rsid w:val="00EE0AFD"/>
    <w:rsid w:val="00EE0CA5"/>
    <w:rsid w:val="00EE0DDE"/>
    <w:rsid w:val="00EE0F4A"/>
    <w:rsid w:val="00EE1676"/>
    <w:rsid w:val="00EE17FB"/>
    <w:rsid w:val="00EE1F22"/>
    <w:rsid w:val="00EE1F23"/>
    <w:rsid w:val="00EE1F49"/>
    <w:rsid w:val="00EE208E"/>
    <w:rsid w:val="00EE23CA"/>
    <w:rsid w:val="00EE2637"/>
    <w:rsid w:val="00EE27B7"/>
    <w:rsid w:val="00EE2B99"/>
    <w:rsid w:val="00EE31F3"/>
    <w:rsid w:val="00EE3307"/>
    <w:rsid w:val="00EE371C"/>
    <w:rsid w:val="00EE37B5"/>
    <w:rsid w:val="00EE3EEC"/>
    <w:rsid w:val="00EE43A4"/>
    <w:rsid w:val="00EE44C1"/>
    <w:rsid w:val="00EE4A66"/>
    <w:rsid w:val="00EE553C"/>
    <w:rsid w:val="00EE57F8"/>
    <w:rsid w:val="00EE6018"/>
    <w:rsid w:val="00EE6252"/>
    <w:rsid w:val="00EE62F5"/>
    <w:rsid w:val="00EE6B87"/>
    <w:rsid w:val="00EE6CFB"/>
    <w:rsid w:val="00EE7372"/>
    <w:rsid w:val="00EE7961"/>
    <w:rsid w:val="00EE7DE3"/>
    <w:rsid w:val="00EF03E1"/>
    <w:rsid w:val="00EF071F"/>
    <w:rsid w:val="00EF08E3"/>
    <w:rsid w:val="00EF0B88"/>
    <w:rsid w:val="00EF0CBA"/>
    <w:rsid w:val="00EF171F"/>
    <w:rsid w:val="00EF24E9"/>
    <w:rsid w:val="00EF2E4D"/>
    <w:rsid w:val="00EF3427"/>
    <w:rsid w:val="00EF3E52"/>
    <w:rsid w:val="00EF4492"/>
    <w:rsid w:val="00EF44D4"/>
    <w:rsid w:val="00EF5074"/>
    <w:rsid w:val="00EF5A5F"/>
    <w:rsid w:val="00EF6878"/>
    <w:rsid w:val="00EF6C89"/>
    <w:rsid w:val="00EF6F65"/>
    <w:rsid w:val="00EF7294"/>
    <w:rsid w:val="00EF739C"/>
    <w:rsid w:val="00EF7617"/>
    <w:rsid w:val="00EF7A44"/>
    <w:rsid w:val="00EF7A53"/>
    <w:rsid w:val="00EF7A66"/>
    <w:rsid w:val="00EF7FA4"/>
    <w:rsid w:val="00F001E0"/>
    <w:rsid w:val="00F0038A"/>
    <w:rsid w:val="00F0089F"/>
    <w:rsid w:val="00F0095E"/>
    <w:rsid w:val="00F009FA"/>
    <w:rsid w:val="00F00CC6"/>
    <w:rsid w:val="00F00CFF"/>
    <w:rsid w:val="00F00DE8"/>
    <w:rsid w:val="00F011B5"/>
    <w:rsid w:val="00F01314"/>
    <w:rsid w:val="00F01655"/>
    <w:rsid w:val="00F016EE"/>
    <w:rsid w:val="00F017F1"/>
    <w:rsid w:val="00F01931"/>
    <w:rsid w:val="00F02043"/>
    <w:rsid w:val="00F020F8"/>
    <w:rsid w:val="00F02124"/>
    <w:rsid w:val="00F024C2"/>
    <w:rsid w:val="00F02706"/>
    <w:rsid w:val="00F0278D"/>
    <w:rsid w:val="00F027C9"/>
    <w:rsid w:val="00F02B76"/>
    <w:rsid w:val="00F02D95"/>
    <w:rsid w:val="00F0392E"/>
    <w:rsid w:val="00F03C51"/>
    <w:rsid w:val="00F03CAF"/>
    <w:rsid w:val="00F040AB"/>
    <w:rsid w:val="00F043AD"/>
    <w:rsid w:val="00F049AC"/>
    <w:rsid w:val="00F04A27"/>
    <w:rsid w:val="00F04BB5"/>
    <w:rsid w:val="00F0515E"/>
    <w:rsid w:val="00F05200"/>
    <w:rsid w:val="00F05422"/>
    <w:rsid w:val="00F05864"/>
    <w:rsid w:val="00F05FAD"/>
    <w:rsid w:val="00F06806"/>
    <w:rsid w:val="00F06A23"/>
    <w:rsid w:val="00F06D02"/>
    <w:rsid w:val="00F078DE"/>
    <w:rsid w:val="00F07EF7"/>
    <w:rsid w:val="00F1032F"/>
    <w:rsid w:val="00F10410"/>
    <w:rsid w:val="00F1066C"/>
    <w:rsid w:val="00F10924"/>
    <w:rsid w:val="00F10C9B"/>
    <w:rsid w:val="00F1133F"/>
    <w:rsid w:val="00F11648"/>
    <w:rsid w:val="00F118A3"/>
    <w:rsid w:val="00F11BCE"/>
    <w:rsid w:val="00F123BC"/>
    <w:rsid w:val="00F13065"/>
    <w:rsid w:val="00F132F9"/>
    <w:rsid w:val="00F1357F"/>
    <w:rsid w:val="00F136D5"/>
    <w:rsid w:val="00F13781"/>
    <w:rsid w:val="00F13947"/>
    <w:rsid w:val="00F139BA"/>
    <w:rsid w:val="00F14739"/>
    <w:rsid w:val="00F14EB6"/>
    <w:rsid w:val="00F14FD2"/>
    <w:rsid w:val="00F1548E"/>
    <w:rsid w:val="00F15948"/>
    <w:rsid w:val="00F15CEC"/>
    <w:rsid w:val="00F16569"/>
    <w:rsid w:val="00F16B01"/>
    <w:rsid w:val="00F16D3B"/>
    <w:rsid w:val="00F170E9"/>
    <w:rsid w:val="00F173C9"/>
    <w:rsid w:val="00F178DE"/>
    <w:rsid w:val="00F17C0B"/>
    <w:rsid w:val="00F17EF3"/>
    <w:rsid w:val="00F203C9"/>
    <w:rsid w:val="00F2167D"/>
    <w:rsid w:val="00F21EB4"/>
    <w:rsid w:val="00F22A38"/>
    <w:rsid w:val="00F23EC1"/>
    <w:rsid w:val="00F24076"/>
    <w:rsid w:val="00F24D9C"/>
    <w:rsid w:val="00F25454"/>
    <w:rsid w:val="00F254AF"/>
    <w:rsid w:val="00F2571D"/>
    <w:rsid w:val="00F25F93"/>
    <w:rsid w:val="00F264A9"/>
    <w:rsid w:val="00F267C9"/>
    <w:rsid w:val="00F26DFC"/>
    <w:rsid w:val="00F26F1A"/>
    <w:rsid w:val="00F26F27"/>
    <w:rsid w:val="00F26FB1"/>
    <w:rsid w:val="00F271ED"/>
    <w:rsid w:val="00F27347"/>
    <w:rsid w:val="00F2786D"/>
    <w:rsid w:val="00F3013C"/>
    <w:rsid w:val="00F3020E"/>
    <w:rsid w:val="00F30901"/>
    <w:rsid w:val="00F30B14"/>
    <w:rsid w:val="00F30DDC"/>
    <w:rsid w:val="00F30F16"/>
    <w:rsid w:val="00F30F18"/>
    <w:rsid w:val="00F30F57"/>
    <w:rsid w:val="00F3172E"/>
    <w:rsid w:val="00F31ECF"/>
    <w:rsid w:val="00F31F97"/>
    <w:rsid w:val="00F33049"/>
    <w:rsid w:val="00F33943"/>
    <w:rsid w:val="00F33A03"/>
    <w:rsid w:val="00F33BAB"/>
    <w:rsid w:val="00F33F17"/>
    <w:rsid w:val="00F34422"/>
    <w:rsid w:val="00F34445"/>
    <w:rsid w:val="00F34537"/>
    <w:rsid w:val="00F34756"/>
    <w:rsid w:val="00F34BA8"/>
    <w:rsid w:val="00F3519A"/>
    <w:rsid w:val="00F35261"/>
    <w:rsid w:val="00F3602F"/>
    <w:rsid w:val="00F360BC"/>
    <w:rsid w:val="00F361BD"/>
    <w:rsid w:val="00F368C6"/>
    <w:rsid w:val="00F36C8D"/>
    <w:rsid w:val="00F37069"/>
    <w:rsid w:val="00F3739F"/>
    <w:rsid w:val="00F40067"/>
    <w:rsid w:val="00F4025D"/>
    <w:rsid w:val="00F408FD"/>
    <w:rsid w:val="00F40B38"/>
    <w:rsid w:val="00F40FF8"/>
    <w:rsid w:val="00F4179A"/>
    <w:rsid w:val="00F41B72"/>
    <w:rsid w:val="00F41C19"/>
    <w:rsid w:val="00F4256F"/>
    <w:rsid w:val="00F42BE9"/>
    <w:rsid w:val="00F43209"/>
    <w:rsid w:val="00F43598"/>
    <w:rsid w:val="00F4376C"/>
    <w:rsid w:val="00F439BD"/>
    <w:rsid w:val="00F43AD0"/>
    <w:rsid w:val="00F43F50"/>
    <w:rsid w:val="00F44207"/>
    <w:rsid w:val="00F444B7"/>
    <w:rsid w:val="00F44877"/>
    <w:rsid w:val="00F44CD7"/>
    <w:rsid w:val="00F44F2A"/>
    <w:rsid w:val="00F45119"/>
    <w:rsid w:val="00F45304"/>
    <w:rsid w:val="00F456D4"/>
    <w:rsid w:val="00F459C1"/>
    <w:rsid w:val="00F45F82"/>
    <w:rsid w:val="00F46182"/>
    <w:rsid w:val="00F4643B"/>
    <w:rsid w:val="00F46AB9"/>
    <w:rsid w:val="00F46B4A"/>
    <w:rsid w:val="00F46B5A"/>
    <w:rsid w:val="00F46BA0"/>
    <w:rsid w:val="00F46CC7"/>
    <w:rsid w:val="00F46CE7"/>
    <w:rsid w:val="00F477DE"/>
    <w:rsid w:val="00F47820"/>
    <w:rsid w:val="00F50E71"/>
    <w:rsid w:val="00F512B7"/>
    <w:rsid w:val="00F515BE"/>
    <w:rsid w:val="00F516F5"/>
    <w:rsid w:val="00F5186D"/>
    <w:rsid w:val="00F51944"/>
    <w:rsid w:val="00F519E6"/>
    <w:rsid w:val="00F5208C"/>
    <w:rsid w:val="00F522B7"/>
    <w:rsid w:val="00F5233F"/>
    <w:rsid w:val="00F52633"/>
    <w:rsid w:val="00F533EF"/>
    <w:rsid w:val="00F53734"/>
    <w:rsid w:val="00F53C4A"/>
    <w:rsid w:val="00F53DC4"/>
    <w:rsid w:val="00F53F30"/>
    <w:rsid w:val="00F5483A"/>
    <w:rsid w:val="00F54EC9"/>
    <w:rsid w:val="00F55142"/>
    <w:rsid w:val="00F5584A"/>
    <w:rsid w:val="00F55970"/>
    <w:rsid w:val="00F563BB"/>
    <w:rsid w:val="00F56AC8"/>
    <w:rsid w:val="00F56CDA"/>
    <w:rsid w:val="00F57032"/>
    <w:rsid w:val="00F57C29"/>
    <w:rsid w:val="00F60489"/>
    <w:rsid w:val="00F6058C"/>
    <w:rsid w:val="00F606B5"/>
    <w:rsid w:val="00F607AE"/>
    <w:rsid w:val="00F60A32"/>
    <w:rsid w:val="00F60AA9"/>
    <w:rsid w:val="00F60B0E"/>
    <w:rsid w:val="00F60D69"/>
    <w:rsid w:val="00F60DCB"/>
    <w:rsid w:val="00F6104A"/>
    <w:rsid w:val="00F61141"/>
    <w:rsid w:val="00F61341"/>
    <w:rsid w:val="00F6183E"/>
    <w:rsid w:val="00F61FF2"/>
    <w:rsid w:val="00F6256E"/>
    <w:rsid w:val="00F626D8"/>
    <w:rsid w:val="00F62821"/>
    <w:rsid w:val="00F62B12"/>
    <w:rsid w:val="00F636CA"/>
    <w:rsid w:val="00F63A4D"/>
    <w:rsid w:val="00F63D55"/>
    <w:rsid w:val="00F63EDE"/>
    <w:rsid w:val="00F64564"/>
    <w:rsid w:val="00F64C9C"/>
    <w:rsid w:val="00F64CF8"/>
    <w:rsid w:val="00F65292"/>
    <w:rsid w:val="00F658DD"/>
    <w:rsid w:val="00F65901"/>
    <w:rsid w:val="00F65ADF"/>
    <w:rsid w:val="00F65DCF"/>
    <w:rsid w:val="00F66234"/>
    <w:rsid w:val="00F666DB"/>
    <w:rsid w:val="00F66FB8"/>
    <w:rsid w:val="00F670D1"/>
    <w:rsid w:val="00F67163"/>
    <w:rsid w:val="00F6716A"/>
    <w:rsid w:val="00F70AB4"/>
    <w:rsid w:val="00F70E6C"/>
    <w:rsid w:val="00F71095"/>
    <w:rsid w:val="00F7169D"/>
    <w:rsid w:val="00F718C0"/>
    <w:rsid w:val="00F71A9A"/>
    <w:rsid w:val="00F726E2"/>
    <w:rsid w:val="00F72705"/>
    <w:rsid w:val="00F73021"/>
    <w:rsid w:val="00F736DB"/>
    <w:rsid w:val="00F736EC"/>
    <w:rsid w:val="00F73A42"/>
    <w:rsid w:val="00F7409C"/>
    <w:rsid w:val="00F741B3"/>
    <w:rsid w:val="00F74422"/>
    <w:rsid w:val="00F747EC"/>
    <w:rsid w:val="00F74A70"/>
    <w:rsid w:val="00F74DB4"/>
    <w:rsid w:val="00F75685"/>
    <w:rsid w:val="00F75B7F"/>
    <w:rsid w:val="00F75CA3"/>
    <w:rsid w:val="00F75ED1"/>
    <w:rsid w:val="00F76534"/>
    <w:rsid w:val="00F76B77"/>
    <w:rsid w:val="00F76E0D"/>
    <w:rsid w:val="00F76F63"/>
    <w:rsid w:val="00F7775D"/>
    <w:rsid w:val="00F7785A"/>
    <w:rsid w:val="00F80238"/>
    <w:rsid w:val="00F80270"/>
    <w:rsid w:val="00F80833"/>
    <w:rsid w:val="00F81FDB"/>
    <w:rsid w:val="00F821A9"/>
    <w:rsid w:val="00F823F4"/>
    <w:rsid w:val="00F8265E"/>
    <w:rsid w:val="00F82766"/>
    <w:rsid w:val="00F82952"/>
    <w:rsid w:val="00F830F3"/>
    <w:rsid w:val="00F83572"/>
    <w:rsid w:val="00F8357C"/>
    <w:rsid w:val="00F83B9A"/>
    <w:rsid w:val="00F8404A"/>
    <w:rsid w:val="00F8430F"/>
    <w:rsid w:val="00F85313"/>
    <w:rsid w:val="00F853D4"/>
    <w:rsid w:val="00F85475"/>
    <w:rsid w:val="00F85838"/>
    <w:rsid w:val="00F85E4C"/>
    <w:rsid w:val="00F85FE9"/>
    <w:rsid w:val="00F8616F"/>
    <w:rsid w:val="00F86215"/>
    <w:rsid w:val="00F86383"/>
    <w:rsid w:val="00F86688"/>
    <w:rsid w:val="00F8675F"/>
    <w:rsid w:val="00F867F2"/>
    <w:rsid w:val="00F86AD2"/>
    <w:rsid w:val="00F8713D"/>
    <w:rsid w:val="00F8755D"/>
    <w:rsid w:val="00F876E1"/>
    <w:rsid w:val="00F87ABA"/>
    <w:rsid w:val="00F87E9F"/>
    <w:rsid w:val="00F87ECD"/>
    <w:rsid w:val="00F901B6"/>
    <w:rsid w:val="00F902C9"/>
    <w:rsid w:val="00F909C7"/>
    <w:rsid w:val="00F90AA4"/>
    <w:rsid w:val="00F90B68"/>
    <w:rsid w:val="00F90E4D"/>
    <w:rsid w:val="00F910DC"/>
    <w:rsid w:val="00F910FA"/>
    <w:rsid w:val="00F91888"/>
    <w:rsid w:val="00F91AF0"/>
    <w:rsid w:val="00F92340"/>
    <w:rsid w:val="00F9251D"/>
    <w:rsid w:val="00F9270B"/>
    <w:rsid w:val="00F92931"/>
    <w:rsid w:val="00F92960"/>
    <w:rsid w:val="00F936FF"/>
    <w:rsid w:val="00F9422E"/>
    <w:rsid w:val="00F945E1"/>
    <w:rsid w:val="00F94641"/>
    <w:rsid w:val="00F94669"/>
    <w:rsid w:val="00F947AE"/>
    <w:rsid w:val="00F94805"/>
    <w:rsid w:val="00F9497C"/>
    <w:rsid w:val="00F94EF4"/>
    <w:rsid w:val="00F951DB"/>
    <w:rsid w:val="00F952EA"/>
    <w:rsid w:val="00F95759"/>
    <w:rsid w:val="00F95E09"/>
    <w:rsid w:val="00F967AD"/>
    <w:rsid w:val="00F96C7D"/>
    <w:rsid w:val="00F9716E"/>
    <w:rsid w:val="00F9770D"/>
    <w:rsid w:val="00F97773"/>
    <w:rsid w:val="00F9778C"/>
    <w:rsid w:val="00F97B86"/>
    <w:rsid w:val="00F97D8E"/>
    <w:rsid w:val="00F97DC0"/>
    <w:rsid w:val="00FA015F"/>
    <w:rsid w:val="00FA023C"/>
    <w:rsid w:val="00FA0914"/>
    <w:rsid w:val="00FA0A5E"/>
    <w:rsid w:val="00FA0B53"/>
    <w:rsid w:val="00FA0B67"/>
    <w:rsid w:val="00FA0BED"/>
    <w:rsid w:val="00FA0D2E"/>
    <w:rsid w:val="00FA0E75"/>
    <w:rsid w:val="00FA1570"/>
    <w:rsid w:val="00FA180E"/>
    <w:rsid w:val="00FA1C4A"/>
    <w:rsid w:val="00FA2039"/>
    <w:rsid w:val="00FA243E"/>
    <w:rsid w:val="00FA2699"/>
    <w:rsid w:val="00FA2938"/>
    <w:rsid w:val="00FA3078"/>
    <w:rsid w:val="00FA3293"/>
    <w:rsid w:val="00FA3625"/>
    <w:rsid w:val="00FA3646"/>
    <w:rsid w:val="00FA3C7D"/>
    <w:rsid w:val="00FA45CE"/>
    <w:rsid w:val="00FA494D"/>
    <w:rsid w:val="00FA4AB9"/>
    <w:rsid w:val="00FA5408"/>
    <w:rsid w:val="00FA5A73"/>
    <w:rsid w:val="00FA5B0E"/>
    <w:rsid w:val="00FA5BDB"/>
    <w:rsid w:val="00FA5E82"/>
    <w:rsid w:val="00FA64DA"/>
    <w:rsid w:val="00FA652A"/>
    <w:rsid w:val="00FA6672"/>
    <w:rsid w:val="00FA6F5A"/>
    <w:rsid w:val="00FA74C2"/>
    <w:rsid w:val="00FA7537"/>
    <w:rsid w:val="00FA76AF"/>
    <w:rsid w:val="00FA77C7"/>
    <w:rsid w:val="00FA7A0C"/>
    <w:rsid w:val="00FA7D7E"/>
    <w:rsid w:val="00FA7FD1"/>
    <w:rsid w:val="00FB0806"/>
    <w:rsid w:val="00FB0867"/>
    <w:rsid w:val="00FB15D3"/>
    <w:rsid w:val="00FB1DF1"/>
    <w:rsid w:val="00FB1F9E"/>
    <w:rsid w:val="00FB2476"/>
    <w:rsid w:val="00FB274F"/>
    <w:rsid w:val="00FB2984"/>
    <w:rsid w:val="00FB2A2F"/>
    <w:rsid w:val="00FB2EB9"/>
    <w:rsid w:val="00FB36D8"/>
    <w:rsid w:val="00FB3E84"/>
    <w:rsid w:val="00FB4375"/>
    <w:rsid w:val="00FB4408"/>
    <w:rsid w:val="00FB4962"/>
    <w:rsid w:val="00FB498B"/>
    <w:rsid w:val="00FB4C0B"/>
    <w:rsid w:val="00FB51F5"/>
    <w:rsid w:val="00FB556A"/>
    <w:rsid w:val="00FB558A"/>
    <w:rsid w:val="00FB5601"/>
    <w:rsid w:val="00FB5BF5"/>
    <w:rsid w:val="00FB5E64"/>
    <w:rsid w:val="00FB5FD2"/>
    <w:rsid w:val="00FB6C47"/>
    <w:rsid w:val="00FB702E"/>
    <w:rsid w:val="00FB7260"/>
    <w:rsid w:val="00FB72C5"/>
    <w:rsid w:val="00FB74F4"/>
    <w:rsid w:val="00FB751D"/>
    <w:rsid w:val="00FB7DE7"/>
    <w:rsid w:val="00FB7E2B"/>
    <w:rsid w:val="00FC00D0"/>
    <w:rsid w:val="00FC0530"/>
    <w:rsid w:val="00FC171F"/>
    <w:rsid w:val="00FC1729"/>
    <w:rsid w:val="00FC1848"/>
    <w:rsid w:val="00FC18D4"/>
    <w:rsid w:val="00FC21E2"/>
    <w:rsid w:val="00FC24BE"/>
    <w:rsid w:val="00FC24ED"/>
    <w:rsid w:val="00FC2995"/>
    <w:rsid w:val="00FC2C48"/>
    <w:rsid w:val="00FC2CCC"/>
    <w:rsid w:val="00FC2DB3"/>
    <w:rsid w:val="00FC2EA8"/>
    <w:rsid w:val="00FC2FFA"/>
    <w:rsid w:val="00FC31FD"/>
    <w:rsid w:val="00FC3438"/>
    <w:rsid w:val="00FC345F"/>
    <w:rsid w:val="00FC366C"/>
    <w:rsid w:val="00FC4B72"/>
    <w:rsid w:val="00FC4D89"/>
    <w:rsid w:val="00FC4D96"/>
    <w:rsid w:val="00FC4FA8"/>
    <w:rsid w:val="00FC5206"/>
    <w:rsid w:val="00FC564E"/>
    <w:rsid w:val="00FC5880"/>
    <w:rsid w:val="00FC630F"/>
    <w:rsid w:val="00FC694A"/>
    <w:rsid w:val="00FC6DE2"/>
    <w:rsid w:val="00FC6E0B"/>
    <w:rsid w:val="00FC77B2"/>
    <w:rsid w:val="00FD01D1"/>
    <w:rsid w:val="00FD028C"/>
    <w:rsid w:val="00FD03E0"/>
    <w:rsid w:val="00FD094B"/>
    <w:rsid w:val="00FD1CB5"/>
    <w:rsid w:val="00FD2025"/>
    <w:rsid w:val="00FD2217"/>
    <w:rsid w:val="00FD2515"/>
    <w:rsid w:val="00FD2809"/>
    <w:rsid w:val="00FD2883"/>
    <w:rsid w:val="00FD2905"/>
    <w:rsid w:val="00FD2921"/>
    <w:rsid w:val="00FD2F03"/>
    <w:rsid w:val="00FD3123"/>
    <w:rsid w:val="00FD33A3"/>
    <w:rsid w:val="00FD3B05"/>
    <w:rsid w:val="00FD3CBE"/>
    <w:rsid w:val="00FD3E99"/>
    <w:rsid w:val="00FD4239"/>
    <w:rsid w:val="00FD4270"/>
    <w:rsid w:val="00FD4B2A"/>
    <w:rsid w:val="00FD4EE3"/>
    <w:rsid w:val="00FD515C"/>
    <w:rsid w:val="00FD548C"/>
    <w:rsid w:val="00FD5AA1"/>
    <w:rsid w:val="00FD6818"/>
    <w:rsid w:val="00FD6AB7"/>
    <w:rsid w:val="00FD6DF3"/>
    <w:rsid w:val="00FD7371"/>
    <w:rsid w:val="00FD76CC"/>
    <w:rsid w:val="00FE028C"/>
    <w:rsid w:val="00FE067A"/>
    <w:rsid w:val="00FE06FB"/>
    <w:rsid w:val="00FE07F1"/>
    <w:rsid w:val="00FE08CD"/>
    <w:rsid w:val="00FE097C"/>
    <w:rsid w:val="00FE0CF9"/>
    <w:rsid w:val="00FE1198"/>
    <w:rsid w:val="00FE1779"/>
    <w:rsid w:val="00FE18BF"/>
    <w:rsid w:val="00FE1AEB"/>
    <w:rsid w:val="00FE1C3F"/>
    <w:rsid w:val="00FE22E1"/>
    <w:rsid w:val="00FE293A"/>
    <w:rsid w:val="00FE29F9"/>
    <w:rsid w:val="00FE2CE8"/>
    <w:rsid w:val="00FE2FF7"/>
    <w:rsid w:val="00FE33DB"/>
    <w:rsid w:val="00FE391D"/>
    <w:rsid w:val="00FE3F4D"/>
    <w:rsid w:val="00FE4010"/>
    <w:rsid w:val="00FE4059"/>
    <w:rsid w:val="00FE40CD"/>
    <w:rsid w:val="00FE45A9"/>
    <w:rsid w:val="00FE4645"/>
    <w:rsid w:val="00FE4954"/>
    <w:rsid w:val="00FE4E6C"/>
    <w:rsid w:val="00FE5074"/>
    <w:rsid w:val="00FE5176"/>
    <w:rsid w:val="00FE5427"/>
    <w:rsid w:val="00FE54F3"/>
    <w:rsid w:val="00FE55E9"/>
    <w:rsid w:val="00FE59BD"/>
    <w:rsid w:val="00FE5D03"/>
    <w:rsid w:val="00FE5DBC"/>
    <w:rsid w:val="00FE5F61"/>
    <w:rsid w:val="00FE60E9"/>
    <w:rsid w:val="00FE641A"/>
    <w:rsid w:val="00FE69CF"/>
    <w:rsid w:val="00FE6A74"/>
    <w:rsid w:val="00FE6C63"/>
    <w:rsid w:val="00FE6FDC"/>
    <w:rsid w:val="00FE700D"/>
    <w:rsid w:val="00FE71D7"/>
    <w:rsid w:val="00FE783D"/>
    <w:rsid w:val="00FF0046"/>
    <w:rsid w:val="00FF014F"/>
    <w:rsid w:val="00FF03D7"/>
    <w:rsid w:val="00FF05B9"/>
    <w:rsid w:val="00FF0DFF"/>
    <w:rsid w:val="00FF140F"/>
    <w:rsid w:val="00FF18F8"/>
    <w:rsid w:val="00FF22D7"/>
    <w:rsid w:val="00FF2C47"/>
    <w:rsid w:val="00FF2E04"/>
    <w:rsid w:val="00FF4477"/>
    <w:rsid w:val="00FF4D38"/>
    <w:rsid w:val="00FF5D5F"/>
    <w:rsid w:val="00FF5E85"/>
    <w:rsid w:val="00FF6451"/>
    <w:rsid w:val="00FF6584"/>
    <w:rsid w:val="00FF66B0"/>
    <w:rsid w:val="00FF6B12"/>
    <w:rsid w:val="00FF793B"/>
    <w:rsid w:val="00FF7C5E"/>
    <w:rsid w:val="00FF7CDB"/>
    <w:rsid w:val="018C9507"/>
    <w:rsid w:val="01F165E2"/>
    <w:rsid w:val="028F5FE2"/>
    <w:rsid w:val="02A80C5E"/>
    <w:rsid w:val="031C2DE0"/>
    <w:rsid w:val="038E9D3C"/>
    <w:rsid w:val="03928411"/>
    <w:rsid w:val="052E4BB4"/>
    <w:rsid w:val="055AA360"/>
    <w:rsid w:val="05C2FD91"/>
    <w:rsid w:val="066F357C"/>
    <w:rsid w:val="068901AB"/>
    <w:rsid w:val="06E50457"/>
    <w:rsid w:val="0702F23E"/>
    <w:rsid w:val="07B86316"/>
    <w:rsid w:val="0838C829"/>
    <w:rsid w:val="085DEF12"/>
    <w:rsid w:val="086E9FF0"/>
    <w:rsid w:val="0929192D"/>
    <w:rsid w:val="092B7509"/>
    <w:rsid w:val="0961A22E"/>
    <w:rsid w:val="096604FD"/>
    <w:rsid w:val="09862F78"/>
    <w:rsid w:val="09E0D0C2"/>
    <w:rsid w:val="0A539EBA"/>
    <w:rsid w:val="0A63D612"/>
    <w:rsid w:val="0B2AB47C"/>
    <w:rsid w:val="0B7B6DD3"/>
    <w:rsid w:val="0C49B279"/>
    <w:rsid w:val="0C617DD4"/>
    <w:rsid w:val="0D3A0C25"/>
    <w:rsid w:val="0D705EBB"/>
    <w:rsid w:val="0F0FB0B3"/>
    <w:rsid w:val="0F145CED"/>
    <w:rsid w:val="0FB05D67"/>
    <w:rsid w:val="101C219B"/>
    <w:rsid w:val="10B88A76"/>
    <w:rsid w:val="13579F6B"/>
    <w:rsid w:val="13A53C45"/>
    <w:rsid w:val="13ECA1A1"/>
    <w:rsid w:val="14A01913"/>
    <w:rsid w:val="14DC25AD"/>
    <w:rsid w:val="15650221"/>
    <w:rsid w:val="174F4DF9"/>
    <w:rsid w:val="17660409"/>
    <w:rsid w:val="17A59EA9"/>
    <w:rsid w:val="187A5B4A"/>
    <w:rsid w:val="18F37FC1"/>
    <w:rsid w:val="19983848"/>
    <w:rsid w:val="19E3116D"/>
    <w:rsid w:val="1A890862"/>
    <w:rsid w:val="1A99688C"/>
    <w:rsid w:val="1AF206BC"/>
    <w:rsid w:val="1B28BA19"/>
    <w:rsid w:val="1BDAD54B"/>
    <w:rsid w:val="1C1E484B"/>
    <w:rsid w:val="1C8FA629"/>
    <w:rsid w:val="1D2579D3"/>
    <w:rsid w:val="1D37C693"/>
    <w:rsid w:val="1D9CDB36"/>
    <w:rsid w:val="1DA79B4A"/>
    <w:rsid w:val="1EA8452A"/>
    <w:rsid w:val="1EABE956"/>
    <w:rsid w:val="1EF23FA8"/>
    <w:rsid w:val="20750654"/>
    <w:rsid w:val="208BE673"/>
    <w:rsid w:val="20996D03"/>
    <w:rsid w:val="20C838F4"/>
    <w:rsid w:val="213FD6E5"/>
    <w:rsid w:val="21CAE0F7"/>
    <w:rsid w:val="2209E91A"/>
    <w:rsid w:val="226CDBC2"/>
    <w:rsid w:val="22929674"/>
    <w:rsid w:val="235A4A6B"/>
    <w:rsid w:val="238A97E4"/>
    <w:rsid w:val="24990371"/>
    <w:rsid w:val="24B1EC70"/>
    <w:rsid w:val="24C68755"/>
    <w:rsid w:val="25324ED4"/>
    <w:rsid w:val="253DFC29"/>
    <w:rsid w:val="254CAF5D"/>
    <w:rsid w:val="25684A00"/>
    <w:rsid w:val="271ACB5B"/>
    <w:rsid w:val="2777F559"/>
    <w:rsid w:val="278B3C6B"/>
    <w:rsid w:val="279ACC6C"/>
    <w:rsid w:val="27D83735"/>
    <w:rsid w:val="28BE289A"/>
    <w:rsid w:val="28F873D9"/>
    <w:rsid w:val="293650E6"/>
    <w:rsid w:val="297740D4"/>
    <w:rsid w:val="29878C3A"/>
    <w:rsid w:val="2AC512A4"/>
    <w:rsid w:val="2B4A6BCA"/>
    <w:rsid w:val="2B4CF883"/>
    <w:rsid w:val="2B9607E4"/>
    <w:rsid w:val="2B992535"/>
    <w:rsid w:val="2C35AD80"/>
    <w:rsid w:val="2CA4E9EB"/>
    <w:rsid w:val="2CD5D9B3"/>
    <w:rsid w:val="2D635273"/>
    <w:rsid w:val="2D756BA3"/>
    <w:rsid w:val="2DFE6AD4"/>
    <w:rsid w:val="2E233AE1"/>
    <w:rsid w:val="2E245E73"/>
    <w:rsid w:val="2E40758C"/>
    <w:rsid w:val="2E5467B3"/>
    <w:rsid w:val="2EFAC62A"/>
    <w:rsid w:val="2EFE43AC"/>
    <w:rsid w:val="2F09D6DA"/>
    <w:rsid w:val="2F349BAA"/>
    <w:rsid w:val="2F4B4957"/>
    <w:rsid w:val="2F72F1F8"/>
    <w:rsid w:val="2FE1F631"/>
    <w:rsid w:val="316F7D2C"/>
    <w:rsid w:val="319EFA04"/>
    <w:rsid w:val="31CB8EBF"/>
    <w:rsid w:val="31E4E170"/>
    <w:rsid w:val="31FE9084"/>
    <w:rsid w:val="322C4B2A"/>
    <w:rsid w:val="3243E4D9"/>
    <w:rsid w:val="32D1C3F9"/>
    <w:rsid w:val="3307957E"/>
    <w:rsid w:val="3334BCEA"/>
    <w:rsid w:val="334368F1"/>
    <w:rsid w:val="33E231A6"/>
    <w:rsid w:val="341C8219"/>
    <w:rsid w:val="341E1802"/>
    <w:rsid w:val="34533D2B"/>
    <w:rsid w:val="34628D11"/>
    <w:rsid w:val="34692291"/>
    <w:rsid w:val="34B270BE"/>
    <w:rsid w:val="35EB863A"/>
    <w:rsid w:val="361D52E6"/>
    <w:rsid w:val="362B2B20"/>
    <w:rsid w:val="3636D334"/>
    <w:rsid w:val="364CDB1F"/>
    <w:rsid w:val="36D3D47E"/>
    <w:rsid w:val="37092AD3"/>
    <w:rsid w:val="3755A30A"/>
    <w:rsid w:val="375747EE"/>
    <w:rsid w:val="37B1E343"/>
    <w:rsid w:val="37D398EC"/>
    <w:rsid w:val="38CAE3F3"/>
    <w:rsid w:val="3A3F173B"/>
    <w:rsid w:val="3A636371"/>
    <w:rsid w:val="3A88961E"/>
    <w:rsid w:val="3B59B00F"/>
    <w:rsid w:val="3B69BC4F"/>
    <w:rsid w:val="3B81236D"/>
    <w:rsid w:val="3BAA9F5B"/>
    <w:rsid w:val="3BBE99B9"/>
    <w:rsid w:val="3C583D25"/>
    <w:rsid w:val="3C913F77"/>
    <w:rsid w:val="3CBAB571"/>
    <w:rsid w:val="3D018CC7"/>
    <w:rsid w:val="3D587C90"/>
    <w:rsid w:val="3D830A53"/>
    <w:rsid w:val="3F04A839"/>
    <w:rsid w:val="3F29E405"/>
    <w:rsid w:val="3F39E1E7"/>
    <w:rsid w:val="3FA7EC57"/>
    <w:rsid w:val="3FC86515"/>
    <w:rsid w:val="3FFFEA71"/>
    <w:rsid w:val="406391F3"/>
    <w:rsid w:val="4073B7B8"/>
    <w:rsid w:val="40810253"/>
    <w:rsid w:val="408DF0D8"/>
    <w:rsid w:val="409708BF"/>
    <w:rsid w:val="41369EB3"/>
    <w:rsid w:val="416C81CE"/>
    <w:rsid w:val="42E6BEA2"/>
    <w:rsid w:val="4316F3F1"/>
    <w:rsid w:val="4339AF1F"/>
    <w:rsid w:val="4469D1DD"/>
    <w:rsid w:val="44762869"/>
    <w:rsid w:val="453D2754"/>
    <w:rsid w:val="456B8148"/>
    <w:rsid w:val="45BBCCEB"/>
    <w:rsid w:val="4684CECF"/>
    <w:rsid w:val="46D32374"/>
    <w:rsid w:val="47768CC8"/>
    <w:rsid w:val="47E684C3"/>
    <w:rsid w:val="480D5275"/>
    <w:rsid w:val="4852600D"/>
    <w:rsid w:val="492DBB04"/>
    <w:rsid w:val="495AA8F2"/>
    <w:rsid w:val="49E064F5"/>
    <w:rsid w:val="49F1102B"/>
    <w:rsid w:val="4A0DD0AD"/>
    <w:rsid w:val="4A0FE93E"/>
    <w:rsid w:val="4B24A555"/>
    <w:rsid w:val="4B2B4759"/>
    <w:rsid w:val="4BD51E29"/>
    <w:rsid w:val="4BDA2029"/>
    <w:rsid w:val="4C10241C"/>
    <w:rsid w:val="4C4A07C3"/>
    <w:rsid w:val="4C655E80"/>
    <w:rsid w:val="4C794AD7"/>
    <w:rsid w:val="4CA61411"/>
    <w:rsid w:val="4D9AD1BE"/>
    <w:rsid w:val="4DB97362"/>
    <w:rsid w:val="4E8977CD"/>
    <w:rsid w:val="4EC80525"/>
    <w:rsid w:val="4ED27E3C"/>
    <w:rsid w:val="4F97CE7B"/>
    <w:rsid w:val="50296E35"/>
    <w:rsid w:val="505723AF"/>
    <w:rsid w:val="50B193BD"/>
    <w:rsid w:val="50BA1442"/>
    <w:rsid w:val="50E8D5B4"/>
    <w:rsid w:val="515AE997"/>
    <w:rsid w:val="51A134AF"/>
    <w:rsid w:val="52036272"/>
    <w:rsid w:val="52CE5417"/>
    <w:rsid w:val="52F2BCC9"/>
    <w:rsid w:val="531D7104"/>
    <w:rsid w:val="53476804"/>
    <w:rsid w:val="53527FB0"/>
    <w:rsid w:val="53BCD0D0"/>
    <w:rsid w:val="53DE6A72"/>
    <w:rsid w:val="54202868"/>
    <w:rsid w:val="54ADAE34"/>
    <w:rsid w:val="54F0BEC1"/>
    <w:rsid w:val="55381A09"/>
    <w:rsid w:val="55813E6F"/>
    <w:rsid w:val="558D5418"/>
    <w:rsid w:val="561143B6"/>
    <w:rsid w:val="56C0EE13"/>
    <w:rsid w:val="56F28415"/>
    <w:rsid w:val="571B6809"/>
    <w:rsid w:val="5826AF06"/>
    <w:rsid w:val="5A99F83B"/>
    <w:rsid w:val="5AAF3C17"/>
    <w:rsid w:val="5AEBE5F1"/>
    <w:rsid w:val="5B1AF698"/>
    <w:rsid w:val="5B2429E0"/>
    <w:rsid w:val="5B3F5A9C"/>
    <w:rsid w:val="5BAB6C8E"/>
    <w:rsid w:val="5C0541A0"/>
    <w:rsid w:val="5C40B0A3"/>
    <w:rsid w:val="5C5372B5"/>
    <w:rsid w:val="5CFB64E5"/>
    <w:rsid w:val="5E700D93"/>
    <w:rsid w:val="5E7EDEA3"/>
    <w:rsid w:val="5E8ECC81"/>
    <w:rsid w:val="5F2C28FC"/>
    <w:rsid w:val="5F9A1AC2"/>
    <w:rsid w:val="5FC1B657"/>
    <w:rsid w:val="5FDA5CDE"/>
    <w:rsid w:val="6058173B"/>
    <w:rsid w:val="60F5FCC2"/>
    <w:rsid w:val="61260178"/>
    <w:rsid w:val="615B2B4F"/>
    <w:rsid w:val="6190FE90"/>
    <w:rsid w:val="6327F12F"/>
    <w:rsid w:val="63CE6D99"/>
    <w:rsid w:val="63D9965E"/>
    <w:rsid w:val="648EDF99"/>
    <w:rsid w:val="654856D8"/>
    <w:rsid w:val="65DB6E6F"/>
    <w:rsid w:val="6634EACE"/>
    <w:rsid w:val="66C48F90"/>
    <w:rsid w:val="66DB0BD4"/>
    <w:rsid w:val="676F7594"/>
    <w:rsid w:val="679F1202"/>
    <w:rsid w:val="67D44704"/>
    <w:rsid w:val="687386F2"/>
    <w:rsid w:val="6899AF86"/>
    <w:rsid w:val="68DCFC89"/>
    <w:rsid w:val="68E66425"/>
    <w:rsid w:val="68F29DC5"/>
    <w:rsid w:val="6944C3BE"/>
    <w:rsid w:val="69C930F3"/>
    <w:rsid w:val="69FE3877"/>
    <w:rsid w:val="6A6FA248"/>
    <w:rsid w:val="6B005E3A"/>
    <w:rsid w:val="6B8FA785"/>
    <w:rsid w:val="6BAEEDC6"/>
    <w:rsid w:val="6C111E06"/>
    <w:rsid w:val="6C200C81"/>
    <w:rsid w:val="6C8CE10E"/>
    <w:rsid w:val="6DA8A8B6"/>
    <w:rsid w:val="6E2284E2"/>
    <w:rsid w:val="6E504335"/>
    <w:rsid w:val="6E865AFF"/>
    <w:rsid w:val="6F51A9B3"/>
    <w:rsid w:val="6FA6A5A2"/>
    <w:rsid w:val="70415B4B"/>
    <w:rsid w:val="707F0F66"/>
    <w:rsid w:val="70B8B5A4"/>
    <w:rsid w:val="7108EB5C"/>
    <w:rsid w:val="71425D07"/>
    <w:rsid w:val="723D882A"/>
    <w:rsid w:val="72D751BB"/>
    <w:rsid w:val="72E2CEED"/>
    <w:rsid w:val="72E93E9B"/>
    <w:rsid w:val="72F34AB8"/>
    <w:rsid w:val="73ACC16E"/>
    <w:rsid w:val="74049BA7"/>
    <w:rsid w:val="7429E4D8"/>
    <w:rsid w:val="7451D1E6"/>
    <w:rsid w:val="748F35FD"/>
    <w:rsid w:val="749253F6"/>
    <w:rsid w:val="7493B0E5"/>
    <w:rsid w:val="74B88C46"/>
    <w:rsid w:val="74D179D5"/>
    <w:rsid w:val="75B07BFE"/>
    <w:rsid w:val="766E1BBE"/>
    <w:rsid w:val="772549DF"/>
    <w:rsid w:val="779A2A5A"/>
    <w:rsid w:val="77A2BB6F"/>
    <w:rsid w:val="77B9713D"/>
    <w:rsid w:val="77F5CA24"/>
    <w:rsid w:val="78541554"/>
    <w:rsid w:val="78FDE094"/>
    <w:rsid w:val="79F66674"/>
    <w:rsid w:val="7AD8E2CC"/>
    <w:rsid w:val="7B35138D"/>
    <w:rsid w:val="7BAE687A"/>
    <w:rsid w:val="7C66273A"/>
    <w:rsid w:val="7CE262B7"/>
    <w:rsid w:val="7D462BE0"/>
    <w:rsid w:val="7D79F492"/>
    <w:rsid w:val="7D7D0703"/>
    <w:rsid w:val="7DEAA1E9"/>
    <w:rsid w:val="7E2148B0"/>
    <w:rsid w:val="7EB55617"/>
    <w:rsid w:val="7F7386AF"/>
    <w:rsid w:val="7FDAF2B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style="mso-position-horizontal-relative:margin;mso-position-vertical-relative:margin" fillcolor="white" stroke="f">
      <v:fill color="white" size="0,0" aspect="atLeast" origin="-32767f,-32767f" position="-32767f,-32767f" type="frame"/>
      <v:stroke on="f"/>
    </o:shapedefaults>
    <o:shapelayout v:ext="edit">
      <o:idmap v:ext="edit" data="1"/>
    </o:shapelayout>
  </w:shapeDefaults>
  <w:decimalSymbol w:val="."/>
  <w:listSeparator w:val=","/>
  <w14:docId w14:val="3DA8D7ED"/>
  <w14:defaultImageDpi w14:val="150"/>
  <w15:docId w15:val="{1AD34565-5E8E-496C-8BBD-859BE2C707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heme="minorHAnsi" w:hAnsi="Calibri" w:cs="Times New Roman"/>
        <w:sz w:val="24"/>
        <w:szCs w:val="24"/>
        <w:lang w:val="en-AU" w:eastAsia="en-AU" w:bidi="ar-SA"/>
      </w:rPr>
    </w:rPrDefault>
    <w:pPrDefault>
      <w:pPr>
        <w:spacing w:before="180" w:after="180" w:line="264" w:lineRule="auto"/>
      </w:pPr>
    </w:pPrDefault>
  </w:docDefaults>
  <w:latentStyles w:defLockedState="1" w:defUIPriority="99" w:defSemiHidden="0" w:defUnhideWhenUsed="0" w:defQFormat="0" w:count="376">
    <w:lsdException w:name="Normal" w:locked="0" w:qFormat="1"/>
    <w:lsdException w:name="heading 1" w:uiPriority="1" w:qFormat="1"/>
    <w:lsdException w:name="heading 2" w:uiPriority="9" w:qFormat="1"/>
    <w:lsdException w:name="heading 3" w:uiPriority="9" w:qFormat="1"/>
    <w:lsdException w:name="heading 4" w:uiPriority="1" w:qFormat="1"/>
    <w:lsdException w:name="heading 5" w:uiPriority="1" w:qFormat="1"/>
    <w:lsdException w:name="heading 6" w:uiPriority="1" w:qFormat="1"/>
    <w:lsdException w:name="heading 7" w:uiPriority="2" w:unhideWhenUsed="1" w:qFormat="1"/>
    <w:lsdException w:name="heading 8" w:unhideWhenUsed="1" w:qFormat="1"/>
    <w:lsdException w:name="heading 9" w:uiPriority="1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nhideWhenUsed="1"/>
    <w:lsdException w:name="toc 7" w:unhideWhenUsed="1"/>
    <w:lsdException w:name="toc 8" w:unhideWhenUsed="1"/>
    <w:lsdException w:name="toc 9" w:unhideWhenUsed="1"/>
    <w:lsdException w:name="Normal Indent" w:semiHidden="1" w:unhideWhenUsed="1"/>
    <w:lsdException w:name="footnote text" w:semiHidden="1" w:uiPriority="13" w:unhideWhenUsed="1" w:qFormat="1"/>
    <w:lsdException w:name="annotation text" w:semiHidden="1" w:uiPriority="0" w:unhideWhenUsed="1"/>
    <w:lsdException w:name="header" w:semiHidden="1" w:unhideWhenUsed="1"/>
    <w:lsdException w:name="footer" w:semiHidden="1"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13"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iPriority="0"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locked="0"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lsdException w:name="Body Text 3" w:semiHidden="1" w:unhideWhenUsed="1"/>
    <w:lsdException w:name="Body Text Indent 2" w:semiHidden="1" w:unhideWhenUsed="1"/>
    <w:lsdException w:name="Body Text Indent 3" w:semiHidden="1" w:unhideWhenUsed="1"/>
    <w:lsdException w:name="Block Text" w:semiHidden="1"/>
    <w:lsdException w:name="Hyperlink" w:semiHidden="1" w:unhideWhenUsed="1" w:qFormat="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uiPriority w:val="99"/>
    <w:semiHidden/>
    <w:qFormat/>
    <w:rsid w:val="00004B9C"/>
    <w:pPr>
      <w:spacing w:after="120"/>
    </w:pPr>
    <w:rPr>
      <w:rFonts w:eastAsia="Calibri"/>
      <w:color w:val="000000"/>
    </w:rPr>
  </w:style>
  <w:style w:type="paragraph" w:styleId="Heading1">
    <w:name w:val="heading 1"/>
    <w:basedOn w:val="BodyText"/>
    <w:next w:val="BodyText"/>
    <w:link w:val="Heading1Char"/>
    <w:uiPriority w:val="1"/>
    <w:qFormat/>
    <w:locked/>
    <w:rsid w:val="00856D01"/>
    <w:pPr>
      <w:spacing w:before="840" w:after="120" w:line="240" w:lineRule="auto"/>
      <w:ind w:left="1134"/>
      <w:outlineLvl w:val="0"/>
    </w:pPr>
    <w:rPr>
      <w:rFonts w:asciiTheme="majorHAnsi" w:eastAsia="Times New Roman" w:hAnsiTheme="majorHAnsi"/>
      <w:b/>
      <w:color w:val="146692" w:themeColor="text2"/>
      <w:sz w:val="72"/>
      <w:szCs w:val="72"/>
    </w:rPr>
  </w:style>
  <w:style w:type="paragraph" w:styleId="Heading2">
    <w:name w:val="heading 2"/>
    <w:next w:val="BodyText"/>
    <w:link w:val="Heading2Char"/>
    <w:uiPriority w:val="9"/>
    <w:qFormat/>
    <w:locked/>
    <w:rsid w:val="005067F1"/>
    <w:pPr>
      <w:pageBreakBefore/>
      <w:numPr>
        <w:numId w:val="19"/>
      </w:numPr>
      <w:spacing w:before="0"/>
      <w:outlineLvl w:val="1"/>
    </w:pPr>
    <w:rPr>
      <w:rFonts w:asciiTheme="majorHAnsi" w:eastAsia="Times New Roman" w:hAnsiTheme="majorHAnsi"/>
      <w:b/>
      <w:color w:val="146692" w:themeColor="text2"/>
      <w:sz w:val="40"/>
      <w:szCs w:val="72"/>
    </w:rPr>
  </w:style>
  <w:style w:type="paragraph" w:styleId="Heading3">
    <w:name w:val="heading 3"/>
    <w:basedOn w:val="Heading2"/>
    <w:next w:val="BodyText"/>
    <w:link w:val="Heading3Char"/>
    <w:uiPriority w:val="9"/>
    <w:qFormat/>
    <w:locked/>
    <w:rsid w:val="005067F1"/>
    <w:pPr>
      <w:keepNext/>
      <w:pageBreakBefore w:val="0"/>
      <w:numPr>
        <w:ilvl w:val="1"/>
      </w:numPr>
      <w:spacing w:before="180"/>
      <w:outlineLvl w:val="2"/>
    </w:pPr>
    <w:rPr>
      <w:i/>
      <w:color w:val="000000" w:themeColor="text1"/>
      <w:sz w:val="36"/>
    </w:rPr>
  </w:style>
  <w:style w:type="paragraph" w:styleId="Heading4">
    <w:name w:val="heading 4"/>
    <w:basedOn w:val="Heading3"/>
    <w:next w:val="BodyText"/>
    <w:link w:val="Heading4Char"/>
    <w:uiPriority w:val="1"/>
    <w:qFormat/>
    <w:locked/>
    <w:rsid w:val="005067F1"/>
    <w:pPr>
      <w:keepLines/>
      <w:numPr>
        <w:ilvl w:val="2"/>
      </w:numPr>
      <w:outlineLvl w:val="3"/>
    </w:pPr>
    <w:rPr>
      <w:b w:val="0"/>
      <w:i w:val="0"/>
      <w:iCs/>
      <w:color w:val="auto"/>
      <w:spacing w:val="1"/>
      <w:sz w:val="32"/>
      <w:szCs w:val="28"/>
    </w:rPr>
  </w:style>
  <w:style w:type="paragraph" w:styleId="Heading5">
    <w:name w:val="heading 5"/>
    <w:basedOn w:val="Heading4"/>
    <w:next w:val="BodyText"/>
    <w:link w:val="Heading5Char"/>
    <w:uiPriority w:val="1"/>
    <w:qFormat/>
    <w:locked/>
    <w:rsid w:val="005067F1"/>
    <w:pPr>
      <w:numPr>
        <w:ilvl w:val="3"/>
      </w:numPr>
      <w:tabs>
        <w:tab w:val="left" w:pos="1138"/>
      </w:tabs>
      <w:outlineLvl w:val="4"/>
    </w:pPr>
    <w:rPr>
      <w:b/>
      <w:sz w:val="28"/>
    </w:rPr>
  </w:style>
  <w:style w:type="paragraph" w:styleId="Heading6">
    <w:name w:val="heading 6"/>
    <w:basedOn w:val="Heading5"/>
    <w:next w:val="BodyText"/>
    <w:link w:val="Heading6Char"/>
    <w:uiPriority w:val="1"/>
    <w:qFormat/>
    <w:locked/>
    <w:rsid w:val="00B100E0"/>
    <w:pPr>
      <w:numPr>
        <w:ilvl w:val="4"/>
      </w:numPr>
      <w:tabs>
        <w:tab w:val="clear" w:pos="1134"/>
      </w:tabs>
      <w:spacing w:before="200"/>
      <w:outlineLvl w:val="5"/>
    </w:pPr>
    <w:rPr>
      <w:rFonts w:eastAsiaTheme="majorEastAsia" w:cstheme="majorBidi"/>
      <w:noProof/>
      <w:sz w:val="24"/>
    </w:rPr>
  </w:style>
  <w:style w:type="paragraph" w:styleId="Heading7">
    <w:name w:val="heading 7"/>
    <w:basedOn w:val="Normal"/>
    <w:next w:val="Normal"/>
    <w:link w:val="Heading7Char"/>
    <w:uiPriority w:val="2"/>
    <w:qFormat/>
    <w:locked/>
    <w:rsid w:val="00856D01"/>
    <w:pPr>
      <w:spacing w:before="240" w:after="60"/>
      <w:outlineLvl w:val="6"/>
    </w:pPr>
    <w:rPr>
      <w:rFonts w:asciiTheme="minorHAnsi" w:hAnsiTheme="minorHAnsi" w:cstheme="majorBidi"/>
      <w:b/>
      <w:i/>
    </w:rPr>
  </w:style>
  <w:style w:type="paragraph" w:styleId="Heading8">
    <w:name w:val="heading 8"/>
    <w:basedOn w:val="Normal"/>
    <w:next w:val="Normal"/>
    <w:link w:val="Heading8Char"/>
    <w:uiPriority w:val="99"/>
    <w:semiHidden/>
    <w:qFormat/>
    <w:locked/>
    <w:rsid w:val="00856D01"/>
    <w:pPr>
      <w:spacing w:before="240" w:after="60"/>
      <w:outlineLvl w:val="7"/>
    </w:pPr>
    <w:rPr>
      <w:rFonts w:asciiTheme="minorHAnsi" w:hAnsiTheme="minorHAnsi" w:cstheme="majorBidi"/>
      <w:i/>
      <w:iCs/>
    </w:rPr>
  </w:style>
  <w:style w:type="paragraph" w:styleId="Heading9">
    <w:name w:val="heading 9"/>
    <w:aliases w:val="Appendix Heading 1,Heading appendix 1"/>
    <w:basedOn w:val="AppendixHeading1base"/>
    <w:next w:val="BodyText"/>
    <w:link w:val="Heading9Char"/>
    <w:uiPriority w:val="11"/>
    <w:qFormat/>
    <w:locked/>
    <w:rsid w:val="005067F1"/>
    <w:pPr>
      <w:numPr>
        <w:numId w:val="14"/>
      </w:numPr>
      <w:spacing w:before="0" w:after="960"/>
      <w:outlineLvl w:val="8"/>
    </w:pPr>
    <w:rPr>
      <w:b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856D01"/>
    <w:rPr>
      <w:rFonts w:asciiTheme="majorHAnsi" w:eastAsia="Times New Roman" w:hAnsiTheme="majorHAnsi"/>
      <w:b/>
      <w:color w:val="146692" w:themeColor="text2"/>
      <w:sz w:val="72"/>
      <w:szCs w:val="72"/>
    </w:rPr>
  </w:style>
  <w:style w:type="character" w:customStyle="1" w:styleId="Heading2Char">
    <w:name w:val="Heading 2 Char"/>
    <w:basedOn w:val="DefaultParagraphFont"/>
    <w:link w:val="Heading2"/>
    <w:uiPriority w:val="9"/>
    <w:locked/>
    <w:rsid w:val="00856D01"/>
    <w:rPr>
      <w:rFonts w:asciiTheme="majorHAnsi" w:eastAsia="Times New Roman" w:hAnsiTheme="majorHAnsi"/>
      <w:b/>
      <w:color w:val="146692" w:themeColor="text2"/>
      <w:sz w:val="40"/>
      <w:szCs w:val="72"/>
    </w:rPr>
  </w:style>
  <w:style w:type="character" w:customStyle="1" w:styleId="Heading3Char">
    <w:name w:val="Heading 3 Char"/>
    <w:basedOn w:val="DefaultParagraphFont"/>
    <w:link w:val="Heading3"/>
    <w:uiPriority w:val="9"/>
    <w:locked/>
    <w:rsid w:val="00856D01"/>
    <w:rPr>
      <w:rFonts w:asciiTheme="majorHAnsi" w:eastAsia="Times New Roman" w:hAnsiTheme="majorHAnsi"/>
      <w:b/>
      <w:i/>
      <w:color w:val="000000" w:themeColor="text1"/>
      <w:sz w:val="36"/>
      <w:szCs w:val="72"/>
    </w:rPr>
  </w:style>
  <w:style w:type="character" w:customStyle="1" w:styleId="Heading4Char">
    <w:name w:val="Heading 4 Char"/>
    <w:basedOn w:val="DefaultParagraphFont"/>
    <w:link w:val="Heading4"/>
    <w:uiPriority w:val="1"/>
    <w:locked/>
    <w:rsid w:val="00856D01"/>
    <w:rPr>
      <w:rFonts w:asciiTheme="majorHAnsi" w:eastAsia="Times New Roman" w:hAnsiTheme="majorHAnsi"/>
      <w:iCs/>
      <w:spacing w:val="1"/>
      <w:sz w:val="32"/>
      <w:szCs w:val="28"/>
    </w:rPr>
  </w:style>
  <w:style w:type="character" w:customStyle="1" w:styleId="Heading5Char">
    <w:name w:val="Heading 5 Char"/>
    <w:basedOn w:val="DefaultParagraphFont"/>
    <w:link w:val="Heading5"/>
    <w:uiPriority w:val="1"/>
    <w:locked/>
    <w:rsid w:val="00856D01"/>
    <w:rPr>
      <w:rFonts w:asciiTheme="majorHAnsi" w:eastAsia="Times New Roman" w:hAnsiTheme="majorHAnsi"/>
      <w:b/>
      <w:iCs/>
      <w:spacing w:val="1"/>
      <w:sz w:val="28"/>
      <w:szCs w:val="28"/>
    </w:rPr>
  </w:style>
  <w:style w:type="character" w:customStyle="1" w:styleId="Heading6Char">
    <w:name w:val="Heading 6 Char"/>
    <w:basedOn w:val="DefaultParagraphFont"/>
    <w:link w:val="Heading6"/>
    <w:uiPriority w:val="1"/>
    <w:locked/>
    <w:rsid w:val="00B100E0"/>
    <w:rPr>
      <w:rFonts w:asciiTheme="majorHAnsi" w:eastAsiaTheme="majorEastAsia" w:hAnsiTheme="majorHAnsi" w:cstheme="majorBidi"/>
      <w:b/>
      <w:iCs/>
      <w:noProof/>
      <w:spacing w:val="1"/>
      <w:szCs w:val="28"/>
    </w:rPr>
  </w:style>
  <w:style w:type="character" w:customStyle="1" w:styleId="Heading7Char">
    <w:name w:val="Heading 7 Char"/>
    <w:basedOn w:val="DefaultParagraphFont"/>
    <w:link w:val="Heading7"/>
    <w:uiPriority w:val="2"/>
    <w:locked/>
    <w:rsid w:val="00856D01"/>
    <w:rPr>
      <w:rFonts w:asciiTheme="minorHAnsi" w:eastAsia="Calibri" w:hAnsiTheme="minorHAnsi" w:cstheme="majorBidi"/>
      <w:b/>
      <w:i/>
      <w:color w:val="000000"/>
    </w:rPr>
  </w:style>
  <w:style w:type="character" w:customStyle="1" w:styleId="Heading8Char">
    <w:name w:val="Heading 8 Char"/>
    <w:basedOn w:val="DefaultParagraphFont"/>
    <w:link w:val="Heading8"/>
    <w:uiPriority w:val="99"/>
    <w:semiHidden/>
    <w:locked/>
    <w:rsid w:val="00856D01"/>
    <w:rPr>
      <w:rFonts w:asciiTheme="minorHAnsi" w:eastAsia="Calibri" w:hAnsiTheme="minorHAnsi" w:cstheme="majorBidi"/>
      <w:i/>
      <w:iCs/>
      <w:color w:val="000000"/>
    </w:rPr>
  </w:style>
  <w:style w:type="character" w:customStyle="1" w:styleId="Heading9Char">
    <w:name w:val="Heading 9 Char"/>
    <w:aliases w:val="Appendix Heading 1 Char,Heading appendix 1 Char"/>
    <w:basedOn w:val="DefaultParagraphFont"/>
    <w:link w:val="Heading9"/>
    <w:uiPriority w:val="11"/>
    <w:locked/>
    <w:rsid w:val="00E60214"/>
    <w:rPr>
      <w:rFonts w:eastAsiaTheme="majorEastAsia" w:cstheme="majorBidi"/>
      <w:b/>
      <w:color w:val="146692" w:themeColor="text2"/>
      <w:sz w:val="44"/>
      <w:szCs w:val="28"/>
    </w:rPr>
  </w:style>
  <w:style w:type="paragraph" w:styleId="Header">
    <w:name w:val="header"/>
    <w:basedOn w:val="Normal"/>
    <w:link w:val="HeaderChar"/>
    <w:uiPriority w:val="99"/>
    <w:unhideWhenUsed/>
    <w:locked/>
    <w:rsid w:val="001F4181"/>
    <w:pPr>
      <w:tabs>
        <w:tab w:val="center" w:pos="4513"/>
        <w:tab w:val="right" w:pos="9026"/>
      </w:tabs>
      <w:spacing w:after="0"/>
    </w:pPr>
  </w:style>
  <w:style w:type="character" w:customStyle="1" w:styleId="HeaderChar">
    <w:name w:val="Header Char"/>
    <w:basedOn w:val="DefaultParagraphFont"/>
    <w:link w:val="Header"/>
    <w:uiPriority w:val="99"/>
    <w:rsid w:val="001F4181"/>
    <w:rPr>
      <w:rFonts w:eastAsia="Calibri"/>
      <w:color w:val="000000"/>
    </w:rPr>
  </w:style>
  <w:style w:type="paragraph" w:styleId="Footer">
    <w:name w:val="footer"/>
    <w:basedOn w:val="BodyText"/>
    <w:link w:val="FooterChar"/>
    <w:uiPriority w:val="99"/>
    <w:qFormat/>
    <w:locked/>
    <w:rsid w:val="00E6605E"/>
    <w:pPr>
      <w:tabs>
        <w:tab w:val="center" w:pos="4513"/>
        <w:tab w:val="right" w:pos="9026"/>
      </w:tabs>
      <w:spacing w:before="0" w:after="0" w:line="240" w:lineRule="auto"/>
    </w:pPr>
    <w:rPr>
      <w:color w:val="7F7F7F" w:themeColor="text1" w:themeTint="80"/>
      <w:sz w:val="18"/>
    </w:rPr>
  </w:style>
  <w:style w:type="character" w:customStyle="1" w:styleId="FooterChar">
    <w:name w:val="Footer Char"/>
    <w:basedOn w:val="DefaultParagraphFont"/>
    <w:link w:val="Footer"/>
    <w:uiPriority w:val="99"/>
    <w:locked/>
    <w:rsid w:val="00E6605E"/>
    <w:rPr>
      <w:rFonts w:eastAsia="Calibri"/>
      <w:color w:val="7F7F7F" w:themeColor="text1" w:themeTint="80"/>
      <w:sz w:val="18"/>
    </w:rPr>
  </w:style>
  <w:style w:type="paragraph" w:styleId="BalloonText">
    <w:name w:val="Balloon Text"/>
    <w:basedOn w:val="Normal"/>
    <w:link w:val="BalloonTextChar"/>
    <w:uiPriority w:val="99"/>
    <w:semiHidden/>
    <w:locked/>
    <w:rsid w:val="008F434C"/>
    <w:pPr>
      <w:spacing w:before="0" w:after="0" w:line="240" w:lineRule="auto"/>
    </w:pPr>
    <w:rPr>
      <w:rFonts w:ascii="Segoe UI" w:hAnsi="Segoe UI" w:cs="Segoe UI"/>
      <w:sz w:val="18"/>
      <w:szCs w:val="18"/>
    </w:rPr>
  </w:style>
  <w:style w:type="paragraph" w:styleId="ListBullet">
    <w:name w:val="List Bullet"/>
    <w:basedOn w:val="Normal"/>
    <w:link w:val="ListBulletChar"/>
    <w:uiPriority w:val="99"/>
    <w:qFormat/>
    <w:locked/>
    <w:rsid w:val="00546A3D"/>
    <w:pPr>
      <w:numPr>
        <w:numId w:val="16"/>
      </w:numPr>
      <w:spacing w:before="60" w:after="60"/>
    </w:pPr>
    <w:rPr>
      <w:rFonts w:asciiTheme="minorHAnsi" w:eastAsia="Times New Roman" w:hAnsiTheme="minorHAnsi" w:cs="Arial"/>
      <w:color w:val="auto"/>
      <w:szCs w:val="20"/>
    </w:rPr>
  </w:style>
  <w:style w:type="character" w:customStyle="1" w:styleId="Underline">
    <w:name w:val="Underline"/>
    <w:basedOn w:val="Bold"/>
    <w:uiPriority w:val="5"/>
    <w:unhideWhenUsed/>
    <w:rsid w:val="0016786D"/>
    <w:rPr>
      <w:b w:val="0"/>
      <w:noProof/>
      <w:u w:val="single"/>
    </w:rPr>
  </w:style>
  <w:style w:type="paragraph" w:styleId="ListBullet2">
    <w:name w:val="List Bullet 2"/>
    <w:basedOn w:val="Normal"/>
    <w:uiPriority w:val="99"/>
    <w:qFormat/>
    <w:locked/>
    <w:rsid w:val="00F31F97"/>
    <w:pPr>
      <w:numPr>
        <w:ilvl w:val="1"/>
        <w:numId w:val="16"/>
      </w:numPr>
      <w:spacing w:before="60" w:after="60"/>
    </w:pPr>
    <w:rPr>
      <w:rFonts w:asciiTheme="minorHAnsi" w:eastAsia="Times New Roman" w:hAnsiTheme="minorHAnsi" w:cs="Arial"/>
      <w:color w:val="auto"/>
      <w:szCs w:val="20"/>
    </w:rPr>
  </w:style>
  <w:style w:type="paragraph" w:styleId="TOC1">
    <w:name w:val="toc 1"/>
    <w:basedOn w:val="BodyText"/>
    <w:next w:val="TOC2"/>
    <w:uiPriority w:val="39"/>
    <w:unhideWhenUsed/>
    <w:locked/>
    <w:rsid w:val="00B100E0"/>
    <w:pPr>
      <w:tabs>
        <w:tab w:val="left" w:pos="288"/>
        <w:tab w:val="right" w:leader="dot" w:pos="9639"/>
      </w:tabs>
      <w:spacing w:line="240" w:lineRule="auto"/>
    </w:pPr>
    <w:rPr>
      <w:b/>
      <w:noProof/>
      <w:color w:val="146692" w:themeColor="text2"/>
    </w:rPr>
  </w:style>
  <w:style w:type="paragraph" w:styleId="TOC2">
    <w:name w:val="toc 2"/>
    <w:basedOn w:val="TOC1"/>
    <w:uiPriority w:val="39"/>
    <w:unhideWhenUsed/>
    <w:locked/>
    <w:rsid w:val="00B100E0"/>
    <w:pPr>
      <w:spacing w:before="60" w:after="60"/>
    </w:pPr>
    <w:rPr>
      <w:color w:val="auto"/>
    </w:rPr>
  </w:style>
  <w:style w:type="table" w:styleId="TableGrid">
    <w:name w:val="Table Grid"/>
    <w:basedOn w:val="TableNormal"/>
    <w:uiPriority w:val="99"/>
    <w:locked/>
    <w:rsid w:val="006F4826"/>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aliases w:val="P-DO NOT USE"/>
    <w:basedOn w:val="DefaultParagraphFont"/>
    <w:uiPriority w:val="99"/>
    <w:semiHidden/>
    <w:locked/>
    <w:rsid w:val="00752473"/>
    <w:rPr>
      <w:rFonts w:ascii="Calibri" w:hAnsi="Calibri" w:cs="Times New Roman"/>
      <w:sz w:val="16"/>
    </w:rPr>
  </w:style>
  <w:style w:type="paragraph" w:styleId="TOC3">
    <w:name w:val="toc 3"/>
    <w:basedOn w:val="TOC2"/>
    <w:uiPriority w:val="39"/>
    <w:unhideWhenUsed/>
    <w:locked/>
    <w:rsid w:val="00B100E0"/>
    <w:pPr>
      <w:tabs>
        <w:tab w:val="left" w:pos="1134"/>
      </w:tabs>
      <w:ind w:left="567"/>
    </w:pPr>
    <w:rPr>
      <w:b w:val="0"/>
    </w:rPr>
  </w:style>
  <w:style w:type="paragraph" w:customStyle="1" w:styleId="PartTitle">
    <w:name w:val="PartTitle"/>
    <w:basedOn w:val="Heading2"/>
    <w:next w:val="BodyText"/>
    <w:uiPriority w:val="12"/>
    <w:rsid w:val="00280214"/>
    <w:pPr>
      <w:keepNext/>
      <w:pageBreakBefore w:val="0"/>
      <w:ind w:left="0" w:firstLine="0"/>
      <w:outlineLvl w:val="0"/>
    </w:pPr>
    <w:rPr>
      <w:color w:val="006D99" w:themeColor="accent1" w:themeShade="BF"/>
      <w:sz w:val="72"/>
    </w:rPr>
  </w:style>
  <w:style w:type="paragraph" w:styleId="ListNumber">
    <w:name w:val="List Number"/>
    <w:basedOn w:val="Normal"/>
    <w:uiPriority w:val="99"/>
    <w:qFormat/>
    <w:locked/>
    <w:rsid w:val="00546A3D"/>
    <w:pPr>
      <w:numPr>
        <w:numId w:val="17"/>
      </w:numPr>
      <w:spacing w:before="60" w:after="60"/>
    </w:pPr>
    <w:rPr>
      <w:rFonts w:asciiTheme="minorHAnsi" w:eastAsia="Times" w:hAnsiTheme="minorHAnsi" w:cs="Arial"/>
      <w:color w:val="auto"/>
      <w:szCs w:val="20"/>
    </w:rPr>
  </w:style>
  <w:style w:type="paragraph" w:styleId="ListBullet3">
    <w:name w:val="List Bullet 3"/>
    <w:basedOn w:val="ListBullet2"/>
    <w:semiHidden/>
    <w:locked/>
    <w:rsid w:val="00273A31"/>
    <w:pPr>
      <w:numPr>
        <w:ilvl w:val="2"/>
      </w:numPr>
      <w:tabs>
        <w:tab w:val="left" w:pos="1191"/>
      </w:tabs>
    </w:pPr>
  </w:style>
  <w:style w:type="paragraph" w:styleId="FootnoteText">
    <w:name w:val="footnote text"/>
    <w:basedOn w:val="BodyText"/>
    <w:link w:val="FootnoteTextChar"/>
    <w:uiPriority w:val="13"/>
    <w:qFormat/>
    <w:locked/>
    <w:rsid w:val="009C4E42"/>
    <w:pPr>
      <w:spacing w:before="60" w:after="0" w:line="180" w:lineRule="atLeast"/>
    </w:pPr>
    <w:rPr>
      <w:sz w:val="16"/>
      <w:szCs w:val="20"/>
    </w:rPr>
  </w:style>
  <w:style w:type="character" w:customStyle="1" w:styleId="FootnoteTextChar">
    <w:name w:val="Footnote Text Char"/>
    <w:basedOn w:val="DefaultParagraphFont"/>
    <w:link w:val="FootnoteText"/>
    <w:uiPriority w:val="13"/>
    <w:locked/>
    <w:rsid w:val="009C4E42"/>
    <w:rPr>
      <w:rFonts w:eastAsia="Calibri"/>
      <w:color w:val="000000"/>
      <w:sz w:val="16"/>
      <w:szCs w:val="20"/>
    </w:rPr>
  </w:style>
  <w:style w:type="paragraph" w:customStyle="1" w:styleId="FootnoteHeading">
    <w:name w:val="Footnote Heading"/>
    <w:basedOn w:val="FootnoteText"/>
    <w:uiPriority w:val="13"/>
    <w:rsid w:val="007A01EB"/>
    <w:rPr>
      <w:b/>
    </w:rPr>
  </w:style>
  <w:style w:type="paragraph" w:customStyle="1" w:styleId="SourceornoteforTableorFigure">
    <w:name w:val="Source or note for Table or Figure"/>
    <w:basedOn w:val="BodyText"/>
    <w:next w:val="BodyText"/>
    <w:link w:val="SourceornoteforTableorFigureChar"/>
    <w:uiPriority w:val="6"/>
    <w:qFormat/>
    <w:rsid w:val="00B705D3"/>
    <w:pPr>
      <w:tabs>
        <w:tab w:val="left" w:pos="539"/>
      </w:tabs>
      <w:spacing w:before="60" w:after="240" w:line="240" w:lineRule="auto"/>
    </w:pPr>
    <w:rPr>
      <w:color w:val="146692" w:themeColor="text2"/>
      <w:sz w:val="18"/>
      <w:szCs w:val="20"/>
    </w:rPr>
  </w:style>
  <w:style w:type="paragraph" w:customStyle="1" w:styleId="TableText">
    <w:name w:val="TableText"/>
    <w:uiPriority w:val="8"/>
    <w:qFormat/>
    <w:rsid w:val="00051BC3"/>
    <w:pPr>
      <w:tabs>
        <w:tab w:val="left" w:pos="4927"/>
      </w:tabs>
      <w:spacing w:before="20" w:line="120" w:lineRule="atLeast"/>
    </w:pPr>
    <w:rPr>
      <w:rFonts w:asciiTheme="minorHAnsi" w:eastAsia="Times New Roman" w:hAnsiTheme="minorHAnsi" w:cs="Arial"/>
      <w:sz w:val="20"/>
      <w:szCs w:val="20"/>
    </w:rPr>
  </w:style>
  <w:style w:type="paragraph" w:customStyle="1" w:styleId="TableBullet">
    <w:name w:val="TableBullet"/>
    <w:basedOn w:val="TableText"/>
    <w:uiPriority w:val="9"/>
    <w:qFormat/>
    <w:rsid w:val="004D11B0"/>
    <w:pPr>
      <w:numPr>
        <w:numId w:val="7"/>
      </w:numPr>
      <w:spacing w:after="20"/>
      <w:ind w:left="170" w:hanging="170"/>
    </w:pPr>
  </w:style>
  <w:style w:type="paragraph" w:customStyle="1" w:styleId="RowHeading">
    <w:name w:val="RowHeading"/>
    <w:basedOn w:val="TableText"/>
    <w:next w:val="TableText"/>
    <w:uiPriority w:val="9"/>
    <w:qFormat/>
    <w:rsid w:val="009E24AD"/>
    <w:rPr>
      <w:b/>
    </w:rPr>
  </w:style>
  <w:style w:type="paragraph" w:customStyle="1" w:styleId="CoverSubtitle">
    <w:name w:val="CoverSubtitle"/>
    <w:basedOn w:val="Normal"/>
    <w:next w:val="BodyText"/>
    <w:uiPriority w:val="12"/>
    <w:qFormat/>
    <w:rsid w:val="00365184"/>
    <w:pPr>
      <w:keepNext/>
      <w:spacing w:after="300"/>
    </w:pPr>
    <w:rPr>
      <w:rFonts w:asciiTheme="majorHAnsi" w:eastAsia="Times New Roman" w:hAnsiTheme="majorHAnsi"/>
      <w:color w:val="146692" w:themeColor="text2"/>
      <w:sz w:val="32"/>
      <w:szCs w:val="36"/>
    </w:rPr>
  </w:style>
  <w:style w:type="paragraph" w:styleId="TOCHeading">
    <w:name w:val="TOC Heading"/>
    <w:basedOn w:val="Heading1noTOC"/>
    <w:next w:val="Normal"/>
    <w:link w:val="TOCHeadingChar"/>
    <w:uiPriority w:val="39"/>
    <w:qFormat/>
    <w:locked/>
    <w:rsid w:val="00BB16D0"/>
    <w:pPr>
      <w:keepLines/>
      <w:pageBreakBefore/>
      <w:spacing w:before="0" w:after="960"/>
    </w:pPr>
    <w:rPr>
      <w:sz w:val="44"/>
    </w:rPr>
  </w:style>
  <w:style w:type="character" w:styleId="Hyperlink">
    <w:name w:val="Hyperlink"/>
    <w:basedOn w:val="DefaultParagraphFont"/>
    <w:uiPriority w:val="99"/>
    <w:qFormat/>
    <w:locked/>
    <w:rsid w:val="008631BE"/>
    <w:rPr>
      <w:rFonts w:cs="Times New Roman"/>
      <w:color w:val="006D99" w:themeColor="accent1" w:themeShade="BF"/>
      <w:u w:val="none"/>
    </w:rPr>
  </w:style>
  <w:style w:type="paragraph" w:styleId="TOC4">
    <w:name w:val="toc 4"/>
    <w:basedOn w:val="Normal"/>
    <w:next w:val="Normal"/>
    <w:autoRedefine/>
    <w:uiPriority w:val="39"/>
    <w:semiHidden/>
    <w:locked/>
    <w:rsid w:val="006E436D"/>
    <w:pPr>
      <w:tabs>
        <w:tab w:val="left" w:pos="1474"/>
        <w:tab w:val="right" w:leader="dot" w:pos="9639"/>
      </w:tabs>
      <w:spacing w:before="60" w:after="60"/>
      <w:ind w:left="567"/>
    </w:pPr>
    <w:rPr>
      <w:i/>
    </w:rPr>
  </w:style>
  <w:style w:type="paragraph" w:styleId="TOC9">
    <w:name w:val="toc 9"/>
    <w:basedOn w:val="Normal"/>
    <w:next w:val="Normal"/>
    <w:autoRedefine/>
    <w:uiPriority w:val="99"/>
    <w:semiHidden/>
    <w:locked/>
    <w:rsid w:val="00FE3F4D"/>
    <w:pPr>
      <w:spacing w:after="100"/>
      <w:ind w:left="1760"/>
    </w:pPr>
  </w:style>
  <w:style w:type="paragraph" w:styleId="Caption">
    <w:name w:val="caption"/>
    <w:basedOn w:val="BodyText"/>
    <w:next w:val="BodyText"/>
    <w:link w:val="CaptionChar"/>
    <w:uiPriority w:val="35"/>
    <w:qFormat/>
    <w:locked/>
    <w:rsid w:val="00B100E0"/>
    <w:pPr>
      <w:keepNext/>
      <w:spacing w:after="60"/>
    </w:pPr>
    <w:rPr>
      <w:b/>
      <w:bCs/>
      <w:color w:val="146692" w:themeColor="text2"/>
      <w:sz w:val="20"/>
      <w:szCs w:val="18"/>
    </w:rPr>
  </w:style>
  <w:style w:type="paragraph" w:customStyle="1" w:styleId="HeaderSection">
    <w:name w:val="HeaderSection"/>
    <w:uiPriority w:val="12"/>
    <w:qFormat/>
    <w:rsid w:val="00566341"/>
    <w:pPr>
      <w:spacing w:after="120"/>
    </w:pPr>
    <w:rPr>
      <w:rFonts w:asciiTheme="minorHAnsi" w:eastAsia="Times" w:hAnsiTheme="minorHAnsi" w:cs="Arial"/>
      <w:color w:val="7F7F7F" w:themeColor="text1" w:themeTint="80"/>
      <w:sz w:val="18"/>
      <w:szCs w:val="20"/>
    </w:rPr>
  </w:style>
  <w:style w:type="paragraph" w:customStyle="1" w:styleId="Heading1notnumbered">
    <w:name w:val="Heading 1 not numbered"/>
    <w:basedOn w:val="Heading1"/>
    <w:next w:val="BodyText"/>
    <w:uiPriority w:val="2"/>
    <w:rsid w:val="00856D01"/>
    <w:pPr>
      <w:keepLines/>
      <w:pageBreakBefore/>
      <w:spacing w:before="0" w:after="960"/>
      <w:ind w:left="0"/>
    </w:pPr>
    <w:rPr>
      <w:sz w:val="44"/>
    </w:rPr>
  </w:style>
  <w:style w:type="paragraph" w:customStyle="1" w:styleId="Heading3notnumbered">
    <w:name w:val="Heading 3 not numbered"/>
    <w:basedOn w:val="Heading3"/>
    <w:next w:val="BodyText"/>
    <w:uiPriority w:val="1"/>
    <w:qFormat/>
    <w:rsid w:val="005067F1"/>
    <w:pPr>
      <w:numPr>
        <w:numId w:val="0"/>
      </w:numPr>
    </w:pPr>
  </w:style>
  <w:style w:type="paragraph" w:customStyle="1" w:styleId="Heading2notnumbered">
    <w:name w:val="Heading 2 not numbered"/>
    <w:basedOn w:val="Heading2"/>
    <w:next w:val="BodyText"/>
    <w:uiPriority w:val="2"/>
    <w:qFormat/>
    <w:rsid w:val="005067F1"/>
    <w:pPr>
      <w:numPr>
        <w:numId w:val="0"/>
      </w:numPr>
    </w:pPr>
  </w:style>
  <w:style w:type="paragraph" w:customStyle="1" w:styleId="Heading1noTOC">
    <w:name w:val="Heading 1 no TOC"/>
    <w:basedOn w:val="Heading1"/>
    <w:next w:val="BodyText"/>
    <w:uiPriority w:val="2"/>
    <w:qFormat/>
    <w:rsid w:val="00856D01"/>
    <w:pPr>
      <w:ind w:left="0"/>
    </w:pPr>
  </w:style>
  <w:style w:type="character" w:customStyle="1" w:styleId="TOCHeadingChar">
    <w:name w:val="TOC Heading Char"/>
    <w:basedOn w:val="DefaultParagraphFont"/>
    <w:link w:val="TOCHeading"/>
    <w:uiPriority w:val="39"/>
    <w:locked/>
    <w:rsid w:val="00BB16D0"/>
    <w:rPr>
      <w:rFonts w:asciiTheme="majorHAnsi" w:eastAsia="Times New Roman" w:hAnsiTheme="majorHAnsi"/>
      <w:b/>
      <w:color w:val="146692" w:themeColor="text2"/>
      <w:sz w:val="44"/>
      <w:szCs w:val="72"/>
    </w:rPr>
  </w:style>
  <w:style w:type="paragraph" w:styleId="BodyText">
    <w:name w:val="Body Text"/>
    <w:link w:val="BodyTextChar"/>
    <w:qFormat/>
    <w:locked/>
    <w:rsid w:val="000902F6"/>
    <w:rPr>
      <w:rFonts w:eastAsia="Calibri"/>
      <w:color w:val="000000"/>
    </w:rPr>
  </w:style>
  <w:style w:type="character" w:customStyle="1" w:styleId="BodyTextChar">
    <w:name w:val="Body Text Char"/>
    <w:basedOn w:val="DefaultParagraphFont"/>
    <w:link w:val="BodyText"/>
    <w:locked/>
    <w:rsid w:val="000902F6"/>
    <w:rPr>
      <w:rFonts w:eastAsia="Calibri"/>
      <w:color w:val="000000"/>
      <w:sz w:val="24"/>
    </w:rPr>
  </w:style>
  <w:style w:type="paragraph" w:customStyle="1" w:styleId="TableHeading">
    <w:name w:val="TableHeading"/>
    <w:uiPriority w:val="8"/>
    <w:qFormat/>
    <w:rsid w:val="00595095"/>
    <w:pPr>
      <w:spacing w:before="20" w:line="120" w:lineRule="atLeast"/>
    </w:pPr>
    <w:rPr>
      <w:rFonts w:asciiTheme="minorHAnsi" w:eastAsia="Times New Roman" w:hAnsiTheme="minorHAnsi" w:cs="Arial"/>
      <w:b/>
      <w:color w:val="FFFFFF"/>
      <w:sz w:val="20"/>
      <w:szCs w:val="20"/>
    </w:rPr>
  </w:style>
  <w:style w:type="paragraph" w:customStyle="1" w:styleId="TableHeadingCentred">
    <w:name w:val="TableHeadingCentred"/>
    <w:basedOn w:val="TableHeading"/>
    <w:uiPriority w:val="8"/>
    <w:semiHidden/>
    <w:qFormat/>
    <w:rsid w:val="00595095"/>
    <w:pPr>
      <w:jc w:val="center"/>
    </w:pPr>
  </w:style>
  <w:style w:type="character" w:styleId="FollowedHyperlink">
    <w:name w:val="FollowedHyperlink"/>
    <w:basedOn w:val="DefaultParagraphFont"/>
    <w:uiPriority w:val="99"/>
    <w:semiHidden/>
    <w:locked/>
    <w:rsid w:val="003D6565"/>
    <w:rPr>
      <w:rFonts w:cs="Times New Roman"/>
      <w:color w:val="auto"/>
      <w:u w:val="none"/>
    </w:rPr>
  </w:style>
  <w:style w:type="character" w:styleId="FootnoteReference">
    <w:name w:val="footnote reference"/>
    <w:basedOn w:val="DefaultParagraphFont"/>
    <w:uiPriority w:val="13"/>
    <w:locked/>
    <w:rsid w:val="00E251B6"/>
    <w:rPr>
      <w:rFonts w:cs="Times New Roman"/>
      <w:vertAlign w:val="superscript"/>
    </w:rPr>
  </w:style>
  <w:style w:type="paragraph" w:styleId="HTMLAddress">
    <w:name w:val="HTML Address"/>
    <w:basedOn w:val="Normal"/>
    <w:link w:val="HTMLAddressChar"/>
    <w:uiPriority w:val="99"/>
    <w:semiHidden/>
    <w:locked/>
    <w:rsid w:val="00E251B6"/>
    <w:rPr>
      <w:i/>
      <w:iCs/>
    </w:rPr>
  </w:style>
  <w:style w:type="character" w:customStyle="1" w:styleId="HTMLAddressChar">
    <w:name w:val="HTML Address Char"/>
    <w:basedOn w:val="DefaultParagraphFont"/>
    <w:link w:val="HTMLAddress"/>
    <w:uiPriority w:val="99"/>
    <w:semiHidden/>
    <w:locked/>
    <w:rsid w:val="00DB55B9"/>
    <w:rPr>
      <w:rFonts w:eastAsia="Calibri"/>
      <w:i/>
      <w:iCs/>
      <w:color w:val="000000"/>
    </w:rPr>
  </w:style>
  <w:style w:type="paragraph" w:styleId="HTMLPreformatted">
    <w:name w:val="HTML Preformatted"/>
    <w:basedOn w:val="Normal"/>
    <w:link w:val="HTMLPreformattedChar"/>
    <w:uiPriority w:val="99"/>
    <w:semiHidden/>
    <w:locked/>
    <w:rsid w:val="00E251B6"/>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DB55B9"/>
    <w:rPr>
      <w:rFonts w:ascii="Courier New" w:eastAsia="Calibri" w:hAnsi="Courier New" w:cs="Courier New"/>
      <w:color w:val="000000"/>
      <w:sz w:val="20"/>
      <w:szCs w:val="20"/>
    </w:rPr>
  </w:style>
  <w:style w:type="character" w:styleId="LineNumber">
    <w:name w:val="line number"/>
    <w:basedOn w:val="DefaultParagraphFont"/>
    <w:uiPriority w:val="99"/>
    <w:semiHidden/>
    <w:locked/>
    <w:rsid w:val="00E251B6"/>
    <w:rPr>
      <w:rFonts w:cs="Times New Roman"/>
    </w:rPr>
  </w:style>
  <w:style w:type="paragraph" w:styleId="List">
    <w:name w:val="List"/>
    <w:basedOn w:val="Normal"/>
    <w:uiPriority w:val="99"/>
    <w:semiHidden/>
    <w:locked/>
    <w:rsid w:val="00E251B6"/>
    <w:pPr>
      <w:ind w:left="283" w:hanging="283"/>
    </w:pPr>
  </w:style>
  <w:style w:type="paragraph" w:styleId="List2">
    <w:name w:val="List 2"/>
    <w:basedOn w:val="Normal"/>
    <w:uiPriority w:val="99"/>
    <w:semiHidden/>
    <w:locked/>
    <w:rsid w:val="00E251B6"/>
    <w:pPr>
      <w:ind w:left="566" w:hanging="283"/>
    </w:pPr>
  </w:style>
  <w:style w:type="paragraph" w:styleId="List3">
    <w:name w:val="List 3"/>
    <w:basedOn w:val="Normal"/>
    <w:uiPriority w:val="99"/>
    <w:semiHidden/>
    <w:locked/>
    <w:rsid w:val="00E251B6"/>
    <w:pPr>
      <w:ind w:left="849" w:hanging="283"/>
    </w:pPr>
  </w:style>
  <w:style w:type="paragraph" w:styleId="List4">
    <w:name w:val="List 4"/>
    <w:basedOn w:val="Normal"/>
    <w:uiPriority w:val="99"/>
    <w:semiHidden/>
    <w:locked/>
    <w:rsid w:val="00E251B6"/>
    <w:pPr>
      <w:ind w:left="1132" w:hanging="283"/>
    </w:pPr>
  </w:style>
  <w:style w:type="paragraph" w:styleId="List5">
    <w:name w:val="List 5"/>
    <w:basedOn w:val="Normal"/>
    <w:uiPriority w:val="99"/>
    <w:semiHidden/>
    <w:locked/>
    <w:rsid w:val="00E251B6"/>
    <w:pPr>
      <w:ind w:left="1415" w:hanging="283"/>
    </w:pPr>
  </w:style>
  <w:style w:type="paragraph" w:styleId="ListBullet4">
    <w:name w:val="List Bullet 4"/>
    <w:basedOn w:val="Normal"/>
    <w:uiPriority w:val="99"/>
    <w:semiHidden/>
    <w:locked/>
    <w:rsid w:val="00E251B6"/>
    <w:pPr>
      <w:numPr>
        <w:numId w:val="1"/>
      </w:numPr>
      <w:tabs>
        <w:tab w:val="num" w:pos="1209"/>
      </w:tabs>
      <w:ind w:left="1209"/>
    </w:pPr>
  </w:style>
  <w:style w:type="paragraph" w:styleId="ListBullet5">
    <w:name w:val="List Bullet 5"/>
    <w:basedOn w:val="Normal"/>
    <w:uiPriority w:val="99"/>
    <w:semiHidden/>
    <w:locked/>
    <w:rsid w:val="00E251B6"/>
    <w:pPr>
      <w:numPr>
        <w:numId w:val="2"/>
      </w:numPr>
      <w:tabs>
        <w:tab w:val="num" w:pos="926"/>
        <w:tab w:val="num" w:pos="1492"/>
      </w:tabs>
      <w:ind w:left="1492"/>
    </w:pPr>
  </w:style>
  <w:style w:type="paragraph" w:styleId="ListContinue">
    <w:name w:val="List Continue"/>
    <w:basedOn w:val="Normal"/>
    <w:uiPriority w:val="99"/>
    <w:semiHidden/>
    <w:locked/>
    <w:rsid w:val="00E251B6"/>
    <w:pPr>
      <w:ind w:left="283"/>
    </w:pPr>
  </w:style>
  <w:style w:type="paragraph" w:styleId="ListContinue2">
    <w:name w:val="List Continue 2"/>
    <w:basedOn w:val="Normal"/>
    <w:uiPriority w:val="99"/>
    <w:semiHidden/>
    <w:locked/>
    <w:rsid w:val="00E251B6"/>
    <w:pPr>
      <w:ind w:left="566"/>
    </w:pPr>
  </w:style>
  <w:style w:type="paragraph" w:styleId="ListContinue3">
    <w:name w:val="List Continue 3"/>
    <w:basedOn w:val="Normal"/>
    <w:uiPriority w:val="99"/>
    <w:semiHidden/>
    <w:locked/>
    <w:rsid w:val="00E251B6"/>
    <w:pPr>
      <w:ind w:left="849"/>
    </w:pPr>
  </w:style>
  <w:style w:type="paragraph" w:styleId="ListContinue4">
    <w:name w:val="List Continue 4"/>
    <w:basedOn w:val="Normal"/>
    <w:uiPriority w:val="99"/>
    <w:semiHidden/>
    <w:locked/>
    <w:rsid w:val="00E251B6"/>
    <w:pPr>
      <w:ind w:left="1132"/>
    </w:pPr>
  </w:style>
  <w:style w:type="paragraph" w:styleId="ListContinue5">
    <w:name w:val="List Continue 5"/>
    <w:basedOn w:val="Normal"/>
    <w:uiPriority w:val="99"/>
    <w:semiHidden/>
    <w:locked/>
    <w:rsid w:val="00E251B6"/>
    <w:pPr>
      <w:ind w:left="1415"/>
    </w:pPr>
  </w:style>
  <w:style w:type="paragraph" w:styleId="ListNumber3">
    <w:name w:val="List Number 3"/>
    <w:basedOn w:val="Normal"/>
    <w:uiPriority w:val="99"/>
    <w:semiHidden/>
    <w:locked/>
    <w:rsid w:val="00E251B6"/>
    <w:pPr>
      <w:numPr>
        <w:numId w:val="3"/>
      </w:numPr>
    </w:pPr>
  </w:style>
  <w:style w:type="paragraph" w:styleId="MessageHeader">
    <w:name w:val="Message Header"/>
    <w:basedOn w:val="Normal"/>
    <w:link w:val="MessageHeaderChar"/>
    <w:uiPriority w:val="99"/>
    <w:semiHidden/>
    <w:locked/>
    <w:rsid w:val="00E251B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character" w:customStyle="1" w:styleId="MessageHeaderChar">
    <w:name w:val="Message Header Char"/>
    <w:basedOn w:val="DefaultParagraphFont"/>
    <w:link w:val="MessageHeader"/>
    <w:uiPriority w:val="99"/>
    <w:semiHidden/>
    <w:locked/>
    <w:rsid w:val="00DB55B9"/>
    <w:rPr>
      <w:rFonts w:ascii="Arial" w:eastAsia="Calibri" w:hAnsi="Arial" w:cs="Arial"/>
      <w:color w:val="000000"/>
      <w:sz w:val="24"/>
      <w:szCs w:val="24"/>
      <w:shd w:val="pct20" w:color="auto" w:fill="auto"/>
    </w:rPr>
  </w:style>
  <w:style w:type="paragraph" w:styleId="NormalWeb">
    <w:name w:val="Normal (Web)"/>
    <w:basedOn w:val="Normal"/>
    <w:uiPriority w:val="99"/>
    <w:semiHidden/>
    <w:locked/>
    <w:rsid w:val="00E251B6"/>
    <w:rPr>
      <w:rFonts w:ascii="Times New Roman" w:hAnsi="Times New Roman"/>
    </w:rPr>
  </w:style>
  <w:style w:type="paragraph" w:styleId="NormalIndent">
    <w:name w:val="Normal Indent"/>
    <w:basedOn w:val="Normal"/>
    <w:uiPriority w:val="99"/>
    <w:semiHidden/>
    <w:locked/>
    <w:rsid w:val="00E251B6"/>
    <w:pPr>
      <w:ind w:left="720"/>
    </w:pPr>
  </w:style>
  <w:style w:type="paragraph" w:styleId="NoteHeading">
    <w:name w:val="Note Heading"/>
    <w:basedOn w:val="Normal"/>
    <w:next w:val="Normal"/>
    <w:link w:val="NoteHeadingChar"/>
    <w:uiPriority w:val="99"/>
    <w:semiHidden/>
    <w:locked/>
    <w:rsid w:val="00E251B6"/>
  </w:style>
  <w:style w:type="character" w:customStyle="1" w:styleId="NoteHeadingChar">
    <w:name w:val="Note Heading Char"/>
    <w:basedOn w:val="DefaultParagraphFont"/>
    <w:link w:val="NoteHeading"/>
    <w:uiPriority w:val="99"/>
    <w:semiHidden/>
    <w:locked/>
    <w:rsid w:val="00DB55B9"/>
    <w:rPr>
      <w:rFonts w:eastAsia="Calibri"/>
      <w:color w:val="000000"/>
    </w:rPr>
  </w:style>
  <w:style w:type="paragraph" w:styleId="PlainText">
    <w:name w:val="Plain Text"/>
    <w:basedOn w:val="Normal"/>
    <w:link w:val="PlainTextChar"/>
    <w:uiPriority w:val="99"/>
    <w:semiHidden/>
    <w:locked/>
    <w:rsid w:val="00E251B6"/>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DB55B9"/>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E251B6"/>
  </w:style>
  <w:style w:type="character" w:customStyle="1" w:styleId="SalutationChar">
    <w:name w:val="Salutation Char"/>
    <w:basedOn w:val="DefaultParagraphFont"/>
    <w:link w:val="Salutation"/>
    <w:uiPriority w:val="99"/>
    <w:semiHidden/>
    <w:locked/>
    <w:rsid w:val="00DB55B9"/>
    <w:rPr>
      <w:rFonts w:eastAsia="Calibri"/>
      <w:color w:val="000000"/>
    </w:rPr>
  </w:style>
  <w:style w:type="paragraph" w:styleId="Signature">
    <w:name w:val="Signature"/>
    <w:basedOn w:val="Normal"/>
    <w:link w:val="SignatureChar"/>
    <w:uiPriority w:val="99"/>
    <w:semiHidden/>
    <w:locked/>
    <w:rsid w:val="00E251B6"/>
    <w:pPr>
      <w:ind w:left="4252"/>
    </w:pPr>
  </w:style>
  <w:style w:type="character" w:customStyle="1" w:styleId="SignatureChar">
    <w:name w:val="Signature Char"/>
    <w:basedOn w:val="DefaultParagraphFont"/>
    <w:link w:val="Signature"/>
    <w:uiPriority w:val="99"/>
    <w:semiHidden/>
    <w:locked/>
    <w:rsid w:val="00DB55B9"/>
    <w:rPr>
      <w:rFonts w:eastAsia="Calibri"/>
      <w:color w:val="000000"/>
    </w:rPr>
  </w:style>
  <w:style w:type="character" w:styleId="Strong">
    <w:name w:val="Strong"/>
    <w:basedOn w:val="DefaultParagraphFont"/>
    <w:uiPriority w:val="99"/>
    <w:locked/>
    <w:rsid w:val="001249CC"/>
    <w:rPr>
      <w:rFonts w:cs="Times New Roman"/>
      <w:b/>
      <w:bCs/>
    </w:rPr>
  </w:style>
  <w:style w:type="table" w:styleId="Table3Deffects1">
    <w:name w:val="Table 3D effects 1"/>
    <w:basedOn w:val="TableNormal"/>
    <w:uiPriority w:val="99"/>
    <w:locked/>
    <w:rsid w:val="00E251B6"/>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E251B6"/>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E251B6"/>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E251B6"/>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E251B6"/>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E251B6"/>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E251B6"/>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E251B6"/>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E251B6"/>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E251B6"/>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E251B6"/>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E251B6"/>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E251B6"/>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E251B6"/>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E251B6"/>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E251B6"/>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E251B6"/>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E251B6"/>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E251B6"/>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E251B6"/>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E251B6"/>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E251B6"/>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E251B6"/>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E251B6"/>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E251B6"/>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E251B6"/>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E251B6"/>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E251B6"/>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E251B6"/>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E251B6"/>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E251B6"/>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E251B6"/>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basedOn w:val="Normal"/>
    <w:uiPriority w:val="20"/>
    <w:rsid w:val="00EB07BB"/>
    <w:pPr>
      <w:spacing w:before="100" w:after="20" w:line="240" w:lineRule="auto"/>
    </w:pPr>
    <w:rPr>
      <w:rFonts w:asciiTheme="minorHAnsi" w:eastAsia="Times" w:hAnsiTheme="minorHAnsi" w:cs="Arial"/>
      <w:b/>
      <w:color w:val="146692" w:themeColor="text2"/>
      <w:kern w:val="28"/>
      <w:sz w:val="18"/>
      <w:szCs w:val="20"/>
    </w:rPr>
  </w:style>
  <w:style w:type="paragraph" w:customStyle="1" w:styleId="CoverFooter">
    <w:name w:val="CoverFooter"/>
    <w:uiPriority w:val="12"/>
    <w:rsid w:val="00EE62F5"/>
    <w:pPr>
      <w:spacing w:before="0" w:after="0" w:line="240" w:lineRule="auto"/>
    </w:pPr>
    <w:rPr>
      <w:rFonts w:asciiTheme="minorHAnsi" w:eastAsia="Times" w:hAnsiTheme="minorHAnsi" w:cs="Arial"/>
      <w:b/>
      <w:color w:val="FFFFFF" w:themeColor="background1"/>
      <w:sz w:val="22"/>
      <w:szCs w:val="22"/>
    </w:rPr>
  </w:style>
  <w:style w:type="paragraph" w:styleId="Index1">
    <w:name w:val="index 1"/>
    <w:basedOn w:val="Normal"/>
    <w:next w:val="Normal"/>
    <w:autoRedefine/>
    <w:uiPriority w:val="99"/>
    <w:semiHidden/>
    <w:locked/>
    <w:rsid w:val="00AD275A"/>
    <w:pPr>
      <w:ind w:left="220" w:hanging="220"/>
    </w:pPr>
  </w:style>
  <w:style w:type="paragraph" w:styleId="Index2">
    <w:name w:val="index 2"/>
    <w:basedOn w:val="Normal"/>
    <w:next w:val="Normal"/>
    <w:autoRedefine/>
    <w:uiPriority w:val="99"/>
    <w:semiHidden/>
    <w:locked/>
    <w:rsid w:val="00AD275A"/>
    <w:pPr>
      <w:ind w:left="440" w:hanging="220"/>
    </w:pPr>
  </w:style>
  <w:style w:type="paragraph" w:styleId="Index3">
    <w:name w:val="index 3"/>
    <w:basedOn w:val="Normal"/>
    <w:next w:val="Normal"/>
    <w:autoRedefine/>
    <w:uiPriority w:val="99"/>
    <w:semiHidden/>
    <w:locked/>
    <w:rsid w:val="00AD275A"/>
    <w:pPr>
      <w:ind w:left="660" w:hanging="220"/>
    </w:pPr>
  </w:style>
  <w:style w:type="paragraph" w:styleId="Index4">
    <w:name w:val="index 4"/>
    <w:basedOn w:val="Normal"/>
    <w:next w:val="Normal"/>
    <w:autoRedefine/>
    <w:uiPriority w:val="99"/>
    <w:semiHidden/>
    <w:locked/>
    <w:rsid w:val="00AD275A"/>
    <w:pPr>
      <w:ind w:left="880" w:hanging="220"/>
    </w:pPr>
  </w:style>
  <w:style w:type="paragraph" w:styleId="Index5">
    <w:name w:val="index 5"/>
    <w:basedOn w:val="Normal"/>
    <w:next w:val="Normal"/>
    <w:autoRedefine/>
    <w:uiPriority w:val="99"/>
    <w:semiHidden/>
    <w:locked/>
    <w:rsid w:val="00AD275A"/>
    <w:pPr>
      <w:ind w:left="1100" w:hanging="220"/>
    </w:pPr>
  </w:style>
  <w:style w:type="paragraph" w:styleId="Index6">
    <w:name w:val="index 6"/>
    <w:basedOn w:val="Normal"/>
    <w:next w:val="Normal"/>
    <w:autoRedefine/>
    <w:uiPriority w:val="99"/>
    <w:semiHidden/>
    <w:locked/>
    <w:rsid w:val="00AD275A"/>
    <w:pPr>
      <w:ind w:left="1320" w:hanging="220"/>
    </w:pPr>
  </w:style>
  <w:style w:type="paragraph" w:styleId="Index7">
    <w:name w:val="index 7"/>
    <w:basedOn w:val="Normal"/>
    <w:next w:val="Normal"/>
    <w:autoRedefine/>
    <w:uiPriority w:val="99"/>
    <w:semiHidden/>
    <w:locked/>
    <w:rsid w:val="00AD275A"/>
    <w:pPr>
      <w:ind w:left="1540" w:hanging="220"/>
    </w:pPr>
  </w:style>
  <w:style w:type="paragraph" w:styleId="Index8">
    <w:name w:val="index 8"/>
    <w:basedOn w:val="Normal"/>
    <w:next w:val="Normal"/>
    <w:autoRedefine/>
    <w:uiPriority w:val="99"/>
    <w:semiHidden/>
    <w:locked/>
    <w:rsid w:val="00AD275A"/>
    <w:pPr>
      <w:ind w:left="1760" w:hanging="220"/>
    </w:pPr>
  </w:style>
  <w:style w:type="paragraph" w:styleId="Index9">
    <w:name w:val="index 9"/>
    <w:basedOn w:val="Normal"/>
    <w:next w:val="Normal"/>
    <w:autoRedefine/>
    <w:uiPriority w:val="99"/>
    <w:semiHidden/>
    <w:locked/>
    <w:rsid w:val="00AD275A"/>
    <w:pPr>
      <w:ind w:left="1980" w:hanging="220"/>
    </w:pPr>
  </w:style>
  <w:style w:type="paragraph" w:styleId="IndexHeading">
    <w:name w:val="index heading"/>
    <w:basedOn w:val="Normal"/>
    <w:next w:val="Index1"/>
    <w:uiPriority w:val="99"/>
    <w:semiHidden/>
    <w:locked/>
    <w:rsid w:val="00AD275A"/>
    <w:rPr>
      <w:rFonts w:ascii="Arial" w:hAnsi="Arial" w:cs="Arial"/>
      <w:b/>
      <w:bCs/>
    </w:rPr>
  </w:style>
  <w:style w:type="paragraph" w:styleId="MacroText">
    <w:name w:val="macro"/>
    <w:link w:val="MacroTextChar"/>
    <w:uiPriority w:val="99"/>
    <w:semiHidden/>
    <w:locked/>
    <w:rsid w:val="00AD275A"/>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DB55B9"/>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AD275A"/>
    <w:pPr>
      <w:ind w:left="220" w:hanging="220"/>
    </w:pPr>
  </w:style>
  <w:style w:type="paragraph" w:styleId="TableofFigures">
    <w:name w:val="table of figures"/>
    <w:basedOn w:val="BodyText"/>
    <w:next w:val="BodyText"/>
    <w:uiPriority w:val="99"/>
    <w:locked/>
    <w:rsid w:val="00DC2413"/>
    <w:pPr>
      <w:tabs>
        <w:tab w:val="right" w:leader="dot" w:pos="9639"/>
      </w:tabs>
      <w:spacing w:before="0"/>
      <w:ind w:right="284"/>
    </w:pPr>
  </w:style>
  <w:style w:type="paragraph" w:styleId="TOAHeading">
    <w:name w:val="toa heading"/>
    <w:basedOn w:val="Normal"/>
    <w:next w:val="Normal"/>
    <w:uiPriority w:val="99"/>
    <w:semiHidden/>
    <w:locked/>
    <w:rsid w:val="00AD275A"/>
    <w:pPr>
      <w:spacing w:before="120"/>
    </w:pPr>
    <w:rPr>
      <w:rFonts w:ascii="Arial" w:hAnsi="Arial" w:cs="Arial"/>
      <w:b/>
      <w:bCs/>
    </w:rPr>
  </w:style>
  <w:style w:type="paragraph" w:styleId="TOC5">
    <w:name w:val="toc 5"/>
    <w:basedOn w:val="Normal"/>
    <w:next w:val="Normal"/>
    <w:autoRedefine/>
    <w:uiPriority w:val="39"/>
    <w:semiHidden/>
    <w:locked/>
    <w:rsid w:val="006E436D"/>
    <w:pPr>
      <w:tabs>
        <w:tab w:val="left" w:pos="1474"/>
        <w:tab w:val="right" w:leader="dot" w:pos="9639"/>
      </w:tabs>
      <w:spacing w:before="60" w:after="60"/>
      <w:ind w:left="567"/>
    </w:pPr>
  </w:style>
  <w:style w:type="paragraph" w:styleId="TOC6">
    <w:name w:val="toc 6"/>
    <w:basedOn w:val="Normal"/>
    <w:next w:val="Normal"/>
    <w:autoRedefine/>
    <w:uiPriority w:val="99"/>
    <w:semiHidden/>
    <w:locked/>
    <w:rsid w:val="00AD275A"/>
    <w:pPr>
      <w:ind w:left="1100"/>
    </w:pPr>
  </w:style>
  <w:style w:type="paragraph" w:styleId="TOC7">
    <w:name w:val="toc 7"/>
    <w:basedOn w:val="Normal"/>
    <w:next w:val="Normal"/>
    <w:autoRedefine/>
    <w:uiPriority w:val="99"/>
    <w:semiHidden/>
    <w:locked/>
    <w:rsid w:val="00AD275A"/>
    <w:pPr>
      <w:ind w:left="1320"/>
    </w:pPr>
  </w:style>
  <w:style w:type="paragraph" w:styleId="TOC8">
    <w:name w:val="toc 8"/>
    <w:basedOn w:val="Normal"/>
    <w:next w:val="Normal"/>
    <w:autoRedefine/>
    <w:uiPriority w:val="99"/>
    <w:semiHidden/>
    <w:locked/>
    <w:rsid w:val="00AD275A"/>
    <w:pPr>
      <w:ind w:left="1540"/>
    </w:pPr>
  </w:style>
  <w:style w:type="numbering" w:customStyle="1" w:styleId="TableBullets">
    <w:name w:val="TableBullets"/>
    <w:uiPriority w:val="99"/>
    <w:rsid w:val="008861FC"/>
    <w:pPr>
      <w:numPr>
        <w:numId w:val="6"/>
      </w:numPr>
    </w:pPr>
  </w:style>
  <w:style w:type="paragraph" w:customStyle="1" w:styleId="AppendixHeading1base">
    <w:name w:val="Appendix Heading 1 base"/>
    <w:uiPriority w:val="99"/>
    <w:semiHidden/>
    <w:qFormat/>
    <w:rsid w:val="0096552D"/>
    <w:pPr>
      <w:keepNext/>
      <w:pageBreakBefore/>
      <w:tabs>
        <w:tab w:val="left" w:pos="2268"/>
      </w:tabs>
    </w:pPr>
    <w:rPr>
      <w:rFonts w:eastAsiaTheme="majorEastAsia" w:cstheme="majorBidi"/>
      <w:b/>
      <w:bCs/>
      <w:color w:val="146692" w:themeColor="text2"/>
      <w:sz w:val="44"/>
      <w:szCs w:val="28"/>
    </w:rPr>
  </w:style>
  <w:style w:type="paragraph" w:customStyle="1" w:styleId="AppendixHeading2">
    <w:name w:val="Appendix Heading 2"/>
    <w:basedOn w:val="Heading2"/>
    <w:next w:val="BodyText"/>
    <w:uiPriority w:val="12"/>
    <w:qFormat/>
    <w:rsid w:val="000B6198"/>
    <w:pPr>
      <w:spacing w:before="360" w:after="240"/>
      <w:ind w:left="0" w:firstLine="0"/>
    </w:pPr>
  </w:style>
  <w:style w:type="paragraph" w:customStyle="1" w:styleId="AppendixHeading3">
    <w:name w:val="Appendix Heading 3"/>
    <w:basedOn w:val="Heading3"/>
    <w:next w:val="BodyText"/>
    <w:uiPriority w:val="12"/>
    <w:qFormat/>
    <w:rsid w:val="0040389D"/>
    <w:pPr>
      <w:keepLines/>
      <w:tabs>
        <w:tab w:val="left" w:pos="1134"/>
      </w:tabs>
      <w:spacing w:before="360"/>
    </w:pPr>
  </w:style>
  <w:style w:type="paragraph" w:customStyle="1" w:styleId="AppendixHeading4">
    <w:name w:val="Appendix Heading 4"/>
    <w:basedOn w:val="Heading4"/>
    <w:next w:val="BodyText"/>
    <w:uiPriority w:val="12"/>
    <w:qFormat/>
    <w:rsid w:val="001235BB"/>
    <w:pPr>
      <w:numPr>
        <w:ilvl w:val="3"/>
        <w:numId w:val="14"/>
      </w:numPr>
    </w:pPr>
  </w:style>
  <w:style w:type="paragraph" w:customStyle="1" w:styleId="Equation">
    <w:name w:val="Equation"/>
    <w:basedOn w:val="BodyText"/>
    <w:next w:val="BodyText"/>
    <w:uiPriority w:val="6"/>
    <w:qFormat/>
    <w:rsid w:val="00E24FC6"/>
    <w:pPr>
      <w:tabs>
        <w:tab w:val="right" w:pos="9639"/>
      </w:tabs>
      <w:spacing w:before="240" w:after="240"/>
      <w:ind w:left="567"/>
    </w:pPr>
    <w:rPr>
      <w:rFonts w:asciiTheme="minorHAnsi" w:eastAsia="Times New Roman" w:hAnsiTheme="minorHAnsi"/>
      <w:color w:val="auto"/>
      <w:lang w:eastAsia="en-US"/>
    </w:rPr>
  </w:style>
  <w:style w:type="paragraph" w:customStyle="1" w:styleId="References">
    <w:name w:val="References"/>
    <w:basedOn w:val="BodyText"/>
    <w:next w:val="BodyText"/>
    <w:link w:val="ReferencesChar"/>
    <w:qFormat/>
    <w:rsid w:val="00726CA7"/>
    <w:pPr>
      <w:ind w:left="567" w:hanging="567"/>
    </w:pPr>
  </w:style>
  <w:style w:type="paragraph" w:styleId="ListNumber2">
    <w:name w:val="List Number 2"/>
    <w:basedOn w:val="Normal"/>
    <w:uiPriority w:val="99"/>
    <w:qFormat/>
    <w:locked/>
    <w:rsid w:val="0025295D"/>
    <w:pPr>
      <w:numPr>
        <w:numId w:val="10"/>
      </w:numPr>
      <w:spacing w:before="60" w:after="60"/>
      <w:ind w:left="1020"/>
    </w:pPr>
    <w:rPr>
      <w:rFonts w:asciiTheme="minorHAnsi" w:eastAsia="Times" w:hAnsiTheme="minorHAnsi" w:cs="Arial"/>
      <w:color w:val="auto"/>
      <w:szCs w:val="20"/>
    </w:rPr>
  </w:style>
  <w:style w:type="paragraph" w:customStyle="1" w:styleId="Heading4notnumbered">
    <w:name w:val="Heading 4 not numbered"/>
    <w:basedOn w:val="Heading4"/>
    <w:next w:val="BodyText"/>
    <w:uiPriority w:val="2"/>
    <w:qFormat/>
    <w:rsid w:val="005067F1"/>
    <w:pPr>
      <w:numPr>
        <w:ilvl w:val="0"/>
        <w:numId w:val="0"/>
      </w:numPr>
    </w:pPr>
  </w:style>
  <w:style w:type="character" w:customStyle="1" w:styleId="Bold">
    <w:name w:val="Bold"/>
    <w:basedOn w:val="DefaultParagraphFont"/>
    <w:qFormat/>
    <w:rsid w:val="00856E94"/>
    <w:rPr>
      <w:b/>
    </w:rPr>
  </w:style>
  <w:style w:type="paragraph" w:customStyle="1" w:styleId="HeaderComponent">
    <w:name w:val="HeaderComponent"/>
    <w:basedOn w:val="BodyText"/>
    <w:uiPriority w:val="12"/>
    <w:rsid w:val="005C0B56"/>
    <w:pPr>
      <w:spacing w:line="320" w:lineRule="exact"/>
      <w:jc w:val="right"/>
    </w:pPr>
    <w:rPr>
      <w:rFonts w:asciiTheme="minorHAnsi" w:eastAsia="Times" w:hAnsiTheme="minorHAnsi" w:cs="Arial"/>
      <w:color w:val="auto"/>
      <w:sz w:val="28"/>
      <w:szCs w:val="28"/>
    </w:rPr>
  </w:style>
  <w:style w:type="paragraph" w:customStyle="1" w:styleId="CoverImage">
    <w:name w:val="CoverImage"/>
    <w:next w:val="BodyText"/>
    <w:uiPriority w:val="12"/>
    <w:rsid w:val="007E273F"/>
    <w:pPr>
      <w:spacing w:before="120" w:after="120" w:line="240" w:lineRule="auto"/>
    </w:pPr>
    <w:rPr>
      <w:rFonts w:asciiTheme="minorHAnsi" w:eastAsia="Times" w:hAnsiTheme="minorHAnsi" w:cs="Arial"/>
      <w:szCs w:val="20"/>
    </w:rPr>
  </w:style>
  <w:style w:type="character" w:customStyle="1" w:styleId="Superscript">
    <w:name w:val="Superscript"/>
    <w:basedOn w:val="DefaultParagraphFont"/>
    <w:qFormat/>
    <w:rsid w:val="00583D53"/>
    <w:rPr>
      <w:position w:val="0"/>
      <w:vertAlign w:val="superscript"/>
    </w:rPr>
  </w:style>
  <w:style w:type="paragraph" w:customStyle="1" w:styleId="BackCoverText">
    <w:name w:val="BackCoverText"/>
    <w:uiPriority w:val="12"/>
    <w:rsid w:val="000F047C"/>
    <w:pPr>
      <w:spacing w:before="600" w:after="480"/>
      <w:jc w:val="center"/>
    </w:pPr>
    <w:rPr>
      <w:rFonts w:asciiTheme="minorHAnsi" w:eastAsia="Times" w:hAnsiTheme="minorHAnsi" w:cs="Arial"/>
      <w:b/>
      <w:noProof/>
      <w:color w:val="146692" w:themeColor="text2"/>
      <w:sz w:val="36"/>
      <w:szCs w:val="28"/>
    </w:rPr>
  </w:style>
  <w:style w:type="character" w:customStyle="1" w:styleId="Italic">
    <w:name w:val="Italic"/>
    <w:basedOn w:val="DefaultParagraphFont"/>
    <w:uiPriority w:val="5"/>
    <w:qFormat/>
    <w:rsid w:val="00583D53"/>
    <w:rPr>
      <w:i/>
    </w:rPr>
  </w:style>
  <w:style w:type="paragraph" w:customStyle="1" w:styleId="VersoPageText">
    <w:name w:val="Verso Page Text"/>
    <w:basedOn w:val="BodyText"/>
    <w:uiPriority w:val="20"/>
    <w:rsid w:val="00583D53"/>
    <w:pPr>
      <w:spacing w:before="0" w:after="120" w:line="240" w:lineRule="auto"/>
    </w:pPr>
    <w:rPr>
      <w:rFonts w:asciiTheme="minorHAnsi" w:eastAsia="Times" w:hAnsiTheme="minorHAnsi" w:cs="Arial"/>
      <w:color w:val="auto"/>
      <w:sz w:val="18"/>
      <w:szCs w:val="20"/>
    </w:rPr>
  </w:style>
  <w:style w:type="paragraph" w:customStyle="1" w:styleId="BackCoverLogos">
    <w:name w:val="BackCover Logos"/>
    <w:basedOn w:val="BodyText"/>
    <w:uiPriority w:val="12"/>
    <w:rsid w:val="000902F6"/>
    <w:pPr>
      <w:spacing w:line="240" w:lineRule="auto"/>
      <w:jc w:val="center"/>
    </w:pPr>
    <w:rPr>
      <w:noProof/>
    </w:rPr>
  </w:style>
  <w:style w:type="paragraph" w:customStyle="1" w:styleId="TableBulletNumbered">
    <w:name w:val="TableBulletNumbered"/>
    <w:basedOn w:val="TableText"/>
    <w:uiPriority w:val="9"/>
    <w:qFormat/>
    <w:rsid w:val="00E6605E"/>
    <w:pPr>
      <w:numPr>
        <w:numId w:val="5"/>
      </w:numPr>
      <w:spacing w:after="20"/>
      <w:ind w:left="227" w:hanging="227"/>
    </w:pPr>
  </w:style>
  <w:style w:type="table" w:customStyle="1" w:styleId="TableBAHeaderRow">
    <w:name w:val="Table BA Header Row"/>
    <w:basedOn w:val="TableNormal"/>
    <w:rsid w:val="00C17383"/>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style>
  <w:style w:type="paragraph" w:customStyle="1" w:styleId="TableTextCentred">
    <w:name w:val="TableTextCentred"/>
    <w:basedOn w:val="TableText"/>
    <w:next w:val="BodyText"/>
    <w:uiPriority w:val="8"/>
    <w:qFormat/>
    <w:rsid w:val="000902F6"/>
    <w:pPr>
      <w:jc w:val="center"/>
    </w:pPr>
  </w:style>
  <w:style w:type="paragraph" w:customStyle="1" w:styleId="TableTextRight">
    <w:name w:val="TableTextRight"/>
    <w:basedOn w:val="TableText"/>
    <w:next w:val="BodyText"/>
    <w:uiPriority w:val="8"/>
    <w:qFormat/>
    <w:rsid w:val="000902F6"/>
    <w:pPr>
      <w:jc w:val="right"/>
    </w:pPr>
  </w:style>
  <w:style w:type="paragraph" w:customStyle="1" w:styleId="Figures">
    <w:name w:val="Figures"/>
    <w:next w:val="BodyText"/>
    <w:uiPriority w:val="6"/>
    <w:qFormat/>
    <w:rsid w:val="00AF3473"/>
    <w:pPr>
      <w:keepNext/>
      <w:spacing w:before="480" w:after="80"/>
    </w:pPr>
    <w:rPr>
      <w:rFonts w:asciiTheme="minorHAnsi" w:eastAsia="Times" w:hAnsiTheme="minorHAnsi" w:cs="Arial"/>
      <w:szCs w:val="20"/>
    </w:rPr>
  </w:style>
  <w:style w:type="table" w:customStyle="1" w:styleId="TableBAHeaderRowandColumn">
    <w:name w:val="Table BA Header Row and Column"/>
    <w:basedOn w:val="TableNormal"/>
    <w:uiPriority w:val="99"/>
    <w:rsid w:val="00022AC3"/>
    <w:pPr>
      <w:spacing w:before="20" w:after="20" w:line="200" w:lineRule="atLeast"/>
    </w:pPr>
    <w:rPr>
      <w:rFonts w:asciiTheme="minorHAnsi" w:eastAsia="Times" w:hAnsiTheme="minorHAnsi"/>
      <w:sz w:val="20"/>
      <w:szCs w:val="20"/>
    </w:rPr>
    <w:tblPr>
      <w:tblStyleRowBandSize w:val="1"/>
      <w:tblStyleColBandSize w:val="1"/>
      <w:tblInd w:w="57" w:type="dxa"/>
      <w:tblBorders>
        <w:insideH w:val="single" w:sz="8" w:space="0" w:color="FFFFFF" w:themeColor="background1"/>
        <w:insideV w:val="single" w:sz="8" w:space="0" w:color="FFFFFF" w:themeColor="background1"/>
      </w:tblBorders>
      <w:tblCellMar>
        <w:top w:w="57" w:type="dxa"/>
        <w:left w:w="57" w:type="dxa"/>
        <w:bottom w:w="28" w:type="dxa"/>
        <w:right w:w="57" w:type="dxa"/>
      </w:tblCellMar>
    </w:tbl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firstCol">
      <w:rPr>
        <w:b/>
        <w:color w:val="FFFFFF"/>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color w:val="FFFFFF"/>
      </w:rPr>
      <w:tblPr/>
      <w:tcPr>
        <w:shd w:val="clear" w:color="auto" w:fill="FFFFFF" w:themeFill="background1"/>
      </w:tcPr>
    </w:tblStylePr>
  </w:style>
  <w:style w:type="table" w:customStyle="1" w:styleId="TableBAHeaderColumn">
    <w:name w:val="Table BA Header Column"/>
    <w:basedOn w:val="TableBAHeaderRowandColumn"/>
    <w:uiPriority w:val="99"/>
    <w:rsid w:val="00EA1967"/>
    <w:tblPr/>
    <w:trPr>
      <w:tblHeader/>
    </w:tr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val="0"/>
        <w:color w:val="auto"/>
        <w:sz w:val="20"/>
      </w:rPr>
      <w:tblPr/>
      <w:tcPr>
        <w:shd w:val="clear" w:color="auto" w:fill="E1F2FB"/>
      </w:tcPr>
    </w:tblStylePr>
    <w:tblStylePr w:type="firstCol">
      <w:rPr>
        <w:b/>
        <w:color w:val="FFFFFF"/>
      </w:rPr>
      <w:tblPr/>
      <w:tcPr>
        <w:shd w:val="clear" w:color="auto" w:fill="146692" w:themeFill="text2"/>
      </w:tcPr>
    </w:tblStylePr>
    <w:tblStylePr w:type="band1Vert">
      <w:pPr>
        <w:wordWrap/>
        <w:jc w:val="left"/>
      </w:pPr>
      <w:tblPr/>
      <w:tcPr>
        <w:shd w:val="clear" w:color="auto" w:fill="E1F2FB"/>
      </w:tcPr>
    </w:tblStylePr>
    <w:tblStylePr w:type="band2Vert">
      <w:tblPr/>
      <w:tcPr>
        <w:shd w:val="clear" w:color="auto" w:fill="C2E4F6" w:themeFill="text2" w:themeFillTint="33"/>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b/>
        <w:color w:val="FFFFFF"/>
      </w:rPr>
      <w:tblPr/>
      <w:tcPr>
        <w:shd w:val="clear" w:color="auto" w:fill="146692" w:themeFill="text2"/>
      </w:tcPr>
    </w:tblStylePr>
  </w:style>
  <w:style w:type="paragraph" w:styleId="Title">
    <w:name w:val="Title"/>
    <w:basedOn w:val="Normal"/>
    <w:next w:val="Normal"/>
    <w:link w:val="TitleChar"/>
    <w:uiPriority w:val="99"/>
    <w:qFormat/>
    <w:locked/>
    <w:rsid w:val="00EA63C0"/>
    <w:pPr>
      <w:pBdr>
        <w:bottom w:val="single" w:sz="8" w:space="4" w:color="0093CD" w:themeColor="accent1"/>
      </w:pBdr>
      <w:spacing w:after="300"/>
      <w:contextualSpacing/>
    </w:pPr>
    <w:rPr>
      <w:rFonts w:asciiTheme="majorHAnsi" w:eastAsiaTheme="majorEastAsia" w:hAnsiTheme="majorHAnsi" w:cstheme="majorBidi"/>
      <w:color w:val="0F4C6D" w:themeColor="text2" w:themeShade="BF"/>
      <w:spacing w:val="5"/>
      <w:kern w:val="28"/>
      <w:sz w:val="52"/>
      <w:szCs w:val="52"/>
    </w:rPr>
  </w:style>
  <w:style w:type="character" w:customStyle="1" w:styleId="TitleChar">
    <w:name w:val="Title Char"/>
    <w:basedOn w:val="DefaultParagraphFont"/>
    <w:link w:val="Title"/>
    <w:uiPriority w:val="99"/>
    <w:rsid w:val="00EA63C0"/>
    <w:rPr>
      <w:rFonts w:asciiTheme="majorHAnsi" w:eastAsiaTheme="majorEastAsia" w:hAnsiTheme="majorHAnsi" w:cstheme="majorBidi"/>
      <w:color w:val="0F4C6D" w:themeColor="text2" w:themeShade="BF"/>
      <w:spacing w:val="5"/>
      <w:kern w:val="28"/>
      <w:sz w:val="52"/>
      <w:szCs w:val="52"/>
    </w:rPr>
  </w:style>
  <w:style w:type="paragraph" w:customStyle="1" w:styleId="AppendixHeading5">
    <w:name w:val="Appendix Heading 5"/>
    <w:basedOn w:val="Heading5"/>
    <w:next w:val="BodyText"/>
    <w:link w:val="AppendixHeading5Char"/>
    <w:uiPriority w:val="12"/>
    <w:qFormat/>
    <w:rsid w:val="001235BB"/>
    <w:pPr>
      <w:tabs>
        <w:tab w:val="clear" w:pos="1138"/>
        <w:tab w:val="left" w:pos="1134"/>
      </w:tabs>
    </w:pPr>
  </w:style>
  <w:style w:type="paragraph" w:customStyle="1" w:styleId="CoverDate">
    <w:name w:val="CoverDate"/>
    <w:basedOn w:val="BodyText"/>
    <w:uiPriority w:val="12"/>
    <w:qFormat/>
    <w:rsid w:val="00566341"/>
    <w:rPr>
      <w:sz w:val="22"/>
    </w:rPr>
  </w:style>
  <w:style w:type="paragraph" w:styleId="Bibliography">
    <w:name w:val="Bibliography"/>
    <w:basedOn w:val="Normal"/>
    <w:next w:val="Normal"/>
    <w:uiPriority w:val="99"/>
    <w:semiHidden/>
    <w:locked/>
    <w:rsid w:val="00A07E5A"/>
  </w:style>
  <w:style w:type="character" w:customStyle="1" w:styleId="BalloonTextChar">
    <w:name w:val="Balloon Text Char"/>
    <w:basedOn w:val="DefaultParagraphFont"/>
    <w:link w:val="BalloonText"/>
    <w:uiPriority w:val="99"/>
    <w:semiHidden/>
    <w:rsid w:val="008F434C"/>
    <w:rPr>
      <w:rFonts w:ascii="Segoe UI" w:eastAsia="Calibri" w:hAnsi="Segoe UI" w:cs="Segoe UI"/>
      <w:color w:val="000000"/>
      <w:sz w:val="18"/>
      <w:szCs w:val="18"/>
    </w:rPr>
  </w:style>
  <w:style w:type="paragraph" w:customStyle="1" w:styleId="BlockQuote">
    <w:name w:val="Block Quote"/>
    <w:basedOn w:val="BodyText"/>
    <w:next w:val="BodyText"/>
    <w:uiPriority w:val="6"/>
    <w:qFormat/>
    <w:rsid w:val="00F85475"/>
    <w:pPr>
      <w:ind w:left="851" w:right="851"/>
    </w:pPr>
    <w:rPr>
      <w:sz w:val="22"/>
    </w:rPr>
  </w:style>
  <w:style w:type="paragraph" w:styleId="BodyTextFirstIndent">
    <w:name w:val="Body Text First Indent"/>
    <w:basedOn w:val="BodyText"/>
    <w:link w:val="BodyTextFirstIndentChar"/>
    <w:uiPriority w:val="99"/>
    <w:semiHidden/>
    <w:unhideWhenUsed/>
    <w:locked/>
    <w:rsid w:val="00A07E5A"/>
    <w:pPr>
      <w:spacing w:after="120"/>
      <w:ind w:firstLine="360"/>
    </w:pPr>
  </w:style>
  <w:style w:type="character" w:customStyle="1" w:styleId="BodyTextFirstIndentChar">
    <w:name w:val="Body Text First Indent Char"/>
    <w:basedOn w:val="BodyTextChar"/>
    <w:link w:val="BodyTextFirstIndent"/>
    <w:uiPriority w:val="99"/>
    <w:semiHidden/>
    <w:rsid w:val="00A07E5A"/>
    <w:rPr>
      <w:rFonts w:eastAsia="Calibri"/>
      <w:color w:val="000000"/>
      <w:sz w:val="24"/>
    </w:rPr>
  </w:style>
  <w:style w:type="paragraph" w:styleId="BodyTextIndent">
    <w:name w:val="Body Text Indent"/>
    <w:basedOn w:val="Normal"/>
    <w:link w:val="BodyTextIndentChar"/>
    <w:uiPriority w:val="99"/>
    <w:semiHidden/>
    <w:unhideWhenUsed/>
    <w:locked/>
    <w:rsid w:val="00A07E5A"/>
    <w:pPr>
      <w:ind w:left="283"/>
    </w:pPr>
  </w:style>
  <w:style w:type="character" w:customStyle="1" w:styleId="BodyTextIndentChar">
    <w:name w:val="Body Text Indent Char"/>
    <w:basedOn w:val="DefaultParagraphFont"/>
    <w:link w:val="BodyTextIndent"/>
    <w:uiPriority w:val="99"/>
    <w:semiHidden/>
    <w:rsid w:val="00A07E5A"/>
    <w:rPr>
      <w:rFonts w:eastAsia="Calibri"/>
      <w:color w:val="000000"/>
    </w:rPr>
  </w:style>
  <w:style w:type="paragraph" w:styleId="BodyTextFirstIndent2">
    <w:name w:val="Body Text First Indent 2"/>
    <w:basedOn w:val="BodyTextIndent"/>
    <w:link w:val="BodyTextFirstIndent2Char"/>
    <w:uiPriority w:val="99"/>
    <w:semiHidden/>
    <w:unhideWhenUsed/>
    <w:locked/>
    <w:rsid w:val="00A07E5A"/>
    <w:pPr>
      <w:ind w:left="360" w:firstLine="360"/>
    </w:pPr>
  </w:style>
  <w:style w:type="character" w:customStyle="1" w:styleId="BodyTextFirstIndent2Char">
    <w:name w:val="Body Text First Indent 2 Char"/>
    <w:basedOn w:val="BodyTextIndentChar"/>
    <w:link w:val="BodyTextFirstIndent2"/>
    <w:uiPriority w:val="99"/>
    <w:semiHidden/>
    <w:rsid w:val="00A07E5A"/>
    <w:rPr>
      <w:rFonts w:eastAsia="Calibri"/>
      <w:color w:val="000000"/>
    </w:rPr>
  </w:style>
  <w:style w:type="paragraph" w:styleId="Closing">
    <w:name w:val="Closing"/>
    <w:basedOn w:val="Normal"/>
    <w:link w:val="ClosingChar"/>
    <w:uiPriority w:val="99"/>
    <w:semiHidden/>
    <w:unhideWhenUsed/>
    <w:locked/>
    <w:rsid w:val="00A07E5A"/>
    <w:pPr>
      <w:spacing w:before="0" w:after="0" w:line="240" w:lineRule="auto"/>
      <w:ind w:left="4252"/>
    </w:pPr>
  </w:style>
  <w:style w:type="character" w:customStyle="1" w:styleId="ClosingChar">
    <w:name w:val="Closing Char"/>
    <w:basedOn w:val="DefaultParagraphFont"/>
    <w:link w:val="Closing"/>
    <w:uiPriority w:val="99"/>
    <w:semiHidden/>
    <w:rsid w:val="00A07E5A"/>
    <w:rPr>
      <w:rFonts w:eastAsia="Calibri"/>
      <w:color w:val="000000"/>
    </w:rPr>
  </w:style>
  <w:style w:type="paragraph" w:styleId="CommentSubject">
    <w:name w:val="annotation subject"/>
    <w:basedOn w:val="Normal"/>
    <w:link w:val="CommentSubjectChar"/>
    <w:uiPriority w:val="99"/>
    <w:semiHidden/>
    <w:unhideWhenUsed/>
    <w:locked/>
    <w:rsid w:val="00B9601D"/>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B9601D"/>
    <w:rPr>
      <w:b/>
      <w:bCs/>
    </w:rPr>
  </w:style>
  <w:style w:type="paragraph" w:styleId="Date">
    <w:name w:val="Date"/>
    <w:basedOn w:val="Normal"/>
    <w:next w:val="Normal"/>
    <w:link w:val="DateChar"/>
    <w:uiPriority w:val="99"/>
    <w:semiHidden/>
    <w:unhideWhenUsed/>
    <w:locked/>
    <w:rsid w:val="00A07E5A"/>
  </w:style>
  <w:style w:type="character" w:customStyle="1" w:styleId="DateChar">
    <w:name w:val="Date Char"/>
    <w:basedOn w:val="DefaultParagraphFont"/>
    <w:link w:val="Date"/>
    <w:uiPriority w:val="99"/>
    <w:semiHidden/>
    <w:rsid w:val="00A07E5A"/>
    <w:rPr>
      <w:rFonts w:eastAsia="Calibri"/>
      <w:color w:val="000000"/>
    </w:rPr>
  </w:style>
  <w:style w:type="paragraph" w:styleId="DocumentMap">
    <w:name w:val="Document Map"/>
    <w:basedOn w:val="Normal"/>
    <w:link w:val="DocumentMapChar"/>
    <w:uiPriority w:val="99"/>
    <w:semiHidden/>
    <w:unhideWhenUsed/>
    <w:locked/>
    <w:rsid w:val="00A07E5A"/>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A07E5A"/>
    <w:rPr>
      <w:rFonts w:ascii="Tahoma" w:eastAsia="Calibri" w:hAnsi="Tahoma" w:cs="Tahoma"/>
      <w:color w:val="000000"/>
      <w:sz w:val="16"/>
      <w:szCs w:val="16"/>
    </w:rPr>
  </w:style>
  <w:style w:type="paragraph" w:styleId="E-mailSignature">
    <w:name w:val="E-mail Signature"/>
    <w:basedOn w:val="Normal"/>
    <w:link w:val="E-mailSignatureChar"/>
    <w:uiPriority w:val="99"/>
    <w:semiHidden/>
    <w:unhideWhenUsed/>
    <w:locked/>
    <w:rsid w:val="00A07E5A"/>
    <w:pPr>
      <w:spacing w:before="0" w:after="0" w:line="240" w:lineRule="auto"/>
    </w:pPr>
  </w:style>
  <w:style w:type="character" w:customStyle="1" w:styleId="E-mailSignatureChar">
    <w:name w:val="E-mail Signature Char"/>
    <w:basedOn w:val="DefaultParagraphFont"/>
    <w:link w:val="E-mailSignature"/>
    <w:uiPriority w:val="99"/>
    <w:semiHidden/>
    <w:rsid w:val="00A07E5A"/>
    <w:rPr>
      <w:rFonts w:eastAsia="Calibri"/>
      <w:color w:val="000000"/>
    </w:rPr>
  </w:style>
  <w:style w:type="paragraph" w:styleId="EndnoteText">
    <w:name w:val="endnote text"/>
    <w:basedOn w:val="Normal"/>
    <w:link w:val="EndnoteTextChar"/>
    <w:uiPriority w:val="99"/>
    <w:semiHidden/>
    <w:unhideWhenUsed/>
    <w:locked/>
    <w:rsid w:val="00A07E5A"/>
    <w:pPr>
      <w:spacing w:before="0" w:after="0" w:line="240" w:lineRule="auto"/>
    </w:pPr>
    <w:rPr>
      <w:sz w:val="20"/>
      <w:szCs w:val="20"/>
    </w:rPr>
  </w:style>
  <w:style w:type="character" w:customStyle="1" w:styleId="EndnoteTextChar">
    <w:name w:val="Endnote Text Char"/>
    <w:basedOn w:val="DefaultParagraphFont"/>
    <w:link w:val="EndnoteText"/>
    <w:uiPriority w:val="99"/>
    <w:semiHidden/>
    <w:rsid w:val="00A07E5A"/>
    <w:rPr>
      <w:rFonts w:eastAsia="Calibri"/>
      <w:color w:val="000000"/>
      <w:sz w:val="20"/>
      <w:szCs w:val="20"/>
    </w:rPr>
  </w:style>
  <w:style w:type="paragraph" w:styleId="IntenseQuote">
    <w:name w:val="Intense Quote"/>
    <w:basedOn w:val="Normal"/>
    <w:next w:val="Normal"/>
    <w:link w:val="IntenseQuoteChar"/>
    <w:uiPriority w:val="99"/>
    <w:qFormat/>
    <w:locked/>
    <w:rsid w:val="00A07E5A"/>
    <w:pPr>
      <w:pBdr>
        <w:bottom w:val="single" w:sz="4" w:space="4" w:color="0093CD" w:themeColor="accent1"/>
      </w:pBdr>
      <w:spacing w:before="200" w:after="280"/>
      <w:ind w:left="936" w:right="936"/>
    </w:pPr>
    <w:rPr>
      <w:b/>
      <w:bCs/>
      <w:i/>
      <w:iCs/>
      <w:color w:val="0093CD" w:themeColor="accent1"/>
    </w:rPr>
  </w:style>
  <w:style w:type="character" w:customStyle="1" w:styleId="IntenseQuoteChar">
    <w:name w:val="Intense Quote Char"/>
    <w:basedOn w:val="DefaultParagraphFont"/>
    <w:link w:val="IntenseQuote"/>
    <w:uiPriority w:val="99"/>
    <w:rsid w:val="00A07E5A"/>
    <w:rPr>
      <w:rFonts w:eastAsia="Calibri"/>
      <w:b/>
      <w:bCs/>
      <w:i/>
      <w:iCs/>
      <w:color w:val="0093CD" w:themeColor="accent1"/>
    </w:rPr>
  </w:style>
  <w:style w:type="paragraph" w:styleId="ListNumber4">
    <w:name w:val="List Number 4"/>
    <w:basedOn w:val="Normal"/>
    <w:uiPriority w:val="99"/>
    <w:semiHidden/>
    <w:locked/>
    <w:rsid w:val="00A07E5A"/>
    <w:pPr>
      <w:numPr>
        <w:numId w:val="8"/>
      </w:numPr>
      <w:contextualSpacing/>
    </w:pPr>
  </w:style>
  <w:style w:type="paragraph" w:styleId="ListNumber5">
    <w:name w:val="List Number 5"/>
    <w:basedOn w:val="Normal"/>
    <w:uiPriority w:val="99"/>
    <w:semiHidden/>
    <w:locked/>
    <w:rsid w:val="00A07E5A"/>
    <w:pPr>
      <w:numPr>
        <w:numId w:val="9"/>
      </w:numPr>
      <w:contextualSpacing/>
    </w:pPr>
  </w:style>
  <w:style w:type="paragraph" w:styleId="ListParagraph">
    <w:name w:val="List Paragraph"/>
    <w:aliases w:val="LP-DO NOT USE"/>
    <w:basedOn w:val="Normal"/>
    <w:uiPriority w:val="34"/>
    <w:qFormat/>
    <w:locked/>
    <w:rsid w:val="00A07E5A"/>
    <w:pPr>
      <w:ind w:left="720"/>
      <w:contextualSpacing/>
    </w:pPr>
  </w:style>
  <w:style w:type="paragraph" w:styleId="NoSpacing">
    <w:name w:val="No Spacing"/>
    <w:uiPriority w:val="99"/>
    <w:qFormat/>
    <w:locked/>
    <w:rsid w:val="00A07E5A"/>
    <w:pPr>
      <w:spacing w:before="0" w:after="0" w:line="240" w:lineRule="auto"/>
    </w:pPr>
    <w:rPr>
      <w:rFonts w:eastAsia="Calibri"/>
      <w:color w:val="000000"/>
    </w:rPr>
  </w:style>
  <w:style w:type="paragraph" w:styleId="Quote">
    <w:name w:val="Quote"/>
    <w:basedOn w:val="Normal"/>
    <w:next w:val="Normal"/>
    <w:link w:val="QuoteChar"/>
    <w:uiPriority w:val="99"/>
    <w:qFormat/>
    <w:locked/>
    <w:rsid w:val="00A07E5A"/>
    <w:rPr>
      <w:i/>
      <w:iCs/>
      <w:color w:val="000000" w:themeColor="text1"/>
    </w:rPr>
  </w:style>
  <w:style w:type="character" w:customStyle="1" w:styleId="QuoteChar">
    <w:name w:val="Quote Char"/>
    <w:basedOn w:val="DefaultParagraphFont"/>
    <w:link w:val="Quote"/>
    <w:uiPriority w:val="99"/>
    <w:rsid w:val="00A07E5A"/>
    <w:rPr>
      <w:rFonts w:eastAsia="Calibri"/>
      <w:i/>
      <w:iCs/>
      <w:color w:val="000000" w:themeColor="text1"/>
    </w:rPr>
  </w:style>
  <w:style w:type="paragraph" w:styleId="Subtitle">
    <w:name w:val="Subtitle"/>
    <w:basedOn w:val="Normal"/>
    <w:next w:val="Normal"/>
    <w:link w:val="SubtitleChar"/>
    <w:uiPriority w:val="99"/>
    <w:qFormat/>
    <w:locked/>
    <w:rsid w:val="00A07E5A"/>
    <w:pPr>
      <w:numPr>
        <w:ilvl w:val="1"/>
      </w:numPr>
    </w:pPr>
    <w:rPr>
      <w:rFonts w:asciiTheme="majorHAnsi" w:eastAsiaTheme="majorEastAsia" w:hAnsiTheme="majorHAnsi" w:cstheme="majorBidi"/>
      <w:i/>
      <w:iCs/>
      <w:color w:val="0093CD" w:themeColor="accent1"/>
      <w:spacing w:val="15"/>
    </w:rPr>
  </w:style>
  <w:style w:type="character" w:customStyle="1" w:styleId="SubtitleChar">
    <w:name w:val="Subtitle Char"/>
    <w:basedOn w:val="DefaultParagraphFont"/>
    <w:link w:val="Subtitle"/>
    <w:uiPriority w:val="99"/>
    <w:rsid w:val="00A07E5A"/>
    <w:rPr>
      <w:rFonts w:asciiTheme="majorHAnsi" w:eastAsiaTheme="majorEastAsia" w:hAnsiTheme="majorHAnsi" w:cstheme="majorBidi"/>
      <w:i/>
      <w:iCs/>
      <w:color w:val="0093CD" w:themeColor="accent1"/>
      <w:spacing w:val="15"/>
    </w:rPr>
  </w:style>
  <w:style w:type="paragraph" w:customStyle="1" w:styleId="SummaryWaterresources">
    <w:name w:val="Summary Water resources"/>
    <w:basedOn w:val="BodyText"/>
    <w:link w:val="SummaryWaterresourcesChar"/>
    <w:uiPriority w:val="15"/>
    <w:qFormat/>
    <w:rsid w:val="009225B9"/>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ind w:left="227" w:right="227"/>
    </w:pPr>
  </w:style>
  <w:style w:type="paragraph" w:customStyle="1" w:styleId="SummaryheadingWaterresources">
    <w:name w:val="Summary heading Water resources"/>
    <w:basedOn w:val="SummaryWaterresources"/>
    <w:link w:val="SummaryheadingWaterresourcesChar"/>
    <w:uiPriority w:val="15"/>
    <w:qFormat/>
    <w:rsid w:val="009225B9"/>
    <w:rPr>
      <w:b/>
      <w:i/>
      <w:sz w:val="28"/>
      <w:szCs w:val="28"/>
    </w:rPr>
  </w:style>
  <w:style w:type="paragraph" w:customStyle="1" w:styleId="SummaryheadingProtectedmatters">
    <w:name w:val="Summary heading Protected matters"/>
    <w:basedOn w:val="SummaryheadingWaterresources"/>
    <w:uiPriority w:val="16"/>
    <w:qFormat/>
    <w:rsid w:val="009225B9"/>
    <w:pPr>
      <w:shd w:val="clear" w:color="auto" w:fill="CCEEDB"/>
    </w:pPr>
  </w:style>
  <w:style w:type="paragraph" w:customStyle="1" w:styleId="SummaryProtectedmatters">
    <w:name w:val="Summary Protected matters"/>
    <w:basedOn w:val="SummaryWaterresources"/>
    <w:uiPriority w:val="17"/>
    <w:qFormat/>
    <w:rsid w:val="009225B9"/>
    <w:pPr>
      <w:shd w:val="clear" w:color="auto" w:fill="CCEEDB"/>
    </w:pPr>
  </w:style>
  <w:style w:type="paragraph" w:customStyle="1" w:styleId="SummaryheadingGeologyandprospectivity">
    <w:name w:val="Summary heading Geology and prospectivity"/>
    <w:basedOn w:val="SummaryheadingWaterresources"/>
    <w:uiPriority w:val="14"/>
    <w:qFormat/>
    <w:rsid w:val="009225B9"/>
    <w:pPr>
      <w:shd w:val="clear" w:color="auto" w:fill="FAE3D3"/>
    </w:pPr>
  </w:style>
  <w:style w:type="paragraph" w:customStyle="1" w:styleId="SummaryGeologyandprospectivty">
    <w:name w:val="Summary Geology and prospectivty"/>
    <w:basedOn w:val="SummaryWaterresources"/>
    <w:uiPriority w:val="14"/>
    <w:qFormat/>
    <w:rsid w:val="009225B9"/>
    <w:pPr>
      <w:shd w:val="clear" w:color="auto" w:fill="FAE3D3"/>
    </w:pPr>
  </w:style>
  <w:style w:type="paragraph" w:customStyle="1" w:styleId="Summaryheadingcomponent4">
    <w:name w:val="Summary heading component 4"/>
    <w:basedOn w:val="SummaryheadingWaterresources"/>
    <w:uiPriority w:val="18"/>
    <w:semiHidden/>
    <w:rsid w:val="009225B9"/>
    <w:pPr>
      <w:shd w:val="clear" w:color="auto" w:fill="FADCE3"/>
    </w:pPr>
  </w:style>
  <w:style w:type="paragraph" w:customStyle="1" w:styleId="Summarycomponent4">
    <w:name w:val="Summary component 4"/>
    <w:basedOn w:val="Normal"/>
    <w:uiPriority w:val="19"/>
    <w:semiHidden/>
    <w:rsid w:val="00856D01"/>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FADCE3"/>
      <w:spacing w:after="180"/>
      <w:ind w:left="227" w:right="227"/>
    </w:pPr>
  </w:style>
  <w:style w:type="paragraph" w:customStyle="1" w:styleId="Summaryheading">
    <w:name w:val="Summary heading"/>
    <w:basedOn w:val="SummaryheadingWaterresources"/>
    <w:uiPriority w:val="18"/>
    <w:qFormat/>
    <w:rsid w:val="009225B9"/>
    <w:pPr>
      <w:shd w:val="clear" w:color="auto" w:fill="E7E7E7"/>
    </w:pPr>
  </w:style>
  <w:style w:type="paragraph" w:customStyle="1" w:styleId="Summary">
    <w:name w:val="Summary"/>
    <w:basedOn w:val="SummaryWaterresources"/>
    <w:uiPriority w:val="20"/>
    <w:qFormat/>
    <w:rsid w:val="009225B9"/>
    <w:pPr>
      <w:shd w:val="clear" w:color="auto" w:fill="E7E7E7"/>
    </w:pPr>
  </w:style>
  <w:style w:type="paragraph" w:styleId="Revision">
    <w:name w:val="Revision"/>
    <w:hidden/>
    <w:uiPriority w:val="99"/>
    <w:semiHidden/>
    <w:rsid w:val="009A46A9"/>
    <w:pPr>
      <w:spacing w:before="0" w:after="0" w:line="240" w:lineRule="auto"/>
    </w:pPr>
    <w:rPr>
      <w:rFonts w:eastAsia="Calibri"/>
      <w:color w:val="000000"/>
    </w:rPr>
  </w:style>
  <w:style w:type="character" w:styleId="EndnoteReference">
    <w:name w:val="endnote reference"/>
    <w:basedOn w:val="DefaultParagraphFont"/>
    <w:uiPriority w:val="99"/>
    <w:semiHidden/>
    <w:unhideWhenUsed/>
    <w:locked/>
    <w:rsid w:val="00726CA7"/>
    <w:rPr>
      <w:vertAlign w:val="superscript"/>
    </w:rPr>
  </w:style>
  <w:style w:type="paragraph" w:customStyle="1" w:styleId="BoxText">
    <w:name w:val="Box Text"/>
    <w:basedOn w:val="Normal"/>
    <w:uiPriority w:val="99"/>
    <w:semiHidden/>
    <w:rsid w:val="00F170E9"/>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spacing w:after="180"/>
      <w:ind w:left="227" w:right="227"/>
      <w:jc w:val="center"/>
    </w:pPr>
    <w:rPr>
      <w:rFonts w:eastAsia="Times New Roman"/>
      <w:szCs w:val="20"/>
    </w:rPr>
  </w:style>
  <w:style w:type="paragraph" w:customStyle="1" w:styleId="Heading5notnumbered">
    <w:name w:val="Heading 5 not numbered"/>
    <w:basedOn w:val="Heading4notnumbered"/>
    <w:uiPriority w:val="2"/>
    <w:qFormat/>
    <w:rsid w:val="00856D01"/>
    <w:pPr>
      <w:outlineLvl w:val="4"/>
    </w:pPr>
    <w:rPr>
      <w:b/>
      <w:sz w:val="28"/>
    </w:rPr>
  </w:style>
  <w:style w:type="paragraph" w:customStyle="1" w:styleId="Heading6notnumbered">
    <w:name w:val="Heading 6 not numbered"/>
    <w:basedOn w:val="BodyText"/>
    <w:uiPriority w:val="2"/>
    <w:qFormat/>
    <w:rsid w:val="00856D01"/>
    <w:rPr>
      <w:b/>
      <w:szCs w:val="20"/>
    </w:rPr>
  </w:style>
  <w:style w:type="paragraph" w:customStyle="1" w:styleId="Heading6numbered">
    <w:name w:val="Heading 6 (numbered)"/>
    <w:basedOn w:val="Heading6"/>
    <w:uiPriority w:val="1"/>
    <w:semiHidden/>
    <w:qFormat/>
    <w:rsid w:val="00856D01"/>
    <w:pPr>
      <w:spacing w:after="120"/>
    </w:pPr>
    <w:rPr>
      <w:rFonts w:ascii="Calibri" w:hAnsi="Calibri"/>
      <w:b w:val="0"/>
      <w:iCs w:val="0"/>
      <w:color w:val="000000"/>
      <w:spacing w:val="0"/>
      <w:szCs w:val="24"/>
    </w:rPr>
  </w:style>
  <w:style w:type="character" w:customStyle="1" w:styleId="Subscript">
    <w:name w:val="Subscript"/>
    <w:basedOn w:val="DefaultParagraphFont"/>
    <w:uiPriority w:val="10"/>
    <w:qFormat/>
    <w:rsid w:val="00426547"/>
    <w:rPr>
      <w:position w:val="-2"/>
      <w:vertAlign w:val="subscript"/>
    </w:rPr>
  </w:style>
  <w:style w:type="table" w:customStyle="1" w:styleId="TableBAHeaderRowandColumn2">
    <w:name w:val="Table BA Header Row and Column 2"/>
    <w:basedOn w:val="TableBAHeaderRowandColumn"/>
    <w:uiPriority w:val="99"/>
    <w:rsid w:val="00022AC3"/>
    <w:pPr>
      <w:spacing w:before="0" w:after="0" w:line="240" w:lineRule="auto"/>
    </w:pPr>
    <w:tblPr/>
    <w:tcPr>
      <w:shd w:val="clear" w:color="auto" w:fill="146692" w:themeFill="text2"/>
    </w:tcPr>
    <w:tblStylePr w:type="firstRow">
      <w:pPr>
        <w:wordWrap/>
        <w:spacing w:beforeLines="0" w:beforeAutospacing="0" w:afterLines="0" w:afterAutospacing="0" w:line="120" w:lineRule="atLeast"/>
        <w:jc w:val="left"/>
      </w:pPr>
      <w:rPr>
        <w:rFonts w:asciiTheme="minorHAnsi" w:hAnsiTheme="minorHAnsi"/>
        <w:b/>
        <w:color w:val="FFFFFF"/>
        <w:sz w:val="20"/>
      </w:rPr>
      <w:tblPr/>
      <w:tcPr>
        <w:shd w:val="clear" w:color="auto" w:fill="146692" w:themeFill="text2"/>
      </w:tcPr>
    </w:tblStylePr>
    <w:tblStylePr w:type="firstCol">
      <w:rPr>
        <w:b/>
        <w:color w:val="FFFFFF"/>
      </w:rPr>
      <w:tblPr/>
      <w:tcPr>
        <w:shd w:val="clear" w:color="auto" w:fill="146692" w:themeFill="text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hemeFill="text2" w:themeFillTint="33"/>
      </w:tcPr>
    </w:tblStylePr>
    <w:tblStylePr w:type="nwCell">
      <w:rPr>
        <w:color w:val="FFFFFF"/>
      </w:rPr>
      <w:tblPr/>
      <w:tcPr>
        <w:shd w:val="clear" w:color="auto" w:fill="146692" w:themeFill="text2"/>
      </w:tcPr>
    </w:tblStylePr>
  </w:style>
  <w:style w:type="character" w:customStyle="1" w:styleId="Glossaryhyperlink">
    <w:name w:val="Glossary hyperlink"/>
    <w:basedOn w:val="DefaultParagraphFont"/>
    <w:rsid w:val="00952575"/>
    <w:rPr>
      <w:color w:val="auto"/>
      <w:u w:val="dotted"/>
    </w:rPr>
  </w:style>
  <w:style w:type="paragraph" w:customStyle="1" w:styleId="CoverTitle">
    <w:name w:val="CoverTitle"/>
    <w:basedOn w:val="Heading1"/>
    <w:link w:val="CoverTitleChar"/>
    <w:uiPriority w:val="99"/>
    <w:qFormat/>
    <w:rsid w:val="00FA2699"/>
    <w:pPr>
      <w:spacing w:before="480"/>
      <w:ind w:left="0"/>
    </w:pPr>
    <w:rPr>
      <w:color w:val="764220" w:themeColor="background2" w:themeShade="BF"/>
      <w:sz w:val="48"/>
    </w:rPr>
  </w:style>
  <w:style w:type="character" w:customStyle="1" w:styleId="CoverTitleChar">
    <w:name w:val="CoverTitle Char"/>
    <w:basedOn w:val="Heading1Char"/>
    <w:link w:val="CoverTitle"/>
    <w:uiPriority w:val="99"/>
    <w:rsid w:val="00FA2699"/>
    <w:rPr>
      <w:rFonts w:asciiTheme="majorHAnsi" w:eastAsia="Times New Roman" w:hAnsiTheme="majorHAnsi"/>
      <w:b/>
      <w:color w:val="764220" w:themeColor="background2" w:themeShade="BF"/>
      <w:sz w:val="48"/>
      <w:szCs w:val="72"/>
    </w:rPr>
  </w:style>
  <w:style w:type="character" w:styleId="CommentReference">
    <w:name w:val="annotation reference"/>
    <w:aliases w:val="CR-DO NOT USE"/>
    <w:basedOn w:val="DefaultParagraphFont"/>
    <w:unhideWhenUsed/>
    <w:locked/>
    <w:rsid w:val="00EC686C"/>
    <w:rPr>
      <w:sz w:val="16"/>
      <w:szCs w:val="16"/>
    </w:rPr>
  </w:style>
  <w:style w:type="paragraph" w:styleId="CommentText">
    <w:name w:val="annotation text"/>
    <w:aliases w:val="CT-DO NOT USE"/>
    <w:basedOn w:val="Normal"/>
    <w:link w:val="CommentTextChar"/>
    <w:unhideWhenUsed/>
    <w:locked/>
    <w:rsid w:val="00EC686C"/>
    <w:pPr>
      <w:spacing w:line="240" w:lineRule="auto"/>
    </w:pPr>
    <w:rPr>
      <w:sz w:val="20"/>
      <w:szCs w:val="20"/>
    </w:rPr>
  </w:style>
  <w:style w:type="character" w:customStyle="1" w:styleId="CommentTextChar">
    <w:name w:val="Comment Text Char"/>
    <w:aliases w:val="CT-DO NOT USE Char"/>
    <w:basedOn w:val="DefaultParagraphFont"/>
    <w:link w:val="CommentText"/>
    <w:rsid w:val="00EC686C"/>
    <w:rPr>
      <w:rFonts w:eastAsia="Calibri"/>
      <w:color w:val="000000"/>
      <w:sz w:val="20"/>
      <w:szCs w:val="20"/>
    </w:rPr>
  </w:style>
  <w:style w:type="paragraph" w:customStyle="1" w:styleId="SummaryPotentialimpacts">
    <w:name w:val="Summary Potential impacts"/>
    <w:basedOn w:val="SummaryProtectedmatters"/>
    <w:link w:val="SummaryPotentialimpactsChar"/>
    <w:uiPriority w:val="99"/>
    <w:qFormat/>
    <w:rsid w:val="009059CD"/>
    <w:pPr>
      <w:shd w:val="clear" w:color="auto" w:fill="FFEFBD"/>
    </w:pPr>
  </w:style>
  <w:style w:type="character" w:customStyle="1" w:styleId="SummaryPotentialimpactsChar">
    <w:name w:val="Summary Potential impacts Char"/>
    <w:basedOn w:val="DefaultParagraphFont"/>
    <w:link w:val="SummaryPotentialimpacts"/>
    <w:uiPriority w:val="99"/>
    <w:rsid w:val="009059CD"/>
    <w:rPr>
      <w:rFonts w:eastAsia="Calibri"/>
      <w:color w:val="000000"/>
      <w:shd w:val="clear" w:color="auto" w:fill="FFEFBD"/>
    </w:rPr>
  </w:style>
  <w:style w:type="paragraph" w:customStyle="1" w:styleId="SummaryheadingPotentialimpacts">
    <w:name w:val="Summary heading Potential impacts"/>
    <w:basedOn w:val="SummaryheadingWaterresources"/>
    <w:next w:val="SummaryPotentialimpacts"/>
    <w:link w:val="SummaryheadingPotentialimpactsChar"/>
    <w:uiPriority w:val="99"/>
    <w:qFormat/>
    <w:rsid w:val="009059CD"/>
    <w:pPr>
      <w:shd w:val="clear" w:color="auto" w:fill="FFEFBD"/>
    </w:pPr>
  </w:style>
  <w:style w:type="character" w:customStyle="1" w:styleId="SummaryWaterresourcesChar">
    <w:name w:val="Summary Water resources Char"/>
    <w:basedOn w:val="BodyTextChar"/>
    <w:link w:val="SummaryWaterresources"/>
    <w:uiPriority w:val="15"/>
    <w:rsid w:val="009059CD"/>
    <w:rPr>
      <w:rFonts w:eastAsia="Calibri"/>
      <w:color w:val="000000"/>
      <w:sz w:val="24"/>
      <w:shd w:val="clear" w:color="auto" w:fill="CCE9F5"/>
    </w:rPr>
  </w:style>
  <w:style w:type="character" w:customStyle="1" w:styleId="SummaryheadingWaterresourcesChar">
    <w:name w:val="Summary heading Water resources Char"/>
    <w:basedOn w:val="SummaryWaterresourcesChar"/>
    <w:link w:val="SummaryheadingWaterresources"/>
    <w:uiPriority w:val="15"/>
    <w:rsid w:val="009059CD"/>
    <w:rPr>
      <w:rFonts w:eastAsia="Calibri"/>
      <w:b/>
      <w:i/>
      <w:color w:val="000000"/>
      <w:sz w:val="28"/>
      <w:szCs w:val="28"/>
      <w:shd w:val="clear" w:color="auto" w:fill="CCE9F5"/>
    </w:rPr>
  </w:style>
  <w:style w:type="character" w:customStyle="1" w:styleId="SummaryheadingPotentialimpactsChar">
    <w:name w:val="Summary heading Potential impacts Char"/>
    <w:basedOn w:val="SummaryheadingWaterresourcesChar"/>
    <w:link w:val="SummaryheadingPotentialimpacts"/>
    <w:uiPriority w:val="99"/>
    <w:rsid w:val="009059CD"/>
    <w:rPr>
      <w:rFonts w:eastAsia="Calibri"/>
      <w:b/>
      <w:i/>
      <w:color w:val="000000"/>
      <w:sz w:val="28"/>
      <w:szCs w:val="28"/>
      <w:shd w:val="clear" w:color="auto" w:fill="FFEFBD"/>
    </w:rPr>
  </w:style>
  <w:style w:type="paragraph" w:customStyle="1" w:styleId="Heading122ptBefore0ptAfter48pt">
    <w:name w:val="Heading 1 + 22 pt Before:  0 pt After:  48 pt"/>
    <w:basedOn w:val="Heading1"/>
    <w:rsid w:val="00B732DC"/>
    <w:pPr>
      <w:spacing w:before="0" w:after="960"/>
      <w:ind w:left="0"/>
    </w:pPr>
    <w:rPr>
      <w:bCs/>
      <w:sz w:val="44"/>
      <w:szCs w:val="20"/>
    </w:rPr>
  </w:style>
  <w:style w:type="paragraph" w:customStyle="1" w:styleId="AppendixHeading6">
    <w:name w:val="Appendix Heading 6"/>
    <w:basedOn w:val="AppendixHeading5"/>
    <w:next w:val="BodyText"/>
    <w:link w:val="AppendixHeading6Char"/>
    <w:uiPriority w:val="99"/>
    <w:qFormat/>
    <w:rsid w:val="00C471CD"/>
    <w:pPr>
      <w:numPr>
        <w:ilvl w:val="5"/>
      </w:numPr>
    </w:pPr>
    <w:rPr>
      <w:sz w:val="24"/>
    </w:rPr>
  </w:style>
  <w:style w:type="character" w:customStyle="1" w:styleId="AppendixHeading5Char">
    <w:name w:val="Appendix Heading 5 Char"/>
    <w:basedOn w:val="Heading5Char"/>
    <w:link w:val="AppendixHeading5"/>
    <w:uiPriority w:val="12"/>
    <w:rsid w:val="00F46182"/>
    <w:rPr>
      <w:rFonts w:asciiTheme="majorHAnsi" w:eastAsia="Times New Roman" w:hAnsiTheme="majorHAnsi"/>
      <w:b/>
      <w:iCs/>
      <w:spacing w:val="1"/>
      <w:sz w:val="28"/>
      <w:szCs w:val="28"/>
    </w:rPr>
  </w:style>
  <w:style w:type="character" w:customStyle="1" w:styleId="AppendixHeading6Char">
    <w:name w:val="Appendix Heading 6 Char"/>
    <w:basedOn w:val="AppendixHeading5Char"/>
    <w:link w:val="AppendixHeading6"/>
    <w:uiPriority w:val="99"/>
    <w:rsid w:val="00C471CD"/>
    <w:rPr>
      <w:rFonts w:asciiTheme="majorHAnsi" w:eastAsia="Times New Roman" w:hAnsiTheme="majorHAnsi"/>
      <w:b/>
      <w:iCs/>
      <w:spacing w:val="1"/>
      <w:sz w:val="28"/>
      <w:szCs w:val="28"/>
    </w:rPr>
  </w:style>
  <w:style w:type="paragraph" w:customStyle="1" w:styleId="Reference">
    <w:name w:val="Reference"/>
    <w:basedOn w:val="BodyText"/>
    <w:next w:val="BodyText"/>
    <w:uiPriority w:val="4"/>
    <w:qFormat/>
    <w:rsid w:val="00815959"/>
    <w:pPr>
      <w:spacing w:before="120" w:after="120"/>
      <w:ind w:left="567" w:hanging="567"/>
    </w:pPr>
    <w:rPr>
      <w:szCs w:val="22"/>
    </w:rPr>
  </w:style>
  <w:style w:type="paragraph" w:customStyle="1" w:styleId="EndNoteBibliographyTitle">
    <w:name w:val="EndNote Bibliography Title"/>
    <w:basedOn w:val="Normal"/>
    <w:link w:val="EndNoteBibliographyTitleChar"/>
    <w:rsid w:val="00365B0F"/>
    <w:pPr>
      <w:spacing w:after="0"/>
      <w:jc w:val="center"/>
    </w:pPr>
    <w:rPr>
      <w:rFonts w:cs="Calibri"/>
      <w:noProof/>
    </w:rPr>
  </w:style>
  <w:style w:type="character" w:customStyle="1" w:styleId="EndNoteBibliographyTitleChar">
    <w:name w:val="EndNote Bibliography Title Char"/>
    <w:basedOn w:val="BodyTextChar"/>
    <w:link w:val="EndNoteBibliographyTitle"/>
    <w:rsid w:val="00365B0F"/>
    <w:rPr>
      <w:rFonts w:eastAsia="Calibri" w:cs="Calibri"/>
      <w:noProof/>
      <w:color w:val="000000"/>
      <w:sz w:val="24"/>
    </w:rPr>
  </w:style>
  <w:style w:type="paragraph" w:customStyle="1" w:styleId="EndNoteBibliography">
    <w:name w:val="EndNote Bibliography"/>
    <w:basedOn w:val="Normal"/>
    <w:link w:val="EndNoteBibliographyChar"/>
    <w:rsid w:val="00726CA7"/>
    <w:pPr>
      <w:spacing w:line="240" w:lineRule="auto"/>
    </w:pPr>
    <w:rPr>
      <w:rFonts w:cs="Calibri"/>
      <w:noProof/>
    </w:rPr>
  </w:style>
  <w:style w:type="character" w:customStyle="1" w:styleId="EndNoteBibliographyChar">
    <w:name w:val="EndNote Bibliography Char"/>
    <w:basedOn w:val="BodyTextChar"/>
    <w:link w:val="EndNoteBibliography"/>
    <w:rsid w:val="00726CA7"/>
    <w:rPr>
      <w:rFonts w:eastAsia="Calibri" w:cs="Calibri"/>
      <w:noProof/>
      <w:color w:val="000000"/>
      <w:sz w:val="24"/>
    </w:rPr>
  </w:style>
  <w:style w:type="paragraph" w:customStyle="1" w:styleId="AppendixHeading6notnumbered">
    <w:name w:val="Appendix Heading 6 not numbered"/>
    <w:basedOn w:val="AppendixHeading6"/>
    <w:rsid w:val="000B6198"/>
    <w:pPr>
      <w:numPr>
        <w:ilvl w:val="0"/>
      </w:numPr>
      <w:ind w:left="432"/>
    </w:pPr>
    <w:rPr>
      <w:bCs/>
      <w:iCs w:val="0"/>
      <w:szCs w:val="20"/>
    </w:rPr>
  </w:style>
  <w:style w:type="paragraph" w:customStyle="1" w:styleId="AppendixHeading7notnumbered">
    <w:name w:val="Appendix Heading 7 not numbered"/>
    <w:basedOn w:val="AppendixHeading6notnumbered"/>
    <w:rsid w:val="000B6198"/>
    <w:rPr>
      <w:i/>
      <w:iCs/>
    </w:rPr>
  </w:style>
  <w:style w:type="paragraph" w:customStyle="1" w:styleId="Summaryblue">
    <w:name w:val="Summary blue"/>
    <w:basedOn w:val="BodyText"/>
    <w:link w:val="SummaryblueChar"/>
    <w:uiPriority w:val="15"/>
    <w:qFormat/>
    <w:rsid w:val="00856D01"/>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ind w:left="227" w:right="227"/>
    </w:pPr>
  </w:style>
  <w:style w:type="character" w:customStyle="1" w:styleId="SummaryblueChar">
    <w:name w:val="Summary blue Char"/>
    <w:basedOn w:val="BodyTextChar"/>
    <w:link w:val="Summaryblue"/>
    <w:uiPriority w:val="15"/>
    <w:rsid w:val="00856D01"/>
    <w:rPr>
      <w:rFonts w:eastAsia="Calibri"/>
      <w:color w:val="000000"/>
      <w:sz w:val="24"/>
      <w:shd w:val="clear" w:color="auto" w:fill="CCE9F5"/>
    </w:rPr>
  </w:style>
  <w:style w:type="paragraph" w:customStyle="1" w:styleId="Summarybluegrey">
    <w:name w:val="Summary blue grey"/>
    <w:basedOn w:val="Summary"/>
    <w:uiPriority w:val="99"/>
    <w:qFormat/>
    <w:rsid w:val="00856D01"/>
    <w:pPr>
      <w:shd w:val="clear" w:color="146692" w:themeColor="text2" w:fill="C2E4F6" w:themeFill="text2" w:themeFillTint="33"/>
    </w:pPr>
  </w:style>
  <w:style w:type="paragraph" w:customStyle="1" w:styleId="Summarybrown">
    <w:name w:val="Summary brown"/>
    <w:basedOn w:val="Summaryblue"/>
    <w:uiPriority w:val="14"/>
    <w:qFormat/>
    <w:rsid w:val="00856D01"/>
    <w:pPr>
      <w:shd w:val="clear" w:color="auto" w:fill="FAE3D3"/>
    </w:pPr>
  </w:style>
  <w:style w:type="paragraph" w:customStyle="1" w:styleId="Summarygreen">
    <w:name w:val="Summary green"/>
    <w:basedOn w:val="Summaryblue"/>
    <w:link w:val="SummarygreenChar"/>
    <w:uiPriority w:val="17"/>
    <w:qFormat/>
    <w:rsid w:val="00856D01"/>
    <w:pPr>
      <w:shd w:val="clear" w:color="auto" w:fill="CCEEDB"/>
    </w:pPr>
  </w:style>
  <w:style w:type="character" w:customStyle="1" w:styleId="SummarygreenChar">
    <w:name w:val="Summary green Char"/>
    <w:basedOn w:val="SummaryblueChar"/>
    <w:link w:val="Summarygreen"/>
    <w:uiPriority w:val="17"/>
    <w:rsid w:val="00856D01"/>
    <w:rPr>
      <w:rFonts w:eastAsia="Calibri"/>
      <w:color w:val="000000"/>
      <w:sz w:val="24"/>
      <w:shd w:val="clear" w:color="auto" w:fill="CCEEDB"/>
    </w:rPr>
  </w:style>
  <w:style w:type="paragraph" w:customStyle="1" w:styleId="Summarypink">
    <w:name w:val="Summary pink"/>
    <w:basedOn w:val="Summaryblue"/>
    <w:uiPriority w:val="19"/>
    <w:rsid w:val="00856D01"/>
    <w:pPr>
      <w:shd w:val="clear" w:color="auto" w:fill="FADCE3"/>
    </w:pPr>
  </w:style>
  <w:style w:type="paragraph" w:customStyle="1" w:styleId="Summaryyellow">
    <w:name w:val="Summary yellow"/>
    <w:basedOn w:val="Summarygreen"/>
    <w:link w:val="SummaryyellowChar"/>
    <w:uiPriority w:val="99"/>
    <w:qFormat/>
    <w:rsid w:val="00856D01"/>
    <w:pPr>
      <w:shd w:val="clear" w:color="auto" w:fill="FFEFBD"/>
    </w:pPr>
  </w:style>
  <w:style w:type="character" w:customStyle="1" w:styleId="SummaryyellowChar">
    <w:name w:val="Summary yellow Char"/>
    <w:basedOn w:val="SummarygreenChar"/>
    <w:link w:val="Summaryyellow"/>
    <w:uiPriority w:val="99"/>
    <w:rsid w:val="00856D01"/>
    <w:rPr>
      <w:rFonts w:eastAsia="Calibri"/>
      <w:color w:val="000000"/>
      <w:sz w:val="24"/>
      <w:shd w:val="clear" w:color="auto" w:fill="FFEFBD"/>
    </w:rPr>
  </w:style>
  <w:style w:type="character" w:customStyle="1" w:styleId="normaltextrun1">
    <w:name w:val="normaltextrun1"/>
    <w:basedOn w:val="DefaultParagraphFont"/>
    <w:rsid w:val="00856D01"/>
  </w:style>
  <w:style w:type="table" w:styleId="LightList-Accent1">
    <w:name w:val="Light List Accent 1"/>
    <w:basedOn w:val="TableNormal"/>
    <w:uiPriority w:val="61"/>
    <w:locked/>
    <w:rsid w:val="00CB3939"/>
    <w:pPr>
      <w:spacing w:before="0" w:after="0" w:line="240" w:lineRule="auto"/>
    </w:pPr>
    <w:tblPr>
      <w:tblStyleRowBandSize w:val="1"/>
      <w:tblStyleColBandSize w:val="1"/>
      <w:tblBorders>
        <w:top w:val="single" w:sz="8" w:space="0" w:color="0093CD" w:themeColor="accent1"/>
        <w:left w:val="single" w:sz="8" w:space="0" w:color="0093CD" w:themeColor="accent1"/>
        <w:bottom w:val="single" w:sz="8" w:space="0" w:color="0093CD" w:themeColor="accent1"/>
        <w:right w:val="single" w:sz="8" w:space="0" w:color="0093CD" w:themeColor="accent1"/>
      </w:tblBorders>
    </w:tblPr>
    <w:tblStylePr w:type="firstRow">
      <w:pPr>
        <w:spacing w:before="0" w:after="0" w:line="240" w:lineRule="auto"/>
      </w:pPr>
      <w:rPr>
        <w:b/>
        <w:bCs/>
        <w:color w:val="FFFFFF" w:themeColor="background1"/>
      </w:rPr>
      <w:tblPr/>
      <w:tcPr>
        <w:shd w:val="clear" w:color="auto" w:fill="0093CD" w:themeFill="accent1"/>
      </w:tcPr>
    </w:tblStylePr>
    <w:tblStylePr w:type="lastRow">
      <w:pPr>
        <w:spacing w:before="0" w:after="0" w:line="240" w:lineRule="auto"/>
      </w:pPr>
      <w:rPr>
        <w:b/>
        <w:bCs/>
      </w:rPr>
      <w:tblPr/>
      <w:tcPr>
        <w:tcBorders>
          <w:top w:val="double" w:sz="6" w:space="0" w:color="0093CD" w:themeColor="accent1"/>
          <w:left w:val="single" w:sz="8" w:space="0" w:color="0093CD" w:themeColor="accent1"/>
          <w:bottom w:val="single" w:sz="8" w:space="0" w:color="0093CD" w:themeColor="accent1"/>
          <w:right w:val="single" w:sz="8" w:space="0" w:color="0093CD" w:themeColor="accent1"/>
        </w:tcBorders>
      </w:tcPr>
    </w:tblStylePr>
    <w:tblStylePr w:type="firstCol">
      <w:rPr>
        <w:b/>
        <w:bCs/>
      </w:rPr>
    </w:tblStylePr>
    <w:tblStylePr w:type="lastCol">
      <w:rPr>
        <w:b/>
        <w:bCs/>
      </w:rPr>
    </w:tblStylePr>
    <w:tblStylePr w:type="band1Vert">
      <w:tblPr/>
      <w:tcPr>
        <w:tcBorders>
          <w:top w:val="single" w:sz="8" w:space="0" w:color="0093CD" w:themeColor="accent1"/>
          <w:left w:val="single" w:sz="8" w:space="0" w:color="0093CD" w:themeColor="accent1"/>
          <w:bottom w:val="single" w:sz="8" w:space="0" w:color="0093CD" w:themeColor="accent1"/>
          <w:right w:val="single" w:sz="8" w:space="0" w:color="0093CD" w:themeColor="accent1"/>
        </w:tcBorders>
      </w:tcPr>
    </w:tblStylePr>
    <w:tblStylePr w:type="band1Horz">
      <w:tblPr/>
      <w:tcPr>
        <w:tcBorders>
          <w:top w:val="single" w:sz="8" w:space="0" w:color="0093CD" w:themeColor="accent1"/>
          <w:left w:val="single" w:sz="8" w:space="0" w:color="0093CD" w:themeColor="accent1"/>
          <w:bottom w:val="single" w:sz="8" w:space="0" w:color="0093CD" w:themeColor="accent1"/>
          <w:right w:val="single" w:sz="8" w:space="0" w:color="0093CD" w:themeColor="accent1"/>
        </w:tcBorders>
      </w:tcPr>
    </w:tblStylePr>
  </w:style>
  <w:style w:type="paragraph" w:customStyle="1" w:styleId="TableTextCentred0">
    <w:name w:val="Table Text Centred"/>
    <w:basedOn w:val="Normal"/>
    <w:qFormat/>
    <w:rsid w:val="00322349"/>
    <w:pPr>
      <w:spacing w:before="20" w:after="20" w:line="180" w:lineRule="atLeast"/>
      <w:jc w:val="center"/>
    </w:pPr>
    <w:rPr>
      <w:rFonts w:ascii="Arial" w:eastAsia="Times New Roman" w:hAnsi="Arial" w:cs="Arial"/>
      <w:color w:val="auto"/>
      <w:sz w:val="18"/>
      <w:szCs w:val="20"/>
    </w:rPr>
  </w:style>
  <w:style w:type="paragraph" w:customStyle="1" w:styleId="TableTextLeft">
    <w:name w:val="Table Text Left"/>
    <w:qFormat/>
    <w:rsid w:val="00322349"/>
    <w:pPr>
      <w:spacing w:before="20" w:after="20" w:line="180" w:lineRule="atLeast"/>
    </w:pPr>
    <w:rPr>
      <w:rFonts w:ascii="Arial" w:eastAsia="Times New Roman" w:hAnsi="Arial" w:cs="Arial"/>
      <w:sz w:val="18"/>
      <w:szCs w:val="20"/>
    </w:rPr>
  </w:style>
  <w:style w:type="paragraph" w:customStyle="1" w:styleId="AppendixHeading4notnumbered">
    <w:name w:val="Appendix Heading 4 not numbered"/>
    <w:basedOn w:val="AppendixHeading4"/>
    <w:uiPriority w:val="99"/>
    <w:qFormat/>
    <w:rsid w:val="00F92340"/>
  </w:style>
  <w:style w:type="character" w:customStyle="1" w:styleId="ReferencesChar">
    <w:name w:val="References Char"/>
    <w:link w:val="References"/>
    <w:locked/>
    <w:rsid w:val="00726CA7"/>
    <w:rPr>
      <w:rFonts w:eastAsia="Calibri"/>
      <w:color w:val="000000"/>
    </w:rPr>
  </w:style>
  <w:style w:type="character" w:customStyle="1" w:styleId="normaltextrun">
    <w:name w:val="normaltextrun"/>
    <w:basedOn w:val="DefaultParagraphFont"/>
    <w:rsid w:val="00966D0B"/>
  </w:style>
  <w:style w:type="paragraph" w:customStyle="1" w:styleId="Default">
    <w:name w:val="Default"/>
    <w:rsid w:val="00A06196"/>
    <w:pPr>
      <w:autoSpaceDE w:val="0"/>
      <w:autoSpaceDN w:val="0"/>
      <w:adjustRightInd w:val="0"/>
      <w:spacing w:before="0" w:after="0" w:line="240" w:lineRule="auto"/>
    </w:pPr>
    <w:rPr>
      <w:rFonts w:cs="Calibri"/>
      <w:color w:val="000000"/>
      <w:lang w:eastAsia="en-US"/>
    </w:rPr>
  </w:style>
  <w:style w:type="paragraph" w:customStyle="1" w:styleId="paragraph">
    <w:name w:val="paragraph"/>
    <w:basedOn w:val="Normal"/>
    <w:rsid w:val="00065259"/>
    <w:pPr>
      <w:spacing w:before="0" w:after="0" w:line="240" w:lineRule="auto"/>
    </w:pPr>
    <w:rPr>
      <w:rFonts w:ascii="Times New Roman" w:eastAsia="Times New Roman" w:hAnsi="Times New Roman"/>
      <w:color w:val="auto"/>
    </w:rPr>
  </w:style>
  <w:style w:type="character" w:customStyle="1" w:styleId="spellingerror">
    <w:name w:val="spellingerror"/>
    <w:basedOn w:val="DefaultParagraphFont"/>
    <w:rsid w:val="00065259"/>
  </w:style>
  <w:style w:type="character" w:customStyle="1" w:styleId="contextualspellingandgrammarerror">
    <w:name w:val="contextualspellingandgrammarerror"/>
    <w:basedOn w:val="DefaultParagraphFont"/>
    <w:rsid w:val="00065259"/>
  </w:style>
  <w:style w:type="character" w:customStyle="1" w:styleId="advancedproofingissue">
    <w:name w:val="advancedproofingissue"/>
    <w:basedOn w:val="DefaultParagraphFont"/>
    <w:rsid w:val="00065259"/>
  </w:style>
  <w:style w:type="character" w:customStyle="1" w:styleId="eop">
    <w:name w:val="eop"/>
    <w:basedOn w:val="DefaultParagraphFont"/>
    <w:rsid w:val="00065259"/>
  </w:style>
  <w:style w:type="character" w:customStyle="1" w:styleId="UnresolvedMention1">
    <w:name w:val="Unresolved Mention1"/>
    <w:basedOn w:val="DefaultParagraphFont"/>
    <w:uiPriority w:val="99"/>
    <w:semiHidden/>
    <w:unhideWhenUsed/>
    <w:rsid w:val="001C5F74"/>
    <w:rPr>
      <w:color w:val="605E5C"/>
      <w:shd w:val="clear" w:color="auto" w:fill="E1DFDD"/>
    </w:rPr>
  </w:style>
  <w:style w:type="character" w:customStyle="1" w:styleId="ListBulletChar">
    <w:name w:val="List Bullet Char"/>
    <w:basedOn w:val="DefaultParagraphFont"/>
    <w:link w:val="ListBullet"/>
    <w:uiPriority w:val="99"/>
    <w:rsid w:val="001C5F74"/>
    <w:rPr>
      <w:rFonts w:asciiTheme="minorHAnsi" w:eastAsia="Times New Roman" w:hAnsiTheme="minorHAnsi" w:cs="Arial"/>
      <w:szCs w:val="20"/>
    </w:rPr>
  </w:style>
  <w:style w:type="character" w:customStyle="1" w:styleId="SourceornoteforTableorFigureChar">
    <w:name w:val="Source or note for Table or Figure Char"/>
    <w:basedOn w:val="BodyTextChar"/>
    <w:link w:val="SourceornoteforTableorFigure"/>
    <w:uiPriority w:val="6"/>
    <w:rsid w:val="00772737"/>
    <w:rPr>
      <w:rFonts w:eastAsia="Calibri"/>
      <w:color w:val="146692" w:themeColor="text2"/>
      <w:sz w:val="18"/>
      <w:szCs w:val="20"/>
    </w:rPr>
  </w:style>
  <w:style w:type="paragraph" w:customStyle="1" w:styleId="Summarystage2">
    <w:name w:val="Summary stage 2"/>
    <w:basedOn w:val="BodyText"/>
    <w:link w:val="Summarystage2Char"/>
    <w:uiPriority w:val="15"/>
    <w:qFormat/>
    <w:rsid w:val="00DC55AA"/>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CCE9F5"/>
      <w:ind w:left="227" w:right="227"/>
    </w:pPr>
  </w:style>
  <w:style w:type="character" w:customStyle="1" w:styleId="Summarystage2Char">
    <w:name w:val="Summary stage 2 Char"/>
    <w:basedOn w:val="BodyTextChar"/>
    <w:link w:val="Summarystage2"/>
    <w:uiPriority w:val="15"/>
    <w:rsid w:val="00DC55AA"/>
    <w:rPr>
      <w:rFonts w:eastAsia="Calibri"/>
      <w:color w:val="000000"/>
      <w:sz w:val="24"/>
      <w:shd w:val="clear" w:color="auto" w:fill="CCE9F5"/>
    </w:rPr>
  </w:style>
  <w:style w:type="character" w:customStyle="1" w:styleId="CaptionChar">
    <w:name w:val="Caption Char"/>
    <w:aliases w:val="Figure Caption Char,1 Char"/>
    <w:basedOn w:val="DefaultParagraphFont"/>
    <w:link w:val="Caption"/>
    <w:uiPriority w:val="35"/>
    <w:locked/>
    <w:rsid w:val="000A29F5"/>
    <w:rPr>
      <w:rFonts w:eastAsia="Calibri"/>
      <w:b/>
      <w:bCs/>
      <w:color w:val="146692" w:themeColor="text2"/>
      <w:sz w:val="20"/>
      <w:szCs w:val="18"/>
    </w:rPr>
  </w:style>
  <w:style w:type="paragraph" w:customStyle="1" w:styleId="TableCaption">
    <w:name w:val="Table Caption"/>
    <w:basedOn w:val="Caption"/>
    <w:next w:val="BodyText"/>
    <w:uiPriority w:val="4"/>
    <w:qFormat/>
    <w:rsid w:val="003F7219"/>
    <w:pPr>
      <w:spacing w:before="0" w:after="0"/>
      <w:contextualSpacing/>
    </w:pPr>
    <w:rPr>
      <w:color w:val="006D99" w:themeColor="accent1" w:themeShade="BF"/>
    </w:rPr>
  </w:style>
  <w:style w:type="character" w:customStyle="1" w:styleId="UnresolvedMention2">
    <w:name w:val="Unresolved Mention2"/>
    <w:basedOn w:val="DefaultParagraphFont"/>
    <w:uiPriority w:val="99"/>
    <w:semiHidden/>
    <w:unhideWhenUsed/>
    <w:rsid w:val="00031336"/>
    <w:rPr>
      <w:color w:val="605E5C"/>
      <w:shd w:val="clear" w:color="auto" w:fill="E1DFDD"/>
    </w:rPr>
  </w:style>
  <w:style w:type="character" w:customStyle="1" w:styleId="UnresolvedMention3">
    <w:name w:val="Unresolved Mention3"/>
    <w:basedOn w:val="DefaultParagraphFont"/>
    <w:uiPriority w:val="99"/>
    <w:semiHidden/>
    <w:unhideWhenUsed/>
    <w:rsid w:val="00E4020F"/>
    <w:rPr>
      <w:color w:val="605E5C"/>
      <w:shd w:val="clear" w:color="auto" w:fill="E1DFDD"/>
    </w:rPr>
  </w:style>
  <w:style w:type="character" w:customStyle="1" w:styleId="UnresolvedMention4">
    <w:name w:val="Unresolved Mention4"/>
    <w:basedOn w:val="DefaultParagraphFont"/>
    <w:uiPriority w:val="99"/>
    <w:semiHidden/>
    <w:unhideWhenUsed/>
    <w:rsid w:val="004D5976"/>
    <w:rPr>
      <w:color w:val="605E5C"/>
      <w:shd w:val="clear" w:color="auto" w:fill="E1DFDD"/>
    </w:rPr>
  </w:style>
  <w:style w:type="character" w:customStyle="1" w:styleId="UnresolvedMention5">
    <w:name w:val="Unresolved Mention5"/>
    <w:basedOn w:val="DefaultParagraphFont"/>
    <w:uiPriority w:val="99"/>
    <w:semiHidden/>
    <w:unhideWhenUsed/>
    <w:rsid w:val="00F4376C"/>
    <w:rPr>
      <w:color w:val="605E5C"/>
      <w:shd w:val="clear" w:color="auto" w:fill="E1DFDD"/>
    </w:rPr>
  </w:style>
  <w:style w:type="character" w:customStyle="1" w:styleId="UnresolvedMention6">
    <w:name w:val="Unresolved Mention6"/>
    <w:basedOn w:val="DefaultParagraphFont"/>
    <w:uiPriority w:val="99"/>
    <w:semiHidden/>
    <w:unhideWhenUsed/>
    <w:rsid w:val="00C251A3"/>
    <w:rPr>
      <w:color w:val="605E5C"/>
      <w:shd w:val="clear" w:color="auto" w:fill="E1DFDD"/>
    </w:rPr>
  </w:style>
  <w:style w:type="character" w:customStyle="1" w:styleId="UnresolvedMention7">
    <w:name w:val="Unresolved Mention7"/>
    <w:basedOn w:val="DefaultParagraphFont"/>
    <w:uiPriority w:val="99"/>
    <w:semiHidden/>
    <w:unhideWhenUsed/>
    <w:rsid w:val="002342A8"/>
    <w:rPr>
      <w:color w:val="605E5C"/>
      <w:shd w:val="clear" w:color="auto" w:fill="E1DFDD"/>
    </w:rPr>
  </w:style>
  <w:style w:type="character" w:customStyle="1" w:styleId="UnresolvedMention8">
    <w:name w:val="Unresolved Mention8"/>
    <w:basedOn w:val="DefaultParagraphFont"/>
    <w:uiPriority w:val="99"/>
    <w:semiHidden/>
    <w:unhideWhenUsed/>
    <w:rsid w:val="00904EC6"/>
    <w:rPr>
      <w:color w:val="605E5C"/>
      <w:shd w:val="clear" w:color="auto" w:fill="E1DFDD"/>
    </w:rPr>
  </w:style>
  <w:style w:type="paragraph" w:customStyle="1" w:styleId="StyleEndNoteBibliographyLeft0Hanging05After0pt">
    <w:name w:val="Style EndNote Bibliography + Left:  0&quot; Hanging:  0.5&quot; After:  0 pt"/>
    <w:basedOn w:val="EndNoteBibliography"/>
    <w:rsid w:val="0019597F"/>
    <w:pPr>
      <w:spacing w:after="0"/>
      <w:ind w:left="720" w:hanging="720"/>
    </w:pPr>
    <w:rPr>
      <w:rFonts w:eastAsia="Times New Roman" w:cs="Times New Roman"/>
      <w:szCs w:val="20"/>
    </w:rPr>
  </w:style>
  <w:style w:type="paragraph" w:customStyle="1" w:styleId="StyleEndNoteBibliographyLeft0Hanging05After0pt1">
    <w:name w:val="Style EndNote Bibliography + Left:  0&quot; Hanging:  0.5&quot; After:  0 pt1"/>
    <w:basedOn w:val="EndNoteBibliography"/>
    <w:rsid w:val="0019597F"/>
    <w:pPr>
      <w:spacing w:after="0"/>
      <w:ind w:left="720" w:hanging="720"/>
    </w:pPr>
    <w:rPr>
      <w:rFonts w:eastAsia="Times New Roman" w:cs="Times New Roman"/>
      <w:szCs w:val="20"/>
    </w:rPr>
  </w:style>
  <w:style w:type="character" w:styleId="UnresolvedMention">
    <w:name w:val="Unresolved Mention"/>
    <w:basedOn w:val="DefaultParagraphFont"/>
    <w:uiPriority w:val="99"/>
    <w:semiHidden/>
    <w:unhideWhenUsed/>
    <w:rsid w:val="00E31E78"/>
    <w:rPr>
      <w:color w:val="605E5C"/>
      <w:shd w:val="clear" w:color="auto" w:fill="E1DFDD"/>
    </w:rPr>
  </w:style>
  <w:style w:type="numbering" w:customStyle="1" w:styleId="NoList1">
    <w:name w:val="No List1"/>
    <w:next w:val="NoList"/>
    <w:uiPriority w:val="99"/>
    <w:semiHidden/>
    <w:unhideWhenUsed/>
    <w:rsid w:val="00B177F5"/>
  </w:style>
  <w:style w:type="paragraph" w:customStyle="1" w:styleId="Heading21">
    <w:name w:val="Heading 21"/>
    <w:next w:val="BodyText"/>
    <w:uiPriority w:val="1"/>
    <w:qFormat/>
    <w:locked/>
    <w:rsid w:val="00B177F5"/>
    <w:pPr>
      <w:pageBreakBefore/>
      <w:spacing w:before="0"/>
      <w:ind w:left="964" w:hanging="340"/>
      <w:outlineLvl w:val="1"/>
    </w:pPr>
    <w:rPr>
      <w:rFonts w:eastAsia="Times New Roman"/>
      <w:b/>
      <w:color w:val="146692"/>
      <w:sz w:val="40"/>
      <w:szCs w:val="72"/>
      <w:lang w:eastAsia="en-US"/>
    </w:rPr>
  </w:style>
  <w:style w:type="paragraph" w:customStyle="1" w:styleId="Heading31">
    <w:name w:val="Heading 31"/>
    <w:basedOn w:val="Heading2"/>
    <w:next w:val="BodyText"/>
    <w:uiPriority w:val="1"/>
    <w:qFormat/>
    <w:locked/>
    <w:rsid w:val="00B177F5"/>
    <w:pPr>
      <w:keepNext/>
      <w:pageBreakBefore w:val="0"/>
      <w:numPr>
        <w:numId w:val="0"/>
      </w:numPr>
      <w:spacing w:before="180"/>
      <w:ind w:left="1440" w:hanging="360"/>
      <w:outlineLvl w:val="2"/>
    </w:pPr>
    <w:rPr>
      <w:rFonts w:ascii="Calibri" w:hAnsi="Calibri"/>
      <w:i/>
      <w:color w:val="000000"/>
      <w:sz w:val="36"/>
      <w:lang w:eastAsia="en-US"/>
    </w:rPr>
  </w:style>
  <w:style w:type="paragraph" w:customStyle="1" w:styleId="Heading61">
    <w:name w:val="Heading 61"/>
    <w:basedOn w:val="Heading5"/>
    <w:next w:val="BodyText"/>
    <w:uiPriority w:val="1"/>
    <w:qFormat/>
    <w:locked/>
    <w:rsid w:val="00B177F5"/>
    <w:pPr>
      <w:numPr>
        <w:ilvl w:val="0"/>
        <w:numId w:val="0"/>
      </w:numPr>
      <w:tabs>
        <w:tab w:val="clear" w:pos="1138"/>
        <w:tab w:val="num" w:pos="360"/>
      </w:tabs>
      <w:spacing w:before="200"/>
      <w:ind w:left="3600" w:hanging="360"/>
      <w:outlineLvl w:val="5"/>
    </w:pPr>
    <w:rPr>
      <w:rFonts w:eastAsia="MS Gothic"/>
      <w:noProof/>
      <w:sz w:val="24"/>
    </w:rPr>
  </w:style>
  <w:style w:type="paragraph" w:customStyle="1" w:styleId="Heading71">
    <w:name w:val="Heading 71"/>
    <w:basedOn w:val="Normal"/>
    <w:next w:val="Normal"/>
    <w:uiPriority w:val="2"/>
    <w:qFormat/>
    <w:locked/>
    <w:rsid w:val="00B177F5"/>
    <w:pPr>
      <w:spacing w:before="240" w:after="60"/>
      <w:outlineLvl w:val="6"/>
    </w:pPr>
    <w:rPr>
      <w:b/>
      <w:i/>
    </w:rPr>
  </w:style>
  <w:style w:type="paragraph" w:customStyle="1" w:styleId="Heading81">
    <w:name w:val="Heading 81"/>
    <w:basedOn w:val="Normal"/>
    <w:next w:val="Normal"/>
    <w:uiPriority w:val="99"/>
    <w:semiHidden/>
    <w:qFormat/>
    <w:locked/>
    <w:rsid w:val="00B177F5"/>
    <w:pPr>
      <w:spacing w:before="240" w:after="60"/>
      <w:outlineLvl w:val="7"/>
    </w:pPr>
    <w:rPr>
      <w:i/>
      <w:iCs/>
    </w:rPr>
  </w:style>
  <w:style w:type="numbering" w:customStyle="1" w:styleId="NoList11">
    <w:name w:val="No List11"/>
    <w:next w:val="NoList"/>
    <w:uiPriority w:val="99"/>
    <w:semiHidden/>
    <w:unhideWhenUsed/>
    <w:rsid w:val="00B177F5"/>
  </w:style>
  <w:style w:type="paragraph" w:customStyle="1" w:styleId="ListBullet1">
    <w:name w:val="List Bullet1"/>
    <w:basedOn w:val="Normal"/>
    <w:next w:val="ListBullet"/>
    <w:uiPriority w:val="3"/>
    <w:qFormat/>
    <w:locked/>
    <w:rsid w:val="00B177F5"/>
    <w:pPr>
      <w:tabs>
        <w:tab w:val="num" w:pos="567"/>
      </w:tabs>
      <w:spacing w:before="60" w:after="60"/>
      <w:ind w:left="567" w:hanging="283"/>
    </w:pPr>
    <w:rPr>
      <w:rFonts w:eastAsia="Times New Roman" w:cs="Arial"/>
      <w:color w:val="auto"/>
      <w:szCs w:val="20"/>
    </w:rPr>
  </w:style>
  <w:style w:type="paragraph" w:customStyle="1" w:styleId="ListBullet21">
    <w:name w:val="List Bullet 21"/>
    <w:basedOn w:val="Normal"/>
    <w:next w:val="ListBullet2"/>
    <w:uiPriority w:val="3"/>
    <w:qFormat/>
    <w:locked/>
    <w:rsid w:val="00B177F5"/>
    <w:pPr>
      <w:tabs>
        <w:tab w:val="num" w:pos="851"/>
        <w:tab w:val="num" w:pos="4111"/>
      </w:tabs>
      <w:spacing w:before="60" w:after="60"/>
      <w:ind w:left="851" w:hanging="284"/>
    </w:pPr>
    <w:rPr>
      <w:rFonts w:eastAsia="Times New Roman" w:cs="Arial"/>
      <w:color w:val="auto"/>
      <w:szCs w:val="20"/>
    </w:rPr>
  </w:style>
  <w:style w:type="paragraph" w:customStyle="1" w:styleId="TOC11">
    <w:name w:val="TOC 11"/>
    <w:basedOn w:val="BodyText"/>
    <w:next w:val="TOC2"/>
    <w:uiPriority w:val="39"/>
    <w:unhideWhenUsed/>
    <w:locked/>
    <w:rsid w:val="00B177F5"/>
    <w:pPr>
      <w:tabs>
        <w:tab w:val="left" w:pos="567"/>
        <w:tab w:val="right" w:leader="dot" w:pos="9639"/>
      </w:tabs>
      <w:spacing w:line="240" w:lineRule="auto"/>
    </w:pPr>
    <w:rPr>
      <w:b/>
      <w:noProof/>
      <w:color w:val="146692"/>
    </w:rPr>
  </w:style>
  <w:style w:type="paragraph" w:customStyle="1" w:styleId="ListNumber1">
    <w:name w:val="List Number1"/>
    <w:basedOn w:val="Normal"/>
    <w:next w:val="ListNumber"/>
    <w:uiPriority w:val="4"/>
    <w:qFormat/>
    <w:locked/>
    <w:rsid w:val="00B177F5"/>
    <w:pPr>
      <w:tabs>
        <w:tab w:val="num" w:pos="1492"/>
      </w:tabs>
      <w:spacing w:before="60" w:after="60"/>
      <w:ind w:left="1492" w:hanging="360"/>
    </w:pPr>
    <w:rPr>
      <w:rFonts w:eastAsia="Times" w:cs="Arial"/>
      <w:color w:val="auto"/>
      <w:szCs w:val="20"/>
    </w:rPr>
  </w:style>
  <w:style w:type="paragraph" w:customStyle="1" w:styleId="11">
    <w:name w:val="11"/>
    <w:basedOn w:val="BodyText"/>
    <w:next w:val="BodyText"/>
    <w:uiPriority w:val="35"/>
    <w:qFormat/>
    <w:locked/>
    <w:rsid w:val="00B177F5"/>
    <w:pPr>
      <w:keepNext/>
      <w:spacing w:after="60"/>
    </w:pPr>
    <w:rPr>
      <w:b/>
      <w:bCs/>
      <w:color w:val="146692"/>
      <w:sz w:val="20"/>
      <w:szCs w:val="18"/>
    </w:rPr>
  </w:style>
  <w:style w:type="numbering" w:customStyle="1" w:styleId="TableBullets1">
    <w:name w:val="TableBullets1"/>
    <w:uiPriority w:val="99"/>
    <w:rsid w:val="00B177F5"/>
    <w:pPr>
      <w:numPr>
        <w:numId w:val="8"/>
      </w:numPr>
    </w:pPr>
  </w:style>
  <w:style w:type="paragraph" w:customStyle="1" w:styleId="ListNumber21">
    <w:name w:val="List Number 21"/>
    <w:basedOn w:val="Normal"/>
    <w:next w:val="ListNumber2"/>
    <w:uiPriority w:val="4"/>
    <w:qFormat/>
    <w:locked/>
    <w:rsid w:val="00B177F5"/>
    <w:pPr>
      <w:spacing w:before="60" w:after="60"/>
      <w:ind w:left="1020" w:hanging="340"/>
    </w:pPr>
    <w:rPr>
      <w:rFonts w:eastAsia="Times" w:cs="Arial"/>
      <w:color w:val="auto"/>
      <w:szCs w:val="20"/>
    </w:rPr>
  </w:style>
  <w:style w:type="table" w:customStyle="1" w:styleId="TableBAHeaderRow1">
    <w:name w:val="Table BA Header Row1"/>
    <w:basedOn w:val="TableNormal"/>
    <w:rsid w:val="00B177F5"/>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andColumn1">
    <w:name w:val="Table BA Header Row and Column1"/>
    <w:basedOn w:val="TableNormal"/>
    <w:uiPriority w:val="99"/>
    <w:rsid w:val="00B177F5"/>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cPr>
      <w:shd w:val="clear" w:color="auto" w:fill="146692"/>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firstCol">
      <w:rPr>
        <w:b/>
        <w:color w:val="FFFFFF"/>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tblStylePr w:type="nwCell">
      <w:rPr>
        <w:color w:val="FFFFFF"/>
      </w:rPr>
      <w:tblPr/>
      <w:tcPr>
        <w:shd w:val="clear" w:color="auto" w:fill="FFFFFF"/>
      </w:tcPr>
    </w:tblStylePr>
  </w:style>
  <w:style w:type="table" w:customStyle="1" w:styleId="TableBAHeaderColumn1">
    <w:name w:val="Table BA Header Column1"/>
    <w:basedOn w:val="TableBAHeaderRowandColumn"/>
    <w:uiPriority w:val="99"/>
    <w:rsid w:val="00B177F5"/>
    <w:tblPr>
      <w:tblBorders>
        <w:insideH w:val="single" w:sz="8" w:space="0" w:color="FFFFFF"/>
        <w:insideV w:val="single" w:sz="8" w:space="0" w:color="FFFFFF"/>
      </w:tblBorders>
    </w:tblPr>
    <w:trPr>
      <w:tblHeader/>
    </w:trPr>
    <w:tcPr>
      <w:shd w:val="clear" w:color="auto" w:fill="146692"/>
    </w:tcPr>
    <w:tblStylePr w:type="firstRow">
      <w:pPr>
        <w:wordWrap/>
        <w:spacing w:beforeLines="0" w:beforeAutospacing="0" w:afterLines="0" w:afterAutospacing="0" w:line="120" w:lineRule="atLeast"/>
        <w:jc w:val="left"/>
      </w:pPr>
      <w:rPr>
        <w:rFonts w:ascii="Calibri" w:hAnsi="Calibri"/>
        <w:b w:val="0"/>
        <w:color w:val="auto"/>
        <w:sz w:val="20"/>
      </w:rPr>
      <w:tblPr/>
      <w:tcPr>
        <w:shd w:val="clear" w:color="auto" w:fill="E1F2FB"/>
      </w:tcPr>
    </w:tblStylePr>
    <w:tblStylePr w:type="firstCol">
      <w:rPr>
        <w:b/>
        <w:color w:val="FFFFFF"/>
      </w:rPr>
      <w:tblPr/>
      <w:tcPr>
        <w:shd w:val="clear" w:color="auto" w:fill="146692"/>
      </w:tcPr>
    </w:tblStylePr>
    <w:tblStylePr w:type="band1Vert">
      <w:pPr>
        <w:wordWrap/>
        <w:jc w:val="left"/>
      </w:pPr>
      <w:tblPr/>
      <w:tcPr>
        <w:shd w:val="clear" w:color="auto" w:fill="E1F2FB"/>
      </w:tcPr>
    </w:tblStylePr>
    <w:tblStylePr w:type="band2Vert">
      <w:tblPr/>
      <w:tcPr>
        <w:shd w:val="clear" w:color="auto" w:fill="C2E4F6"/>
      </w:tc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tblStylePr w:type="nwCell">
      <w:rPr>
        <w:b/>
        <w:color w:val="FFFFFF"/>
      </w:rPr>
      <w:tblPr/>
      <w:tcPr>
        <w:shd w:val="clear" w:color="auto" w:fill="146692"/>
      </w:tcPr>
    </w:tblStylePr>
  </w:style>
  <w:style w:type="paragraph" w:customStyle="1" w:styleId="Title1">
    <w:name w:val="Title1"/>
    <w:basedOn w:val="Normal"/>
    <w:next w:val="Normal"/>
    <w:uiPriority w:val="99"/>
    <w:locked/>
    <w:rsid w:val="00B177F5"/>
    <w:pPr>
      <w:pBdr>
        <w:bottom w:val="single" w:sz="8" w:space="4" w:color="0093CD"/>
      </w:pBdr>
      <w:spacing w:after="300"/>
      <w:contextualSpacing/>
    </w:pPr>
    <w:rPr>
      <w:rFonts w:eastAsia="MS Gothic"/>
      <w:color w:val="0F4C6D"/>
      <w:spacing w:val="5"/>
      <w:kern w:val="28"/>
      <w:sz w:val="52"/>
      <w:szCs w:val="52"/>
    </w:rPr>
  </w:style>
  <w:style w:type="paragraph" w:customStyle="1" w:styleId="IntenseQuote1">
    <w:name w:val="Intense Quote1"/>
    <w:basedOn w:val="Normal"/>
    <w:next w:val="Normal"/>
    <w:uiPriority w:val="99"/>
    <w:qFormat/>
    <w:locked/>
    <w:rsid w:val="00B177F5"/>
    <w:pPr>
      <w:pBdr>
        <w:bottom w:val="single" w:sz="4" w:space="4" w:color="0093CD"/>
      </w:pBdr>
      <w:spacing w:before="200" w:after="280"/>
      <w:ind w:left="936" w:right="936"/>
    </w:pPr>
    <w:rPr>
      <w:b/>
      <w:bCs/>
      <w:i/>
      <w:iCs/>
      <w:color w:val="0093CD"/>
    </w:rPr>
  </w:style>
  <w:style w:type="paragraph" w:customStyle="1" w:styleId="Quote1">
    <w:name w:val="Quote1"/>
    <w:basedOn w:val="Normal"/>
    <w:next w:val="Normal"/>
    <w:uiPriority w:val="99"/>
    <w:qFormat/>
    <w:locked/>
    <w:rsid w:val="00B177F5"/>
    <w:rPr>
      <w:i/>
      <w:iCs/>
    </w:rPr>
  </w:style>
  <w:style w:type="paragraph" w:customStyle="1" w:styleId="Subtitle1">
    <w:name w:val="Subtitle1"/>
    <w:basedOn w:val="Normal"/>
    <w:next w:val="Normal"/>
    <w:uiPriority w:val="99"/>
    <w:locked/>
    <w:rsid w:val="00B177F5"/>
    <w:pPr>
      <w:numPr>
        <w:ilvl w:val="1"/>
      </w:numPr>
    </w:pPr>
    <w:rPr>
      <w:rFonts w:eastAsia="MS Gothic"/>
      <w:i/>
      <w:iCs/>
      <w:color w:val="0093CD"/>
      <w:spacing w:val="15"/>
    </w:rPr>
  </w:style>
  <w:style w:type="paragraph" w:customStyle="1" w:styleId="Summaryheading-blue">
    <w:name w:val="Summary heading - blue"/>
    <w:basedOn w:val="Summarystage2"/>
    <w:uiPriority w:val="15"/>
    <w:qFormat/>
    <w:rsid w:val="00B177F5"/>
    <w:pPr>
      <w:pBdr>
        <w:top w:val="single" w:sz="4" w:space="10" w:color="FFFFFF"/>
        <w:left w:val="single" w:sz="4" w:space="10" w:color="FFFFFF"/>
        <w:bottom w:val="single" w:sz="4" w:space="10" w:color="FFFFFF"/>
        <w:right w:val="single" w:sz="4" w:space="10" w:color="FFFFFF"/>
      </w:pBdr>
    </w:pPr>
    <w:rPr>
      <w:b/>
      <w:i/>
      <w:sz w:val="28"/>
      <w:szCs w:val="28"/>
    </w:rPr>
  </w:style>
  <w:style w:type="paragraph" w:customStyle="1" w:styleId="Summaryheading-green">
    <w:name w:val="Summary heading - green"/>
    <w:basedOn w:val="Normal"/>
    <w:uiPriority w:val="16"/>
    <w:qFormat/>
    <w:rsid w:val="00B177F5"/>
    <w:pPr>
      <w:pBdr>
        <w:top w:val="single" w:sz="4" w:space="10" w:color="FFFFFF"/>
        <w:left w:val="single" w:sz="4" w:space="10" w:color="FFFFFF"/>
        <w:bottom w:val="single" w:sz="4" w:space="10" w:color="FFFFFF"/>
        <w:right w:val="single" w:sz="4" w:space="10" w:color="FFFFFF"/>
      </w:pBdr>
      <w:shd w:val="clear" w:color="auto" w:fill="CCEEDB"/>
      <w:spacing w:after="180"/>
      <w:ind w:left="227" w:right="227"/>
    </w:pPr>
    <w:rPr>
      <w:b/>
      <w:i/>
      <w:sz w:val="28"/>
      <w:szCs w:val="28"/>
    </w:rPr>
  </w:style>
  <w:style w:type="paragraph" w:customStyle="1" w:styleId="Summary-green">
    <w:name w:val="Summary - green"/>
    <w:basedOn w:val="Summarystage2"/>
    <w:link w:val="Summary-greenChar"/>
    <w:uiPriority w:val="17"/>
    <w:qFormat/>
    <w:rsid w:val="00B177F5"/>
    <w:pPr>
      <w:pBdr>
        <w:top w:val="single" w:sz="4" w:space="10" w:color="FFFFFF"/>
        <w:left w:val="single" w:sz="4" w:space="10" w:color="FFFFFF"/>
        <w:bottom w:val="single" w:sz="4" w:space="10" w:color="FFFFFF"/>
        <w:right w:val="single" w:sz="4" w:space="10" w:color="FFFFFF"/>
      </w:pBdr>
      <w:shd w:val="clear" w:color="auto" w:fill="CCEEDB"/>
    </w:pPr>
  </w:style>
  <w:style w:type="paragraph" w:customStyle="1" w:styleId="Summaryheading-orange">
    <w:name w:val="Summary heading - orange"/>
    <w:basedOn w:val="Normal"/>
    <w:uiPriority w:val="14"/>
    <w:qFormat/>
    <w:rsid w:val="00B177F5"/>
    <w:pPr>
      <w:pBdr>
        <w:top w:val="single" w:sz="4" w:space="10" w:color="FFFFFF"/>
        <w:left w:val="single" w:sz="4" w:space="10" w:color="FFFFFF"/>
        <w:bottom w:val="single" w:sz="4" w:space="10" w:color="FFFFFF"/>
        <w:right w:val="single" w:sz="4" w:space="10" w:color="FFFFFF"/>
      </w:pBdr>
      <w:shd w:val="clear" w:color="auto" w:fill="FAE3D3"/>
      <w:spacing w:after="180"/>
      <w:ind w:left="227" w:right="227"/>
    </w:pPr>
    <w:rPr>
      <w:b/>
      <w:i/>
      <w:sz w:val="28"/>
      <w:szCs w:val="28"/>
    </w:rPr>
  </w:style>
  <w:style w:type="paragraph" w:customStyle="1" w:styleId="Summary-orange">
    <w:name w:val="Summary - orange"/>
    <w:basedOn w:val="Summarystage2"/>
    <w:uiPriority w:val="14"/>
    <w:qFormat/>
    <w:rsid w:val="00B177F5"/>
    <w:pPr>
      <w:pBdr>
        <w:top w:val="single" w:sz="4" w:space="10" w:color="FFFFFF"/>
        <w:left w:val="single" w:sz="4" w:space="10" w:color="FFFFFF"/>
        <w:bottom w:val="single" w:sz="4" w:space="10" w:color="FFFFFF"/>
        <w:right w:val="single" w:sz="4" w:space="10" w:color="FFFFFF"/>
      </w:pBdr>
      <w:shd w:val="clear" w:color="auto" w:fill="FAE3D3"/>
    </w:pPr>
  </w:style>
  <w:style w:type="paragraph" w:customStyle="1" w:styleId="Summaryheading-pink">
    <w:name w:val="Summary heading - pink"/>
    <w:basedOn w:val="Normal"/>
    <w:uiPriority w:val="18"/>
    <w:qFormat/>
    <w:rsid w:val="00B177F5"/>
    <w:pPr>
      <w:pBdr>
        <w:top w:val="single" w:sz="4" w:space="10" w:color="FFFFFF"/>
        <w:left w:val="single" w:sz="4" w:space="10" w:color="FFFFFF"/>
        <w:bottom w:val="single" w:sz="4" w:space="10" w:color="FFFFFF"/>
        <w:right w:val="single" w:sz="4" w:space="10" w:color="FFFFFF"/>
      </w:pBdr>
      <w:shd w:val="clear" w:color="auto" w:fill="FADCE3"/>
      <w:spacing w:after="180"/>
      <w:ind w:left="227" w:right="227"/>
    </w:pPr>
    <w:rPr>
      <w:b/>
      <w:i/>
      <w:color w:val="auto"/>
      <w:sz w:val="28"/>
      <w:szCs w:val="28"/>
    </w:rPr>
  </w:style>
  <w:style w:type="paragraph" w:customStyle="1" w:styleId="Summary-grey">
    <w:name w:val="Summary - grey"/>
    <w:basedOn w:val="Summarystage2"/>
    <w:uiPriority w:val="20"/>
    <w:qFormat/>
    <w:rsid w:val="00B177F5"/>
    <w:pPr>
      <w:pBdr>
        <w:top w:val="single" w:sz="4" w:space="10" w:color="FFFFFF"/>
        <w:left w:val="single" w:sz="4" w:space="10" w:color="FFFFFF"/>
        <w:bottom w:val="single" w:sz="4" w:space="10" w:color="FFFFFF"/>
        <w:right w:val="single" w:sz="4" w:space="10" w:color="FFFFFF"/>
      </w:pBdr>
      <w:shd w:val="clear" w:color="auto" w:fill="E7E7E7"/>
    </w:pPr>
  </w:style>
  <w:style w:type="table" w:customStyle="1" w:styleId="TableBAHeaderRowandColumn21">
    <w:name w:val="Table BA Header Row and Column 21"/>
    <w:basedOn w:val="TableBAHeaderRowandColumn"/>
    <w:uiPriority w:val="99"/>
    <w:rsid w:val="00B177F5"/>
    <w:pPr>
      <w:spacing w:before="0" w:after="0" w:line="240" w:lineRule="auto"/>
    </w:pPr>
    <w:tblPr>
      <w:tblBorders>
        <w:insideH w:val="single" w:sz="8" w:space="0" w:color="FFFFFF"/>
        <w:insideV w:val="single" w:sz="8" w:space="0" w:color="FFFFFF"/>
      </w:tblBorders>
    </w:tblPr>
    <w:tcPr>
      <w:shd w:val="clear" w:color="auto" w:fill="146692"/>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firstCol">
      <w:rPr>
        <w:b/>
        <w:color w:val="FFFFFF"/>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tblStylePr w:type="nwCell">
      <w:rPr>
        <w:color w:val="FFFFFF"/>
      </w:rPr>
      <w:tblPr/>
      <w:tcPr>
        <w:shd w:val="clear" w:color="auto" w:fill="146692"/>
      </w:tcPr>
    </w:tblStylePr>
  </w:style>
  <w:style w:type="paragraph" w:customStyle="1" w:styleId="Summarystage4">
    <w:name w:val="Summary stage 4"/>
    <w:basedOn w:val="Normal"/>
    <w:link w:val="Summarystage4Char"/>
    <w:uiPriority w:val="99"/>
    <w:qFormat/>
    <w:rsid w:val="00B177F5"/>
    <w:pPr>
      <w:pBdr>
        <w:top w:val="single" w:sz="4" w:space="10" w:color="FFFFFF"/>
        <w:left w:val="single" w:sz="4" w:space="10" w:color="FFFFFF"/>
        <w:bottom w:val="single" w:sz="4" w:space="10" w:color="FFFFFF"/>
        <w:right w:val="single" w:sz="4" w:space="10" w:color="FFFFFF"/>
      </w:pBdr>
      <w:shd w:val="clear" w:color="auto" w:fill="FFEFBD"/>
      <w:spacing w:after="180"/>
      <w:ind w:left="227" w:right="227"/>
    </w:pPr>
  </w:style>
  <w:style w:type="character" w:customStyle="1" w:styleId="Summary-greenChar">
    <w:name w:val="Summary - green Char"/>
    <w:basedOn w:val="Summarystage2Char"/>
    <w:link w:val="Summary-green"/>
    <w:uiPriority w:val="17"/>
    <w:rsid w:val="00B177F5"/>
    <w:rPr>
      <w:rFonts w:eastAsia="Calibri"/>
      <w:color w:val="000000"/>
      <w:sz w:val="24"/>
      <w:shd w:val="clear" w:color="auto" w:fill="CCEEDB"/>
    </w:rPr>
  </w:style>
  <w:style w:type="character" w:customStyle="1" w:styleId="Summarystage4Char">
    <w:name w:val="Summary stage 4 Char"/>
    <w:basedOn w:val="DefaultParagraphFont"/>
    <w:link w:val="Summarystage4"/>
    <w:uiPriority w:val="99"/>
    <w:rsid w:val="00B177F5"/>
    <w:rPr>
      <w:rFonts w:eastAsia="Calibri"/>
      <w:color w:val="000000"/>
      <w:shd w:val="clear" w:color="auto" w:fill="FFEFBD"/>
    </w:rPr>
  </w:style>
  <w:style w:type="table" w:customStyle="1" w:styleId="GridTable1Light-Accent11">
    <w:name w:val="Grid Table 1 Light - Accent 11"/>
    <w:basedOn w:val="TableNormal"/>
    <w:uiPriority w:val="46"/>
    <w:rsid w:val="00B177F5"/>
    <w:pPr>
      <w:spacing w:after="0" w:line="240" w:lineRule="auto"/>
    </w:pPr>
    <w:tblPr>
      <w:tblStyleRowBandSize w:val="1"/>
      <w:tblStyleColBandSize w:val="1"/>
      <w:tblBorders>
        <w:top w:val="single" w:sz="4" w:space="0" w:color="85DCFF"/>
        <w:left w:val="single" w:sz="4" w:space="0" w:color="85DCFF"/>
        <w:bottom w:val="single" w:sz="4" w:space="0" w:color="85DCFF"/>
        <w:right w:val="single" w:sz="4" w:space="0" w:color="85DCFF"/>
        <w:insideH w:val="single" w:sz="4" w:space="0" w:color="85DCFF"/>
        <w:insideV w:val="single" w:sz="4" w:space="0" w:color="85DCFF"/>
      </w:tblBorders>
    </w:tblPr>
    <w:tblStylePr w:type="firstRow">
      <w:rPr>
        <w:b/>
        <w:bCs/>
      </w:rPr>
      <w:tblPr/>
      <w:tcPr>
        <w:tcBorders>
          <w:bottom w:val="single" w:sz="12" w:space="0" w:color="48CAFF"/>
        </w:tcBorders>
      </w:tcPr>
    </w:tblStylePr>
    <w:tblStylePr w:type="lastRow">
      <w:rPr>
        <w:b/>
        <w:bCs/>
      </w:rPr>
      <w:tblPr/>
      <w:tcPr>
        <w:tcBorders>
          <w:top w:val="double" w:sz="2" w:space="0" w:color="48CAFF"/>
        </w:tcBorders>
      </w:tcPr>
    </w:tblStylePr>
    <w:tblStylePr w:type="firstCol">
      <w:rPr>
        <w:b/>
        <w:bCs/>
      </w:rPr>
    </w:tblStylePr>
    <w:tblStylePr w:type="lastCol">
      <w:rPr>
        <w:b/>
        <w:bCs/>
      </w:rPr>
    </w:tblStylePr>
  </w:style>
  <w:style w:type="table" w:customStyle="1" w:styleId="TableGridLight1">
    <w:name w:val="Table Grid Light1"/>
    <w:basedOn w:val="TableNormal"/>
    <w:uiPriority w:val="40"/>
    <w:locked/>
    <w:rsid w:val="00B177F5"/>
    <w:pPr>
      <w:spacing w:before="0" w:after="0" w:line="240" w:lineRule="auto"/>
    </w:pPr>
    <w:rPr>
      <w:rFonts w:eastAsia="MS Mincho"/>
      <w:sz w:val="22"/>
      <w:szCs w:val="22"/>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ExplainerBoxBody">
    <w:name w:val="Explainer Box Body"/>
    <w:basedOn w:val="Normal"/>
    <w:uiPriority w:val="17"/>
    <w:qFormat/>
    <w:locked/>
    <w:rsid w:val="00B177F5"/>
    <w:pPr>
      <w:pBdr>
        <w:top w:val="single" w:sz="4" w:space="10" w:color="FFFFFF"/>
        <w:left w:val="single" w:sz="4" w:space="10" w:color="FFFFFF"/>
        <w:bottom w:val="single" w:sz="4" w:space="10" w:color="FFFFFF"/>
        <w:right w:val="single" w:sz="4" w:space="10" w:color="FFFFFF"/>
      </w:pBdr>
      <w:shd w:val="clear" w:color="auto" w:fill="146692"/>
      <w:spacing w:before="240" w:after="0"/>
      <w:ind w:left="227" w:right="227"/>
    </w:pPr>
    <w:rPr>
      <w:color w:val="FFFFFF"/>
      <w:lang w:val="en-US"/>
    </w:rPr>
  </w:style>
  <w:style w:type="paragraph" w:customStyle="1" w:styleId="ExplainerBoxCaption">
    <w:name w:val="Explainer Box Caption"/>
    <w:basedOn w:val="ExplainerBoxBody"/>
    <w:uiPriority w:val="17"/>
    <w:qFormat/>
    <w:locked/>
    <w:rsid w:val="00B177F5"/>
    <w:rPr>
      <w:b/>
      <w:sz w:val="20"/>
      <w:szCs w:val="20"/>
    </w:rPr>
  </w:style>
  <w:style w:type="character" w:styleId="Emphasis">
    <w:name w:val="Emphasis"/>
    <w:basedOn w:val="DefaultParagraphFont"/>
    <w:uiPriority w:val="20"/>
    <w:unhideWhenUsed/>
    <w:qFormat/>
    <w:locked/>
    <w:rsid w:val="00B177F5"/>
    <w:rPr>
      <w:i/>
      <w:iCs/>
    </w:rPr>
  </w:style>
  <w:style w:type="paragraph" w:customStyle="1" w:styleId="Summary-yellow">
    <w:name w:val="Summary - yellow"/>
    <w:basedOn w:val="Normal"/>
    <w:link w:val="Summary-yellowChar"/>
    <w:uiPriority w:val="99"/>
    <w:qFormat/>
    <w:rsid w:val="00B177F5"/>
    <w:pPr>
      <w:pBdr>
        <w:top w:val="single" w:sz="4" w:space="10" w:color="FFFFFF"/>
        <w:left w:val="single" w:sz="4" w:space="10" w:color="FFFFFF"/>
        <w:bottom w:val="single" w:sz="4" w:space="10" w:color="FFFFFF"/>
        <w:right w:val="single" w:sz="4" w:space="10" w:color="FFFFFF"/>
      </w:pBdr>
      <w:shd w:val="clear" w:color="auto" w:fill="FFEFBD"/>
      <w:spacing w:after="180"/>
      <w:ind w:left="227" w:right="227"/>
    </w:pPr>
  </w:style>
  <w:style w:type="character" w:customStyle="1" w:styleId="Summary-yellowChar">
    <w:name w:val="Summary - yellow Char"/>
    <w:basedOn w:val="DefaultParagraphFont"/>
    <w:link w:val="Summary-yellow"/>
    <w:uiPriority w:val="99"/>
    <w:rsid w:val="00B177F5"/>
    <w:rPr>
      <w:rFonts w:eastAsia="Calibri"/>
      <w:color w:val="000000"/>
      <w:shd w:val="clear" w:color="auto" w:fill="FFEFBD"/>
    </w:rPr>
  </w:style>
  <w:style w:type="character" w:customStyle="1" w:styleId="Summaryheading-yellowChar">
    <w:name w:val="Summary heading - yellow Char"/>
    <w:basedOn w:val="DefaultParagraphFont"/>
    <w:link w:val="Summaryheading-yellow"/>
    <w:uiPriority w:val="99"/>
    <w:rsid w:val="00B177F5"/>
    <w:rPr>
      <w:rFonts w:eastAsia="Times New Roman"/>
      <w:b/>
      <w:i/>
      <w:sz w:val="28"/>
      <w:szCs w:val="28"/>
      <w:shd w:val="clear" w:color="auto" w:fill="FFEFBD"/>
    </w:rPr>
  </w:style>
  <w:style w:type="paragraph" w:customStyle="1" w:styleId="Summaryheading-yellow">
    <w:name w:val="Summary heading - yellow"/>
    <w:basedOn w:val="Normal"/>
    <w:next w:val="Normal"/>
    <w:link w:val="Summaryheading-yellowChar"/>
    <w:uiPriority w:val="99"/>
    <w:qFormat/>
    <w:rsid w:val="00B177F5"/>
    <w:pPr>
      <w:pBdr>
        <w:top w:val="single" w:sz="4" w:space="10" w:color="FFFFFF"/>
        <w:left w:val="single" w:sz="4" w:space="10" w:color="FFFFFF"/>
        <w:bottom w:val="single" w:sz="4" w:space="10" w:color="FFFFFF"/>
        <w:right w:val="single" w:sz="4" w:space="10" w:color="FFFFFF"/>
      </w:pBdr>
      <w:shd w:val="clear" w:color="auto" w:fill="FFEFBD"/>
      <w:spacing w:before="0" w:after="180" w:line="240" w:lineRule="auto"/>
      <w:ind w:left="227" w:right="227"/>
    </w:pPr>
    <w:rPr>
      <w:rFonts w:eastAsia="Times New Roman"/>
      <w:b/>
      <w:i/>
      <w:color w:val="auto"/>
      <w:sz w:val="28"/>
      <w:szCs w:val="28"/>
    </w:rPr>
  </w:style>
  <w:style w:type="character" w:customStyle="1" w:styleId="ilfuvd">
    <w:name w:val="ilfuvd"/>
    <w:basedOn w:val="DefaultParagraphFont"/>
    <w:rsid w:val="00B177F5"/>
  </w:style>
  <w:style w:type="table" w:customStyle="1" w:styleId="GridTable4-Accent11">
    <w:name w:val="Grid Table 4 - Accent 11"/>
    <w:basedOn w:val="TableNormal"/>
    <w:uiPriority w:val="49"/>
    <w:rsid w:val="00B177F5"/>
    <w:pPr>
      <w:spacing w:after="0" w:line="240" w:lineRule="auto"/>
    </w:pPr>
    <w:tblPr>
      <w:tblStyleRowBandSize w:val="1"/>
      <w:tblStyleColBandSize w:val="1"/>
      <w:tblBorders>
        <w:top w:val="single" w:sz="4" w:space="0" w:color="48CAFF"/>
        <w:left w:val="single" w:sz="4" w:space="0" w:color="48CAFF"/>
        <w:bottom w:val="single" w:sz="4" w:space="0" w:color="48CAFF"/>
        <w:right w:val="single" w:sz="4" w:space="0" w:color="48CAFF"/>
        <w:insideH w:val="single" w:sz="4" w:space="0" w:color="48CAFF"/>
        <w:insideV w:val="single" w:sz="4" w:space="0" w:color="48CAFF"/>
      </w:tblBorders>
    </w:tblPr>
    <w:tblStylePr w:type="firstRow">
      <w:rPr>
        <w:b/>
        <w:bCs/>
        <w:color w:val="FFFFFF"/>
      </w:rPr>
      <w:tblPr/>
      <w:tcPr>
        <w:tcBorders>
          <w:top w:val="single" w:sz="4" w:space="0" w:color="0093CD"/>
          <w:left w:val="single" w:sz="4" w:space="0" w:color="0093CD"/>
          <w:bottom w:val="single" w:sz="4" w:space="0" w:color="0093CD"/>
          <w:right w:val="single" w:sz="4" w:space="0" w:color="0093CD"/>
          <w:insideH w:val="nil"/>
          <w:insideV w:val="nil"/>
        </w:tcBorders>
        <w:shd w:val="clear" w:color="auto" w:fill="0093CD"/>
      </w:tcPr>
    </w:tblStylePr>
    <w:tblStylePr w:type="lastRow">
      <w:rPr>
        <w:b/>
        <w:bCs/>
      </w:rPr>
      <w:tblPr/>
      <w:tcPr>
        <w:tcBorders>
          <w:top w:val="double" w:sz="4" w:space="0" w:color="0093CD"/>
        </w:tcBorders>
      </w:tcPr>
    </w:tblStylePr>
    <w:tblStylePr w:type="firstCol">
      <w:rPr>
        <w:b/>
        <w:bCs/>
      </w:rPr>
    </w:tblStylePr>
    <w:tblStylePr w:type="lastCol">
      <w:rPr>
        <w:b/>
        <w:bCs/>
      </w:rPr>
    </w:tblStylePr>
    <w:tblStylePr w:type="band1Vert">
      <w:tblPr/>
      <w:tcPr>
        <w:shd w:val="clear" w:color="auto" w:fill="C2EDFF"/>
      </w:tcPr>
    </w:tblStylePr>
    <w:tblStylePr w:type="band1Horz">
      <w:tblPr/>
      <w:tcPr>
        <w:shd w:val="clear" w:color="auto" w:fill="C2EDFF"/>
      </w:tcPr>
    </w:tblStylePr>
  </w:style>
  <w:style w:type="table" w:customStyle="1" w:styleId="GridTable5Dark-Accent11">
    <w:name w:val="Grid Table 5 Dark - Accent 11"/>
    <w:basedOn w:val="TableNormal"/>
    <w:uiPriority w:val="50"/>
    <w:rsid w:val="00B177F5"/>
    <w:pPr>
      <w:spacing w:after="0"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2EDFF"/>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93C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93C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93C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93CD"/>
      </w:tcPr>
    </w:tblStylePr>
    <w:tblStylePr w:type="band1Vert">
      <w:tblPr/>
      <w:tcPr>
        <w:shd w:val="clear" w:color="auto" w:fill="85DCFF"/>
      </w:tcPr>
    </w:tblStylePr>
    <w:tblStylePr w:type="band1Horz">
      <w:tblPr/>
      <w:tcPr>
        <w:shd w:val="clear" w:color="auto" w:fill="85DCFF"/>
      </w:tcPr>
    </w:tblStylePr>
  </w:style>
  <w:style w:type="character" w:customStyle="1" w:styleId="findhit">
    <w:name w:val="findhit"/>
    <w:basedOn w:val="DefaultParagraphFont"/>
    <w:rsid w:val="00B177F5"/>
    <w:rPr>
      <w:shd w:val="clear" w:color="auto" w:fill="FFEE80"/>
    </w:rPr>
  </w:style>
  <w:style w:type="paragraph" w:customStyle="1" w:styleId="Summary-blue">
    <w:name w:val="Summary - blue"/>
    <w:basedOn w:val="BodyText"/>
    <w:link w:val="Summary-blueChar"/>
    <w:uiPriority w:val="15"/>
    <w:qFormat/>
    <w:rsid w:val="00B177F5"/>
    <w:pPr>
      <w:pBdr>
        <w:top w:val="single" w:sz="4" w:space="10" w:color="FFFFFF"/>
        <w:left w:val="single" w:sz="4" w:space="10" w:color="FFFFFF"/>
        <w:bottom w:val="single" w:sz="4" w:space="10" w:color="FFFFFF"/>
        <w:right w:val="single" w:sz="4" w:space="10" w:color="FFFFFF"/>
      </w:pBdr>
      <w:shd w:val="clear" w:color="auto" w:fill="CCE9F5"/>
      <w:ind w:left="227" w:right="227"/>
    </w:pPr>
  </w:style>
  <w:style w:type="character" w:customStyle="1" w:styleId="Summary-blueChar">
    <w:name w:val="Summary - blue Char"/>
    <w:basedOn w:val="BodyTextChar"/>
    <w:link w:val="Summary-blue"/>
    <w:uiPriority w:val="15"/>
    <w:rsid w:val="00B177F5"/>
    <w:rPr>
      <w:rFonts w:eastAsia="Calibri"/>
      <w:color w:val="000000"/>
      <w:sz w:val="24"/>
      <w:shd w:val="clear" w:color="auto" w:fill="CCE9F5"/>
    </w:rPr>
  </w:style>
  <w:style w:type="character" w:styleId="HTMLCite">
    <w:name w:val="HTML Cite"/>
    <w:basedOn w:val="DefaultParagraphFont"/>
    <w:uiPriority w:val="99"/>
    <w:semiHidden/>
    <w:unhideWhenUsed/>
    <w:locked/>
    <w:rsid w:val="00B177F5"/>
    <w:rPr>
      <w:i/>
      <w:iCs/>
    </w:rPr>
  </w:style>
  <w:style w:type="paragraph" w:customStyle="1" w:styleId="ListBulletLevel1">
    <w:name w:val="List Bullet Level 1"/>
    <w:basedOn w:val="BodyText"/>
    <w:qFormat/>
    <w:rsid w:val="00B177F5"/>
    <w:pPr>
      <w:tabs>
        <w:tab w:val="num" w:pos="312"/>
      </w:tabs>
      <w:suppressAutoHyphens/>
      <w:spacing w:before="60" w:after="60" w:line="280" w:lineRule="atLeast"/>
      <w:ind w:left="312" w:hanging="312"/>
    </w:pPr>
    <w:rPr>
      <w:rFonts w:ascii="Arial" w:eastAsia="Times New Roman" w:hAnsi="Arial" w:cs="Arial"/>
      <w:sz w:val="20"/>
      <w:szCs w:val="20"/>
    </w:rPr>
  </w:style>
  <w:style w:type="paragraph" w:customStyle="1" w:styleId="ListBulletLevel2">
    <w:name w:val="List Bullet Level 2"/>
    <w:basedOn w:val="ListBulletLevel1"/>
    <w:qFormat/>
    <w:rsid w:val="00B177F5"/>
    <w:pPr>
      <w:tabs>
        <w:tab w:val="clear" w:pos="312"/>
      </w:tabs>
      <w:spacing w:before="0"/>
      <w:ind w:left="624"/>
    </w:pPr>
  </w:style>
  <w:style w:type="paragraph" w:customStyle="1" w:styleId="Summary-pink">
    <w:name w:val="Summary - pink"/>
    <w:basedOn w:val="Summary-blue"/>
    <w:uiPriority w:val="19"/>
    <w:rsid w:val="00B177F5"/>
    <w:pPr>
      <w:shd w:val="clear" w:color="auto" w:fill="FADCE3"/>
    </w:pPr>
  </w:style>
  <w:style w:type="paragraph" w:customStyle="1" w:styleId="Summary-greyoutline">
    <w:name w:val="Summary - grey outline"/>
    <w:basedOn w:val="Normal"/>
    <w:link w:val="Summary-greyoutlineChar"/>
    <w:uiPriority w:val="18"/>
    <w:qFormat/>
    <w:rsid w:val="00B177F5"/>
    <w:pPr>
      <w:pBdr>
        <w:top w:val="single" w:sz="8" w:space="10" w:color="E7E7E7"/>
        <w:left w:val="single" w:sz="8" w:space="10" w:color="E7E7E7"/>
        <w:bottom w:val="single" w:sz="8" w:space="10" w:color="E7E7E7"/>
        <w:right w:val="single" w:sz="8" w:space="10" w:color="E7E7E7"/>
      </w:pBdr>
      <w:spacing w:after="180"/>
      <w:ind w:left="227" w:right="227"/>
    </w:pPr>
  </w:style>
  <w:style w:type="character" w:customStyle="1" w:styleId="Summary-greyoutlineChar">
    <w:name w:val="Summary - grey outline Char"/>
    <w:basedOn w:val="DefaultParagraphFont"/>
    <w:link w:val="Summary-greyoutline"/>
    <w:uiPriority w:val="18"/>
    <w:rsid w:val="00B177F5"/>
    <w:rPr>
      <w:rFonts w:eastAsia="Calibri"/>
      <w:color w:val="000000"/>
    </w:rPr>
  </w:style>
  <w:style w:type="paragraph" w:customStyle="1" w:styleId="Summaryheading-greyoutline">
    <w:name w:val="Summary heading - grey outline"/>
    <w:basedOn w:val="Summaryheading-blue"/>
    <w:next w:val="Normal"/>
    <w:uiPriority w:val="18"/>
    <w:qFormat/>
    <w:rsid w:val="00B177F5"/>
    <w:pPr>
      <w:pBdr>
        <w:top w:val="single" w:sz="8" w:space="10" w:color="E7E7E7"/>
        <w:left w:val="single" w:sz="8" w:space="10" w:color="E7E7E7"/>
        <w:bottom w:val="single" w:sz="8" w:space="10" w:color="E7E7E7"/>
        <w:right w:val="single" w:sz="8" w:space="10" w:color="E7E7E7"/>
      </w:pBdr>
      <w:shd w:val="clear" w:color="auto" w:fill="FFFFFF"/>
      <w:spacing w:before="0" w:line="240" w:lineRule="auto"/>
    </w:pPr>
    <w:rPr>
      <w:rFonts w:eastAsia="Times New Roman"/>
      <w:color w:val="auto"/>
      <w:lang w:eastAsia="en-US"/>
    </w:rPr>
  </w:style>
  <w:style w:type="table" w:customStyle="1" w:styleId="TableBAHeaderRow2">
    <w:name w:val="Table BA Header Row2"/>
    <w:basedOn w:val="TableNormal"/>
    <w:rsid w:val="00B177F5"/>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31">
    <w:name w:val="Table BA Header Row31"/>
    <w:basedOn w:val="TableNormal"/>
    <w:rsid w:val="00B177F5"/>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41">
    <w:name w:val="Table BA Header Row41"/>
    <w:basedOn w:val="TableNormal"/>
    <w:rsid w:val="00B177F5"/>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411">
    <w:name w:val="Table BA Header Row411"/>
    <w:basedOn w:val="TableNormal"/>
    <w:rsid w:val="00B177F5"/>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3">
    <w:name w:val="Table BA Header Row3"/>
    <w:basedOn w:val="TableNormal"/>
    <w:rsid w:val="00B177F5"/>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4">
    <w:name w:val="Table BA Header Row4"/>
    <w:basedOn w:val="TableNormal"/>
    <w:rsid w:val="00B177F5"/>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5">
    <w:name w:val="Table BA Header Row5"/>
    <w:basedOn w:val="TableNormal"/>
    <w:rsid w:val="00B177F5"/>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6">
    <w:name w:val="Table BA Header Row6"/>
    <w:basedOn w:val="TableNormal"/>
    <w:rsid w:val="00B177F5"/>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7">
    <w:name w:val="Table BA Header Row7"/>
    <w:basedOn w:val="TableNormal"/>
    <w:rsid w:val="00B177F5"/>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8">
    <w:name w:val="Table BA Header Row8"/>
    <w:basedOn w:val="TableNormal"/>
    <w:rsid w:val="00B177F5"/>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table" w:customStyle="1" w:styleId="TableBAHeaderRow9">
    <w:name w:val="Table BA Header Row9"/>
    <w:basedOn w:val="TableNormal"/>
    <w:rsid w:val="00B177F5"/>
    <w:pPr>
      <w:spacing w:before="20" w:after="20" w:line="200" w:lineRule="atLeast"/>
    </w:pPr>
    <w:rPr>
      <w:rFonts w:eastAsia="Times"/>
      <w:sz w:val="20"/>
      <w:szCs w:val="20"/>
    </w:rPr>
    <w:tblPr>
      <w:tblStyleRowBandSize w:val="1"/>
      <w:tblStyleColBandSize w:val="1"/>
      <w:tblInd w:w="57" w:type="dxa"/>
      <w:tblBorders>
        <w:insideH w:val="single" w:sz="8" w:space="0" w:color="FFFFFF"/>
        <w:insideV w:val="single" w:sz="8" w:space="0" w:color="FFFFFF"/>
      </w:tblBorders>
      <w:tblCellMar>
        <w:top w:w="57" w:type="dxa"/>
        <w:left w:w="57" w:type="dxa"/>
        <w:bottom w:w="28" w:type="dxa"/>
        <w:right w:w="57" w:type="dxa"/>
      </w:tblCellMar>
    </w:tblPr>
    <w:trPr>
      <w:cantSplit/>
    </w:trPr>
    <w:tcPr>
      <w:shd w:val="clear" w:color="auto" w:fill="FFFFFF"/>
    </w:tcPr>
    <w:tblStylePr w:type="firstRow">
      <w:pPr>
        <w:wordWrap/>
        <w:spacing w:beforeLines="0" w:beforeAutospacing="0" w:afterLines="0" w:afterAutospacing="0" w:line="120" w:lineRule="atLeast"/>
        <w:jc w:val="left"/>
      </w:pPr>
      <w:rPr>
        <w:rFonts w:ascii="Calibri" w:hAnsi="Calibri"/>
        <w:b/>
        <w:color w:val="FFFFFF"/>
        <w:sz w:val="20"/>
      </w:rPr>
      <w:tblPr/>
      <w:tcPr>
        <w:shd w:val="clear" w:color="auto" w:fill="146692"/>
      </w:tcPr>
    </w:tblStylePr>
    <w:tblStylePr w:type="band1Vert">
      <w:pPr>
        <w:wordWrap/>
        <w:jc w:val="left"/>
      </w:pPr>
    </w:tblStylePr>
    <w:tblStylePr w:type="band1Horz">
      <w:pPr>
        <w:wordWrap/>
        <w:spacing w:beforeLines="0" w:beforeAutospacing="0" w:afterLines="0" w:afterAutospacing="0" w:line="120" w:lineRule="atLeast"/>
        <w:jc w:val="left"/>
      </w:pPr>
      <w:tblPr/>
      <w:tcPr>
        <w:shd w:val="clear" w:color="auto" w:fill="E1F2FB"/>
      </w:tcPr>
    </w:tblStylePr>
    <w:tblStylePr w:type="band2Horz">
      <w:pPr>
        <w:wordWrap/>
        <w:spacing w:beforeLines="0" w:beforeAutospacing="0" w:afterLines="0" w:afterAutospacing="0" w:line="120" w:lineRule="atLeast"/>
      </w:pPr>
      <w:tblPr/>
      <w:tcPr>
        <w:shd w:val="clear" w:color="auto" w:fill="C2E4F6"/>
      </w:tcPr>
    </w:tblStylePr>
  </w:style>
  <w:style w:type="paragraph" w:customStyle="1" w:styleId="definition">
    <w:name w:val="definition"/>
    <w:basedOn w:val="Normal"/>
    <w:rsid w:val="00B177F5"/>
    <w:pPr>
      <w:spacing w:before="100" w:beforeAutospacing="1" w:after="100" w:afterAutospacing="1" w:line="240" w:lineRule="auto"/>
    </w:pPr>
    <w:rPr>
      <w:rFonts w:ascii="Times New Roman" w:eastAsia="Times New Roman" w:hAnsi="Times New Roman"/>
      <w:color w:val="auto"/>
    </w:rPr>
  </w:style>
  <w:style w:type="paragraph" w:customStyle="1" w:styleId="subsection2">
    <w:name w:val="subsection2"/>
    <w:basedOn w:val="Normal"/>
    <w:rsid w:val="00B177F5"/>
    <w:pPr>
      <w:spacing w:before="100" w:beforeAutospacing="1" w:after="100" w:afterAutospacing="1" w:line="240" w:lineRule="auto"/>
    </w:pPr>
    <w:rPr>
      <w:rFonts w:ascii="Times New Roman" w:eastAsia="Times New Roman" w:hAnsi="Times New Roman"/>
      <w:color w:val="auto"/>
    </w:rPr>
  </w:style>
  <w:style w:type="character" w:customStyle="1" w:styleId="UnresolvedMention80">
    <w:name w:val="Unresolved Mention80"/>
    <w:basedOn w:val="DefaultParagraphFont"/>
    <w:uiPriority w:val="99"/>
    <w:semiHidden/>
    <w:unhideWhenUsed/>
    <w:rsid w:val="00B177F5"/>
    <w:rPr>
      <w:color w:val="605E5C"/>
      <w:shd w:val="clear" w:color="auto" w:fill="E1DFDD"/>
    </w:rPr>
  </w:style>
  <w:style w:type="character" w:customStyle="1" w:styleId="UnresolvedMention800">
    <w:name w:val="Unresolved Mention800"/>
    <w:basedOn w:val="DefaultParagraphFont"/>
    <w:uiPriority w:val="99"/>
    <w:semiHidden/>
    <w:unhideWhenUsed/>
    <w:rsid w:val="00B177F5"/>
    <w:rPr>
      <w:color w:val="605E5C"/>
      <w:shd w:val="clear" w:color="auto" w:fill="E1DFDD"/>
    </w:rPr>
  </w:style>
  <w:style w:type="character" w:customStyle="1" w:styleId="UnresolvedMention8000">
    <w:name w:val="Unresolved Mention8000"/>
    <w:basedOn w:val="DefaultParagraphFont"/>
    <w:uiPriority w:val="99"/>
    <w:semiHidden/>
    <w:unhideWhenUsed/>
    <w:rsid w:val="00B177F5"/>
    <w:rPr>
      <w:color w:val="605E5C"/>
      <w:shd w:val="clear" w:color="auto" w:fill="E1DFDD"/>
    </w:rPr>
  </w:style>
  <w:style w:type="character" w:customStyle="1" w:styleId="UnresolvedMention80000">
    <w:name w:val="Unresolved Mention80000"/>
    <w:basedOn w:val="DefaultParagraphFont"/>
    <w:uiPriority w:val="99"/>
    <w:semiHidden/>
    <w:unhideWhenUsed/>
    <w:rsid w:val="00B177F5"/>
    <w:rPr>
      <w:color w:val="605E5C"/>
      <w:shd w:val="clear" w:color="auto" w:fill="E1DFDD"/>
    </w:rPr>
  </w:style>
  <w:style w:type="character" w:customStyle="1" w:styleId="UnresolvedMention9">
    <w:name w:val="Unresolved Mention9"/>
    <w:basedOn w:val="DefaultParagraphFont"/>
    <w:uiPriority w:val="99"/>
    <w:semiHidden/>
    <w:unhideWhenUsed/>
    <w:rsid w:val="00B177F5"/>
    <w:rPr>
      <w:color w:val="605E5C"/>
      <w:shd w:val="clear" w:color="auto" w:fill="E1DFDD"/>
    </w:rPr>
  </w:style>
  <w:style w:type="character" w:customStyle="1" w:styleId="UnresolvedMention800000">
    <w:name w:val="Unresolved Mention800000"/>
    <w:basedOn w:val="DefaultParagraphFont"/>
    <w:uiPriority w:val="99"/>
    <w:semiHidden/>
    <w:unhideWhenUsed/>
    <w:rsid w:val="00B177F5"/>
    <w:rPr>
      <w:color w:val="605E5C"/>
      <w:shd w:val="clear" w:color="auto" w:fill="E1DFDD"/>
    </w:rPr>
  </w:style>
  <w:style w:type="character" w:customStyle="1" w:styleId="UnresolvedMention8000000">
    <w:name w:val="Unresolved Mention8000000"/>
    <w:basedOn w:val="DefaultParagraphFont"/>
    <w:uiPriority w:val="99"/>
    <w:semiHidden/>
    <w:unhideWhenUsed/>
    <w:rsid w:val="00B177F5"/>
    <w:rPr>
      <w:color w:val="605E5C"/>
      <w:shd w:val="clear" w:color="auto" w:fill="E1DFDD"/>
    </w:rPr>
  </w:style>
  <w:style w:type="character" w:customStyle="1" w:styleId="UnresolvedMention80000000">
    <w:name w:val="Unresolved Mention80000000"/>
    <w:basedOn w:val="DefaultParagraphFont"/>
    <w:uiPriority w:val="99"/>
    <w:semiHidden/>
    <w:unhideWhenUsed/>
    <w:rsid w:val="00B177F5"/>
    <w:rPr>
      <w:color w:val="605E5C"/>
      <w:shd w:val="clear" w:color="auto" w:fill="E1DFDD"/>
    </w:rPr>
  </w:style>
  <w:style w:type="character" w:customStyle="1" w:styleId="UnresolvedMention800000000">
    <w:name w:val="Unresolved Mention800000000"/>
    <w:basedOn w:val="DefaultParagraphFont"/>
    <w:uiPriority w:val="99"/>
    <w:semiHidden/>
    <w:unhideWhenUsed/>
    <w:rsid w:val="00B177F5"/>
    <w:rPr>
      <w:color w:val="605E5C"/>
      <w:shd w:val="clear" w:color="auto" w:fill="E1DFDD"/>
    </w:rPr>
  </w:style>
  <w:style w:type="character" w:customStyle="1" w:styleId="UnresolvedMention8000000000">
    <w:name w:val="Unresolved Mention8000000000"/>
    <w:basedOn w:val="DefaultParagraphFont"/>
    <w:uiPriority w:val="99"/>
    <w:semiHidden/>
    <w:unhideWhenUsed/>
    <w:rsid w:val="00B177F5"/>
    <w:rPr>
      <w:color w:val="605E5C"/>
      <w:shd w:val="clear" w:color="auto" w:fill="E1DFDD"/>
    </w:rPr>
  </w:style>
  <w:style w:type="character" w:customStyle="1" w:styleId="UnresolvedMention80000000000">
    <w:name w:val="Unresolved Mention80000000000"/>
    <w:basedOn w:val="DefaultParagraphFont"/>
    <w:uiPriority w:val="99"/>
    <w:semiHidden/>
    <w:unhideWhenUsed/>
    <w:rsid w:val="00B177F5"/>
    <w:rPr>
      <w:color w:val="605E5C"/>
      <w:shd w:val="clear" w:color="auto" w:fill="E1DFDD"/>
    </w:rPr>
  </w:style>
  <w:style w:type="character" w:customStyle="1" w:styleId="UnresolvedMention800000000000">
    <w:name w:val="Unresolved Mention800000000000"/>
    <w:basedOn w:val="DefaultParagraphFont"/>
    <w:uiPriority w:val="99"/>
    <w:semiHidden/>
    <w:unhideWhenUsed/>
    <w:rsid w:val="00B177F5"/>
    <w:rPr>
      <w:color w:val="605E5C"/>
      <w:shd w:val="clear" w:color="auto" w:fill="E1DFDD"/>
    </w:rPr>
  </w:style>
  <w:style w:type="character" w:customStyle="1" w:styleId="UnresolvedMention8000000000000">
    <w:name w:val="Unresolved Mention8000000000000"/>
    <w:basedOn w:val="DefaultParagraphFont"/>
    <w:uiPriority w:val="99"/>
    <w:semiHidden/>
    <w:unhideWhenUsed/>
    <w:rsid w:val="00B177F5"/>
    <w:rPr>
      <w:color w:val="605E5C"/>
      <w:shd w:val="clear" w:color="auto" w:fill="E1DFDD"/>
    </w:rPr>
  </w:style>
  <w:style w:type="character" w:customStyle="1" w:styleId="UnresolvedMention80000000000000">
    <w:name w:val="Unresolved Mention80000000000000"/>
    <w:basedOn w:val="DefaultParagraphFont"/>
    <w:uiPriority w:val="99"/>
    <w:semiHidden/>
    <w:unhideWhenUsed/>
    <w:rsid w:val="00B177F5"/>
    <w:rPr>
      <w:color w:val="605E5C"/>
      <w:shd w:val="clear" w:color="auto" w:fill="E1DFDD"/>
    </w:rPr>
  </w:style>
  <w:style w:type="character" w:customStyle="1" w:styleId="UnresolvedMention10">
    <w:name w:val="Unresolved Mention10"/>
    <w:basedOn w:val="DefaultParagraphFont"/>
    <w:uiPriority w:val="99"/>
    <w:semiHidden/>
    <w:unhideWhenUsed/>
    <w:rsid w:val="00B177F5"/>
    <w:rPr>
      <w:color w:val="605E5C"/>
      <w:shd w:val="clear" w:color="auto" w:fill="E1DFDD"/>
    </w:rPr>
  </w:style>
  <w:style w:type="character" w:customStyle="1" w:styleId="UnresolvedMention11">
    <w:name w:val="Unresolved Mention11"/>
    <w:basedOn w:val="DefaultParagraphFont"/>
    <w:uiPriority w:val="99"/>
    <w:locked/>
    <w:rsid w:val="00B177F5"/>
    <w:rPr>
      <w:color w:val="605E5C"/>
      <w:shd w:val="clear" w:color="auto" w:fill="E1DFDD"/>
    </w:rPr>
  </w:style>
  <w:style w:type="character" w:customStyle="1" w:styleId="UnresolvedMention12">
    <w:name w:val="Unresolved Mention12"/>
    <w:basedOn w:val="DefaultParagraphFont"/>
    <w:uiPriority w:val="99"/>
    <w:semiHidden/>
    <w:unhideWhenUsed/>
    <w:rsid w:val="00B177F5"/>
    <w:rPr>
      <w:color w:val="605E5C"/>
      <w:shd w:val="clear" w:color="auto" w:fill="E1DFDD"/>
    </w:rPr>
  </w:style>
  <w:style w:type="character" w:customStyle="1" w:styleId="UnresolvedMention121">
    <w:name w:val="Unresolved Mention121"/>
    <w:basedOn w:val="DefaultParagraphFont"/>
    <w:uiPriority w:val="99"/>
    <w:semiHidden/>
    <w:unhideWhenUsed/>
    <w:rsid w:val="00B177F5"/>
    <w:rPr>
      <w:color w:val="605E5C"/>
      <w:shd w:val="clear" w:color="auto" w:fill="E1DFDD"/>
    </w:rPr>
  </w:style>
  <w:style w:type="character" w:customStyle="1" w:styleId="Heading2Char1">
    <w:name w:val="Heading 2 Char1"/>
    <w:basedOn w:val="DefaultParagraphFont"/>
    <w:uiPriority w:val="9"/>
    <w:semiHidden/>
    <w:rsid w:val="00B177F5"/>
    <w:rPr>
      <w:rFonts w:ascii="Calibri Light" w:eastAsia="Times New Roman" w:hAnsi="Calibri Light" w:cs="Times New Roman"/>
      <w:color w:val="2F5496"/>
      <w:sz w:val="26"/>
      <w:szCs w:val="26"/>
    </w:rPr>
  </w:style>
  <w:style w:type="character" w:customStyle="1" w:styleId="Heading3Char1">
    <w:name w:val="Heading 3 Char1"/>
    <w:basedOn w:val="DefaultParagraphFont"/>
    <w:uiPriority w:val="9"/>
    <w:semiHidden/>
    <w:rsid w:val="00B177F5"/>
    <w:rPr>
      <w:rFonts w:ascii="Calibri Light" w:eastAsia="Times New Roman" w:hAnsi="Calibri Light" w:cs="Times New Roman"/>
      <w:color w:val="1F3763"/>
      <w:sz w:val="24"/>
      <w:szCs w:val="24"/>
    </w:rPr>
  </w:style>
  <w:style w:type="character" w:customStyle="1" w:styleId="Heading6Char1">
    <w:name w:val="Heading 6 Char1"/>
    <w:basedOn w:val="DefaultParagraphFont"/>
    <w:uiPriority w:val="9"/>
    <w:semiHidden/>
    <w:rsid w:val="00B177F5"/>
    <w:rPr>
      <w:rFonts w:ascii="Calibri Light" w:eastAsia="Times New Roman" w:hAnsi="Calibri Light" w:cs="Times New Roman"/>
      <w:color w:val="1F3763"/>
    </w:rPr>
  </w:style>
  <w:style w:type="character" w:customStyle="1" w:styleId="Heading7Char1">
    <w:name w:val="Heading 7 Char1"/>
    <w:basedOn w:val="DefaultParagraphFont"/>
    <w:uiPriority w:val="9"/>
    <w:semiHidden/>
    <w:rsid w:val="00B177F5"/>
    <w:rPr>
      <w:rFonts w:ascii="Calibri Light" w:eastAsia="Times New Roman" w:hAnsi="Calibri Light" w:cs="Times New Roman"/>
      <w:i/>
      <w:iCs/>
      <w:color w:val="1F3763"/>
    </w:rPr>
  </w:style>
  <w:style w:type="character" w:customStyle="1" w:styleId="Heading8Char1">
    <w:name w:val="Heading 8 Char1"/>
    <w:basedOn w:val="DefaultParagraphFont"/>
    <w:uiPriority w:val="9"/>
    <w:semiHidden/>
    <w:rsid w:val="00B177F5"/>
    <w:rPr>
      <w:rFonts w:ascii="Calibri Light" w:eastAsia="Times New Roman" w:hAnsi="Calibri Light" w:cs="Times New Roman"/>
      <w:color w:val="272727"/>
      <w:sz w:val="21"/>
      <w:szCs w:val="21"/>
    </w:rPr>
  </w:style>
  <w:style w:type="character" w:customStyle="1" w:styleId="TitleChar1">
    <w:name w:val="Title Char1"/>
    <w:basedOn w:val="DefaultParagraphFont"/>
    <w:uiPriority w:val="10"/>
    <w:rsid w:val="00B177F5"/>
    <w:rPr>
      <w:rFonts w:ascii="Calibri Light" w:eastAsia="Times New Roman" w:hAnsi="Calibri Light" w:cs="Times New Roman"/>
      <w:spacing w:val="-10"/>
      <w:kern w:val="28"/>
      <w:sz w:val="56"/>
      <w:szCs w:val="56"/>
    </w:rPr>
  </w:style>
  <w:style w:type="character" w:customStyle="1" w:styleId="IntenseQuoteChar1">
    <w:name w:val="Intense Quote Char1"/>
    <w:basedOn w:val="DefaultParagraphFont"/>
    <w:uiPriority w:val="30"/>
    <w:rsid w:val="00B177F5"/>
    <w:rPr>
      <w:i/>
      <w:iCs/>
      <w:color w:val="4472C4"/>
    </w:rPr>
  </w:style>
  <w:style w:type="character" w:customStyle="1" w:styleId="QuoteChar1">
    <w:name w:val="Quote Char1"/>
    <w:basedOn w:val="DefaultParagraphFont"/>
    <w:uiPriority w:val="29"/>
    <w:rsid w:val="00B177F5"/>
    <w:rPr>
      <w:i/>
      <w:iCs/>
      <w:color w:val="404040"/>
    </w:rPr>
  </w:style>
  <w:style w:type="character" w:customStyle="1" w:styleId="SubtitleChar1">
    <w:name w:val="Subtitle Char1"/>
    <w:basedOn w:val="DefaultParagraphFont"/>
    <w:uiPriority w:val="11"/>
    <w:rsid w:val="00B177F5"/>
    <w:rPr>
      <w:rFonts w:eastAsia="Times New Roman"/>
      <w:color w:val="5A5A5A"/>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0427631">
      <w:bodyDiv w:val="1"/>
      <w:marLeft w:val="0"/>
      <w:marRight w:val="0"/>
      <w:marTop w:val="0"/>
      <w:marBottom w:val="0"/>
      <w:divBdr>
        <w:top w:val="none" w:sz="0" w:space="0" w:color="auto"/>
        <w:left w:val="none" w:sz="0" w:space="0" w:color="auto"/>
        <w:bottom w:val="none" w:sz="0" w:space="0" w:color="auto"/>
        <w:right w:val="none" w:sz="0" w:space="0" w:color="auto"/>
      </w:divBdr>
      <w:divsChild>
        <w:div w:id="1430809387">
          <w:marLeft w:val="0"/>
          <w:marRight w:val="0"/>
          <w:marTop w:val="0"/>
          <w:marBottom w:val="0"/>
          <w:divBdr>
            <w:top w:val="none" w:sz="0" w:space="0" w:color="auto"/>
            <w:left w:val="none" w:sz="0" w:space="0" w:color="auto"/>
            <w:bottom w:val="none" w:sz="0" w:space="0" w:color="auto"/>
            <w:right w:val="none" w:sz="0" w:space="0" w:color="auto"/>
          </w:divBdr>
          <w:divsChild>
            <w:div w:id="764423300">
              <w:marLeft w:val="0"/>
              <w:marRight w:val="0"/>
              <w:marTop w:val="0"/>
              <w:marBottom w:val="0"/>
              <w:divBdr>
                <w:top w:val="none" w:sz="0" w:space="0" w:color="auto"/>
                <w:left w:val="none" w:sz="0" w:space="0" w:color="auto"/>
                <w:bottom w:val="none" w:sz="0" w:space="0" w:color="auto"/>
                <w:right w:val="none" w:sz="0" w:space="0" w:color="auto"/>
              </w:divBdr>
              <w:divsChild>
                <w:div w:id="871527974">
                  <w:marLeft w:val="0"/>
                  <w:marRight w:val="0"/>
                  <w:marTop w:val="0"/>
                  <w:marBottom w:val="0"/>
                  <w:divBdr>
                    <w:top w:val="none" w:sz="0" w:space="0" w:color="auto"/>
                    <w:left w:val="none" w:sz="0" w:space="0" w:color="auto"/>
                    <w:bottom w:val="none" w:sz="0" w:space="0" w:color="auto"/>
                    <w:right w:val="none" w:sz="0" w:space="0" w:color="auto"/>
                  </w:divBdr>
                  <w:divsChild>
                    <w:div w:id="266624662">
                      <w:marLeft w:val="0"/>
                      <w:marRight w:val="0"/>
                      <w:marTop w:val="0"/>
                      <w:marBottom w:val="0"/>
                      <w:divBdr>
                        <w:top w:val="none" w:sz="0" w:space="0" w:color="auto"/>
                        <w:left w:val="none" w:sz="0" w:space="0" w:color="auto"/>
                        <w:bottom w:val="none" w:sz="0" w:space="0" w:color="auto"/>
                        <w:right w:val="none" w:sz="0" w:space="0" w:color="auto"/>
                      </w:divBdr>
                      <w:divsChild>
                        <w:div w:id="624190521">
                          <w:marLeft w:val="0"/>
                          <w:marRight w:val="0"/>
                          <w:marTop w:val="0"/>
                          <w:marBottom w:val="0"/>
                          <w:divBdr>
                            <w:top w:val="none" w:sz="0" w:space="0" w:color="auto"/>
                            <w:left w:val="none" w:sz="0" w:space="0" w:color="auto"/>
                            <w:bottom w:val="none" w:sz="0" w:space="0" w:color="auto"/>
                            <w:right w:val="none" w:sz="0" w:space="0" w:color="auto"/>
                          </w:divBdr>
                          <w:divsChild>
                            <w:div w:id="111285644">
                              <w:marLeft w:val="0"/>
                              <w:marRight w:val="0"/>
                              <w:marTop w:val="0"/>
                              <w:marBottom w:val="0"/>
                              <w:divBdr>
                                <w:top w:val="none" w:sz="0" w:space="0" w:color="auto"/>
                                <w:left w:val="none" w:sz="0" w:space="0" w:color="auto"/>
                                <w:bottom w:val="none" w:sz="0" w:space="0" w:color="auto"/>
                                <w:right w:val="none" w:sz="0" w:space="0" w:color="auto"/>
                              </w:divBdr>
                              <w:divsChild>
                                <w:div w:id="938487348">
                                  <w:marLeft w:val="0"/>
                                  <w:marRight w:val="0"/>
                                  <w:marTop w:val="0"/>
                                  <w:marBottom w:val="0"/>
                                  <w:divBdr>
                                    <w:top w:val="none" w:sz="0" w:space="0" w:color="auto"/>
                                    <w:left w:val="none" w:sz="0" w:space="0" w:color="auto"/>
                                    <w:bottom w:val="none" w:sz="0" w:space="0" w:color="auto"/>
                                    <w:right w:val="none" w:sz="0" w:space="0" w:color="auto"/>
                                  </w:divBdr>
                                  <w:divsChild>
                                    <w:div w:id="1361006719">
                                      <w:marLeft w:val="0"/>
                                      <w:marRight w:val="0"/>
                                      <w:marTop w:val="0"/>
                                      <w:marBottom w:val="0"/>
                                      <w:divBdr>
                                        <w:top w:val="none" w:sz="0" w:space="0" w:color="auto"/>
                                        <w:left w:val="none" w:sz="0" w:space="0" w:color="auto"/>
                                        <w:bottom w:val="none" w:sz="0" w:space="0" w:color="auto"/>
                                        <w:right w:val="none" w:sz="0" w:space="0" w:color="auto"/>
                                      </w:divBdr>
                                      <w:divsChild>
                                        <w:div w:id="1964145374">
                                          <w:marLeft w:val="0"/>
                                          <w:marRight w:val="0"/>
                                          <w:marTop w:val="0"/>
                                          <w:marBottom w:val="0"/>
                                          <w:divBdr>
                                            <w:top w:val="none" w:sz="0" w:space="0" w:color="auto"/>
                                            <w:left w:val="none" w:sz="0" w:space="0" w:color="auto"/>
                                            <w:bottom w:val="none" w:sz="0" w:space="0" w:color="auto"/>
                                            <w:right w:val="none" w:sz="0" w:space="0" w:color="auto"/>
                                          </w:divBdr>
                                          <w:divsChild>
                                            <w:div w:id="821240831">
                                              <w:marLeft w:val="0"/>
                                              <w:marRight w:val="0"/>
                                              <w:marTop w:val="0"/>
                                              <w:marBottom w:val="0"/>
                                              <w:divBdr>
                                                <w:top w:val="none" w:sz="0" w:space="0" w:color="auto"/>
                                                <w:left w:val="none" w:sz="0" w:space="0" w:color="auto"/>
                                                <w:bottom w:val="none" w:sz="0" w:space="0" w:color="auto"/>
                                                <w:right w:val="none" w:sz="0" w:space="0" w:color="auto"/>
                                              </w:divBdr>
                                              <w:divsChild>
                                                <w:div w:id="1982224375">
                                                  <w:marLeft w:val="0"/>
                                                  <w:marRight w:val="0"/>
                                                  <w:marTop w:val="0"/>
                                                  <w:marBottom w:val="0"/>
                                                  <w:divBdr>
                                                    <w:top w:val="none" w:sz="0" w:space="0" w:color="auto"/>
                                                    <w:left w:val="none" w:sz="0" w:space="0" w:color="auto"/>
                                                    <w:bottom w:val="none" w:sz="0" w:space="0" w:color="auto"/>
                                                    <w:right w:val="none" w:sz="0" w:space="0" w:color="auto"/>
                                                  </w:divBdr>
                                                  <w:divsChild>
                                                    <w:div w:id="1363633325">
                                                      <w:marLeft w:val="0"/>
                                                      <w:marRight w:val="0"/>
                                                      <w:marTop w:val="0"/>
                                                      <w:marBottom w:val="0"/>
                                                      <w:divBdr>
                                                        <w:top w:val="single" w:sz="12" w:space="0" w:color="ABABAB"/>
                                                        <w:left w:val="single" w:sz="6" w:space="0" w:color="ABABAB"/>
                                                        <w:bottom w:val="none" w:sz="0" w:space="0" w:color="auto"/>
                                                        <w:right w:val="single" w:sz="6" w:space="0" w:color="ABABAB"/>
                                                      </w:divBdr>
                                                      <w:divsChild>
                                                        <w:div w:id="1246961018">
                                                          <w:marLeft w:val="0"/>
                                                          <w:marRight w:val="0"/>
                                                          <w:marTop w:val="0"/>
                                                          <w:marBottom w:val="0"/>
                                                          <w:divBdr>
                                                            <w:top w:val="none" w:sz="0" w:space="0" w:color="auto"/>
                                                            <w:left w:val="none" w:sz="0" w:space="0" w:color="auto"/>
                                                            <w:bottom w:val="none" w:sz="0" w:space="0" w:color="auto"/>
                                                            <w:right w:val="none" w:sz="0" w:space="0" w:color="auto"/>
                                                          </w:divBdr>
                                                          <w:divsChild>
                                                            <w:div w:id="589319228">
                                                              <w:marLeft w:val="0"/>
                                                              <w:marRight w:val="0"/>
                                                              <w:marTop w:val="0"/>
                                                              <w:marBottom w:val="0"/>
                                                              <w:divBdr>
                                                                <w:top w:val="none" w:sz="0" w:space="0" w:color="auto"/>
                                                                <w:left w:val="none" w:sz="0" w:space="0" w:color="auto"/>
                                                                <w:bottom w:val="none" w:sz="0" w:space="0" w:color="auto"/>
                                                                <w:right w:val="none" w:sz="0" w:space="0" w:color="auto"/>
                                                              </w:divBdr>
                                                              <w:divsChild>
                                                                <w:div w:id="1374504349">
                                                                  <w:marLeft w:val="0"/>
                                                                  <w:marRight w:val="0"/>
                                                                  <w:marTop w:val="0"/>
                                                                  <w:marBottom w:val="0"/>
                                                                  <w:divBdr>
                                                                    <w:top w:val="none" w:sz="0" w:space="0" w:color="auto"/>
                                                                    <w:left w:val="none" w:sz="0" w:space="0" w:color="auto"/>
                                                                    <w:bottom w:val="none" w:sz="0" w:space="0" w:color="auto"/>
                                                                    <w:right w:val="none" w:sz="0" w:space="0" w:color="auto"/>
                                                                  </w:divBdr>
                                                                  <w:divsChild>
                                                                    <w:div w:id="830831029">
                                                                      <w:marLeft w:val="0"/>
                                                                      <w:marRight w:val="0"/>
                                                                      <w:marTop w:val="0"/>
                                                                      <w:marBottom w:val="0"/>
                                                                      <w:divBdr>
                                                                        <w:top w:val="none" w:sz="0" w:space="0" w:color="auto"/>
                                                                        <w:left w:val="none" w:sz="0" w:space="0" w:color="auto"/>
                                                                        <w:bottom w:val="none" w:sz="0" w:space="0" w:color="auto"/>
                                                                        <w:right w:val="none" w:sz="0" w:space="0" w:color="auto"/>
                                                                      </w:divBdr>
                                                                      <w:divsChild>
                                                                        <w:div w:id="129595885">
                                                                          <w:marLeft w:val="0"/>
                                                                          <w:marRight w:val="0"/>
                                                                          <w:marTop w:val="0"/>
                                                                          <w:marBottom w:val="0"/>
                                                                          <w:divBdr>
                                                                            <w:top w:val="none" w:sz="0" w:space="0" w:color="auto"/>
                                                                            <w:left w:val="none" w:sz="0" w:space="0" w:color="auto"/>
                                                                            <w:bottom w:val="none" w:sz="0" w:space="0" w:color="auto"/>
                                                                            <w:right w:val="none" w:sz="0" w:space="0" w:color="auto"/>
                                                                          </w:divBdr>
                                                                          <w:divsChild>
                                                                            <w:div w:id="1502041217">
                                                                              <w:marLeft w:val="0"/>
                                                                              <w:marRight w:val="0"/>
                                                                              <w:marTop w:val="0"/>
                                                                              <w:marBottom w:val="0"/>
                                                                              <w:divBdr>
                                                                                <w:top w:val="none" w:sz="0" w:space="0" w:color="auto"/>
                                                                                <w:left w:val="none" w:sz="0" w:space="0" w:color="auto"/>
                                                                                <w:bottom w:val="none" w:sz="0" w:space="0" w:color="auto"/>
                                                                                <w:right w:val="none" w:sz="0" w:space="0" w:color="auto"/>
                                                                              </w:divBdr>
                                                                              <w:divsChild>
                                                                                <w:div w:id="2113501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4185395">
      <w:bodyDiv w:val="1"/>
      <w:marLeft w:val="0"/>
      <w:marRight w:val="0"/>
      <w:marTop w:val="0"/>
      <w:marBottom w:val="0"/>
      <w:divBdr>
        <w:top w:val="none" w:sz="0" w:space="0" w:color="auto"/>
        <w:left w:val="none" w:sz="0" w:space="0" w:color="auto"/>
        <w:bottom w:val="none" w:sz="0" w:space="0" w:color="auto"/>
        <w:right w:val="none" w:sz="0" w:space="0" w:color="auto"/>
      </w:divBdr>
    </w:div>
    <w:div w:id="72557879">
      <w:bodyDiv w:val="1"/>
      <w:marLeft w:val="0"/>
      <w:marRight w:val="0"/>
      <w:marTop w:val="0"/>
      <w:marBottom w:val="0"/>
      <w:divBdr>
        <w:top w:val="none" w:sz="0" w:space="0" w:color="auto"/>
        <w:left w:val="none" w:sz="0" w:space="0" w:color="auto"/>
        <w:bottom w:val="none" w:sz="0" w:space="0" w:color="auto"/>
        <w:right w:val="none" w:sz="0" w:space="0" w:color="auto"/>
      </w:divBdr>
    </w:div>
    <w:div w:id="73473797">
      <w:bodyDiv w:val="1"/>
      <w:marLeft w:val="0"/>
      <w:marRight w:val="0"/>
      <w:marTop w:val="0"/>
      <w:marBottom w:val="0"/>
      <w:divBdr>
        <w:top w:val="none" w:sz="0" w:space="0" w:color="auto"/>
        <w:left w:val="none" w:sz="0" w:space="0" w:color="auto"/>
        <w:bottom w:val="none" w:sz="0" w:space="0" w:color="auto"/>
        <w:right w:val="none" w:sz="0" w:space="0" w:color="auto"/>
      </w:divBdr>
      <w:divsChild>
        <w:div w:id="536353584">
          <w:marLeft w:val="0"/>
          <w:marRight w:val="0"/>
          <w:marTop w:val="0"/>
          <w:marBottom w:val="0"/>
          <w:divBdr>
            <w:top w:val="none" w:sz="0" w:space="0" w:color="auto"/>
            <w:left w:val="none" w:sz="0" w:space="0" w:color="auto"/>
            <w:bottom w:val="none" w:sz="0" w:space="0" w:color="auto"/>
            <w:right w:val="none" w:sz="0" w:space="0" w:color="auto"/>
          </w:divBdr>
          <w:divsChild>
            <w:div w:id="1129934803">
              <w:marLeft w:val="0"/>
              <w:marRight w:val="0"/>
              <w:marTop w:val="0"/>
              <w:marBottom w:val="0"/>
              <w:divBdr>
                <w:top w:val="none" w:sz="0" w:space="0" w:color="auto"/>
                <w:left w:val="none" w:sz="0" w:space="0" w:color="auto"/>
                <w:bottom w:val="none" w:sz="0" w:space="0" w:color="auto"/>
                <w:right w:val="none" w:sz="0" w:space="0" w:color="auto"/>
              </w:divBdr>
              <w:divsChild>
                <w:div w:id="1981376100">
                  <w:marLeft w:val="0"/>
                  <w:marRight w:val="0"/>
                  <w:marTop w:val="0"/>
                  <w:marBottom w:val="0"/>
                  <w:divBdr>
                    <w:top w:val="none" w:sz="0" w:space="0" w:color="auto"/>
                    <w:left w:val="none" w:sz="0" w:space="0" w:color="auto"/>
                    <w:bottom w:val="none" w:sz="0" w:space="0" w:color="auto"/>
                    <w:right w:val="none" w:sz="0" w:space="0" w:color="auto"/>
                  </w:divBdr>
                  <w:divsChild>
                    <w:div w:id="1787653124">
                      <w:marLeft w:val="0"/>
                      <w:marRight w:val="0"/>
                      <w:marTop w:val="0"/>
                      <w:marBottom w:val="0"/>
                      <w:divBdr>
                        <w:top w:val="none" w:sz="0" w:space="0" w:color="auto"/>
                        <w:left w:val="none" w:sz="0" w:space="0" w:color="auto"/>
                        <w:bottom w:val="none" w:sz="0" w:space="0" w:color="auto"/>
                        <w:right w:val="none" w:sz="0" w:space="0" w:color="auto"/>
                      </w:divBdr>
                      <w:divsChild>
                        <w:div w:id="351879762">
                          <w:marLeft w:val="0"/>
                          <w:marRight w:val="0"/>
                          <w:marTop w:val="0"/>
                          <w:marBottom w:val="0"/>
                          <w:divBdr>
                            <w:top w:val="none" w:sz="0" w:space="0" w:color="auto"/>
                            <w:left w:val="none" w:sz="0" w:space="0" w:color="auto"/>
                            <w:bottom w:val="none" w:sz="0" w:space="0" w:color="auto"/>
                            <w:right w:val="none" w:sz="0" w:space="0" w:color="auto"/>
                          </w:divBdr>
                          <w:divsChild>
                            <w:div w:id="349795443">
                              <w:marLeft w:val="0"/>
                              <w:marRight w:val="0"/>
                              <w:marTop w:val="0"/>
                              <w:marBottom w:val="0"/>
                              <w:divBdr>
                                <w:top w:val="none" w:sz="0" w:space="0" w:color="auto"/>
                                <w:left w:val="none" w:sz="0" w:space="0" w:color="auto"/>
                                <w:bottom w:val="none" w:sz="0" w:space="0" w:color="auto"/>
                                <w:right w:val="none" w:sz="0" w:space="0" w:color="auto"/>
                              </w:divBdr>
                              <w:divsChild>
                                <w:div w:id="853767934">
                                  <w:marLeft w:val="0"/>
                                  <w:marRight w:val="0"/>
                                  <w:marTop w:val="0"/>
                                  <w:marBottom w:val="0"/>
                                  <w:divBdr>
                                    <w:top w:val="none" w:sz="0" w:space="0" w:color="auto"/>
                                    <w:left w:val="none" w:sz="0" w:space="0" w:color="auto"/>
                                    <w:bottom w:val="none" w:sz="0" w:space="0" w:color="auto"/>
                                    <w:right w:val="none" w:sz="0" w:space="0" w:color="auto"/>
                                  </w:divBdr>
                                  <w:divsChild>
                                    <w:div w:id="393893648">
                                      <w:marLeft w:val="0"/>
                                      <w:marRight w:val="0"/>
                                      <w:marTop w:val="0"/>
                                      <w:marBottom w:val="0"/>
                                      <w:divBdr>
                                        <w:top w:val="none" w:sz="0" w:space="0" w:color="auto"/>
                                        <w:left w:val="none" w:sz="0" w:space="0" w:color="auto"/>
                                        <w:bottom w:val="none" w:sz="0" w:space="0" w:color="auto"/>
                                        <w:right w:val="none" w:sz="0" w:space="0" w:color="auto"/>
                                      </w:divBdr>
                                      <w:divsChild>
                                        <w:div w:id="221067629">
                                          <w:marLeft w:val="0"/>
                                          <w:marRight w:val="0"/>
                                          <w:marTop w:val="0"/>
                                          <w:marBottom w:val="0"/>
                                          <w:divBdr>
                                            <w:top w:val="none" w:sz="0" w:space="0" w:color="auto"/>
                                            <w:left w:val="none" w:sz="0" w:space="0" w:color="auto"/>
                                            <w:bottom w:val="none" w:sz="0" w:space="0" w:color="auto"/>
                                            <w:right w:val="none" w:sz="0" w:space="0" w:color="auto"/>
                                          </w:divBdr>
                                          <w:divsChild>
                                            <w:div w:id="18361014">
                                              <w:marLeft w:val="0"/>
                                              <w:marRight w:val="0"/>
                                              <w:marTop w:val="0"/>
                                              <w:marBottom w:val="0"/>
                                              <w:divBdr>
                                                <w:top w:val="none" w:sz="0" w:space="0" w:color="auto"/>
                                                <w:left w:val="none" w:sz="0" w:space="0" w:color="auto"/>
                                                <w:bottom w:val="none" w:sz="0" w:space="0" w:color="auto"/>
                                                <w:right w:val="none" w:sz="0" w:space="0" w:color="auto"/>
                                              </w:divBdr>
                                              <w:divsChild>
                                                <w:div w:id="836462182">
                                                  <w:marLeft w:val="0"/>
                                                  <w:marRight w:val="0"/>
                                                  <w:marTop w:val="0"/>
                                                  <w:marBottom w:val="0"/>
                                                  <w:divBdr>
                                                    <w:top w:val="none" w:sz="0" w:space="0" w:color="auto"/>
                                                    <w:left w:val="none" w:sz="0" w:space="0" w:color="auto"/>
                                                    <w:bottom w:val="none" w:sz="0" w:space="0" w:color="auto"/>
                                                    <w:right w:val="none" w:sz="0" w:space="0" w:color="auto"/>
                                                  </w:divBdr>
                                                  <w:divsChild>
                                                    <w:div w:id="1806462648">
                                                      <w:marLeft w:val="0"/>
                                                      <w:marRight w:val="0"/>
                                                      <w:marTop w:val="0"/>
                                                      <w:marBottom w:val="0"/>
                                                      <w:divBdr>
                                                        <w:top w:val="single" w:sz="12" w:space="0" w:color="ABABAB"/>
                                                        <w:left w:val="single" w:sz="6" w:space="0" w:color="ABABAB"/>
                                                        <w:bottom w:val="none" w:sz="0" w:space="0" w:color="auto"/>
                                                        <w:right w:val="single" w:sz="6" w:space="0" w:color="ABABAB"/>
                                                      </w:divBdr>
                                                      <w:divsChild>
                                                        <w:div w:id="1116099809">
                                                          <w:marLeft w:val="0"/>
                                                          <w:marRight w:val="0"/>
                                                          <w:marTop w:val="0"/>
                                                          <w:marBottom w:val="0"/>
                                                          <w:divBdr>
                                                            <w:top w:val="none" w:sz="0" w:space="0" w:color="auto"/>
                                                            <w:left w:val="none" w:sz="0" w:space="0" w:color="auto"/>
                                                            <w:bottom w:val="none" w:sz="0" w:space="0" w:color="auto"/>
                                                            <w:right w:val="none" w:sz="0" w:space="0" w:color="auto"/>
                                                          </w:divBdr>
                                                          <w:divsChild>
                                                            <w:div w:id="1734039129">
                                                              <w:marLeft w:val="0"/>
                                                              <w:marRight w:val="0"/>
                                                              <w:marTop w:val="0"/>
                                                              <w:marBottom w:val="0"/>
                                                              <w:divBdr>
                                                                <w:top w:val="none" w:sz="0" w:space="0" w:color="auto"/>
                                                                <w:left w:val="none" w:sz="0" w:space="0" w:color="auto"/>
                                                                <w:bottom w:val="none" w:sz="0" w:space="0" w:color="auto"/>
                                                                <w:right w:val="none" w:sz="0" w:space="0" w:color="auto"/>
                                                              </w:divBdr>
                                                              <w:divsChild>
                                                                <w:div w:id="1697190479">
                                                                  <w:marLeft w:val="0"/>
                                                                  <w:marRight w:val="0"/>
                                                                  <w:marTop w:val="0"/>
                                                                  <w:marBottom w:val="0"/>
                                                                  <w:divBdr>
                                                                    <w:top w:val="none" w:sz="0" w:space="0" w:color="auto"/>
                                                                    <w:left w:val="none" w:sz="0" w:space="0" w:color="auto"/>
                                                                    <w:bottom w:val="none" w:sz="0" w:space="0" w:color="auto"/>
                                                                    <w:right w:val="none" w:sz="0" w:space="0" w:color="auto"/>
                                                                  </w:divBdr>
                                                                  <w:divsChild>
                                                                    <w:div w:id="2126192128">
                                                                      <w:marLeft w:val="0"/>
                                                                      <w:marRight w:val="0"/>
                                                                      <w:marTop w:val="0"/>
                                                                      <w:marBottom w:val="0"/>
                                                                      <w:divBdr>
                                                                        <w:top w:val="none" w:sz="0" w:space="0" w:color="auto"/>
                                                                        <w:left w:val="none" w:sz="0" w:space="0" w:color="auto"/>
                                                                        <w:bottom w:val="none" w:sz="0" w:space="0" w:color="auto"/>
                                                                        <w:right w:val="none" w:sz="0" w:space="0" w:color="auto"/>
                                                                      </w:divBdr>
                                                                      <w:divsChild>
                                                                        <w:div w:id="306249861">
                                                                          <w:marLeft w:val="0"/>
                                                                          <w:marRight w:val="0"/>
                                                                          <w:marTop w:val="0"/>
                                                                          <w:marBottom w:val="0"/>
                                                                          <w:divBdr>
                                                                            <w:top w:val="none" w:sz="0" w:space="0" w:color="auto"/>
                                                                            <w:left w:val="none" w:sz="0" w:space="0" w:color="auto"/>
                                                                            <w:bottom w:val="none" w:sz="0" w:space="0" w:color="auto"/>
                                                                            <w:right w:val="none" w:sz="0" w:space="0" w:color="auto"/>
                                                                          </w:divBdr>
                                                                          <w:divsChild>
                                                                            <w:div w:id="1959336545">
                                                                              <w:marLeft w:val="0"/>
                                                                              <w:marRight w:val="0"/>
                                                                              <w:marTop w:val="0"/>
                                                                              <w:marBottom w:val="0"/>
                                                                              <w:divBdr>
                                                                                <w:top w:val="none" w:sz="0" w:space="0" w:color="auto"/>
                                                                                <w:left w:val="none" w:sz="0" w:space="0" w:color="auto"/>
                                                                                <w:bottom w:val="none" w:sz="0" w:space="0" w:color="auto"/>
                                                                                <w:right w:val="none" w:sz="0" w:space="0" w:color="auto"/>
                                                                              </w:divBdr>
                                                                              <w:divsChild>
                                                                                <w:div w:id="2126459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5712908">
      <w:bodyDiv w:val="1"/>
      <w:marLeft w:val="0"/>
      <w:marRight w:val="0"/>
      <w:marTop w:val="0"/>
      <w:marBottom w:val="0"/>
      <w:divBdr>
        <w:top w:val="none" w:sz="0" w:space="0" w:color="auto"/>
        <w:left w:val="none" w:sz="0" w:space="0" w:color="auto"/>
        <w:bottom w:val="none" w:sz="0" w:space="0" w:color="auto"/>
        <w:right w:val="none" w:sz="0" w:space="0" w:color="auto"/>
      </w:divBdr>
    </w:div>
    <w:div w:id="98834676">
      <w:bodyDiv w:val="1"/>
      <w:marLeft w:val="0"/>
      <w:marRight w:val="0"/>
      <w:marTop w:val="0"/>
      <w:marBottom w:val="0"/>
      <w:divBdr>
        <w:top w:val="none" w:sz="0" w:space="0" w:color="auto"/>
        <w:left w:val="none" w:sz="0" w:space="0" w:color="auto"/>
        <w:bottom w:val="none" w:sz="0" w:space="0" w:color="auto"/>
        <w:right w:val="none" w:sz="0" w:space="0" w:color="auto"/>
      </w:divBdr>
    </w:div>
    <w:div w:id="119963490">
      <w:bodyDiv w:val="1"/>
      <w:marLeft w:val="0"/>
      <w:marRight w:val="0"/>
      <w:marTop w:val="0"/>
      <w:marBottom w:val="0"/>
      <w:divBdr>
        <w:top w:val="none" w:sz="0" w:space="0" w:color="auto"/>
        <w:left w:val="none" w:sz="0" w:space="0" w:color="auto"/>
        <w:bottom w:val="none" w:sz="0" w:space="0" w:color="auto"/>
        <w:right w:val="none" w:sz="0" w:space="0" w:color="auto"/>
      </w:divBdr>
    </w:div>
    <w:div w:id="145896081">
      <w:bodyDiv w:val="1"/>
      <w:marLeft w:val="0"/>
      <w:marRight w:val="0"/>
      <w:marTop w:val="0"/>
      <w:marBottom w:val="0"/>
      <w:divBdr>
        <w:top w:val="none" w:sz="0" w:space="0" w:color="auto"/>
        <w:left w:val="none" w:sz="0" w:space="0" w:color="auto"/>
        <w:bottom w:val="none" w:sz="0" w:space="0" w:color="auto"/>
        <w:right w:val="none" w:sz="0" w:space="0" w:color="auto"/>
      </w:divBdr>
    </w:div>
    <w:div w:id="247541375">
      <w:bodyDiv w:val="1"/>
      <w:marLeft w:val="0"/>
      <w:marRight w:val="0"/>
      <w:marTop w:val="0"/>
      <w:marBottom w:val="0"/>
      <w:divBdr>
        <w:top w:val="none" w:sz="0" w:space="0" w:color="auto"/>
        <w:left w:val="none" w:sz="0" w:space="0" w:color="auto"/>
        <w:bottom w:val="none" w:sz="0" w:space="0" w:color="auto"/>
        <w:right w:val="none" w:sz="0" w:space="0" w:color="auto"/>
      </w:divBdr>
    </w:div>
    <w:div w:id="272446714">
      <w:bodyDiv w:val="1"/>
      <w:marLeft w:val="0"/>
      <w:marRight w:val="0"/>
      <w:marTop w:val="0"/>
      <w:marBottom w:val="0"/>
      <w:divBdr>
        <w:top w:val="none" w:sz="0" w:space="0" w:color="auto"/>
        <w:left w:val="none" w:sz="0" w:space="0" w:color="auto"/>
        <w:bottom w:val="none" w:sz="0" w:space="0" w:color="auto"/>
        <w:right w:val="none" w:sz="0" w:space="0" w:color="auto"/>
      </w:divBdr>
    </w:div>
    <w:div w:id="278801615">
      <w:bodyDiv w:val="1"/>
      <w:marLeft w:val="0"/>
      <w:marRight w:val="0"/>
      <w:marTop w:val="0"/>
      <w:marBottom w:val="0"/>
      <w:divBdr>
        <w:top w:val="none" w:sz="0" w:space="0" w:color="auto"/>
        <w:left w:val="none" w:sz="0" w:space="0" w:color="auto"/>
        <w:bottom w:val="none" w:sz="0" w:space="0" w:color="auto"/>
        <w:right w:val="none" w:sz="0" w:space="0" w:color="auto"/>
      </w:divBdr>
    </w:div>
    <w:div w:id="279147833">
      <w:bodyDiv w:val="1"/>
      <w:marLeft w:val="0"/>
      <w:marRight w:val="0"/>
      <w:marTop w:val="0"/>
      <w:marBottom w:val="0"/>
      <w:divBdr>
        <w:top w:val="none" w:sz="0" w:space="0" w:color="auto"/>
        <w:left w:val="none" w:sz="0" w:space="0" w:color="auto"/>
        <w:bottom w:val="none" w:sz="0" w:space="0" w:color="auto"/>
        <w:right w:val="none" w:sz="0" w:space="0" w:color="auto"/>
      </w:divBdr>
    </w:div>
    <w:div w:id="353531345">
      <w:bodyDiv w:val="1"/>
      <w:marLeft w:val="0"/>
      <w:marRight w:val="0"/>
      <w:marTop w:val="0"/>
      <w:marBottom w:val="0"/>
      <w:divBdr>
        <w:top w:val="none" w:sz="0" w:space="0" w:color="auto"/>
        <w:left w:val="none" w:sz="0" w:space="0" w:color="auto"/>
        <w:bottom w:val="none" w:sz="0" w:space="0" w:color="auto"/>
        <w:right w:val="none" w:sz="0" w:space="0" w:color="auto"/>
      </w:divBdr>
    </w:div>
    <w:div w:id="371153621">
      <w:bodyDiv w:val="1"/>
      <w:marLeft w:val="0"/>
      <w:marRight w:val="0"/>
      <w:marTop w:val="0"/>
      <w:marBottom w:val="0"/>
      <w:divBdr>
        <w:top w:val="none" w:sz="0" w:space="0" w:color="auto"/>
        <w:left w:val="none" w:sz="0" w:space="0" w:color="auto"/>
        <w:bottom w:val="none" w:sz="0" w:space="0" w:color="auto"/>
        <w:right w:val="none" w:sz="0" w:space="0" w:color="auto"/>
      </w:divBdr>
    </w:div>
    <w:div w:id="420836247">
      <w:bodyDiv w:val="1"/>
      <w:marLeft w:val="0"/>
      <w:marRight w:val="0"/>
      <w:marTop w:val="0"/>
      <w:marBottom w:val="0"/>
      <w:divBdr>
        <w:top w:val="none" w:sz="0" w:space="0" w:color="auto"/>
        <w:left w:val="none" w:sz="0" w:space="0" w:color="auto"/>
        <w:bottom w:val="none" w:sz="0" w:space="0" w:color="auto"/>
        <w:right w:val="none" w:sz="0" w:space="0" w:color="auto"/>
      </w:divBdr>
    </w:div>
    <w:div w:id="455608342">
      <w:bodyDiv w:val="1"/>
      <w:marLeft w:val="0"/>
      <w:marRight w:val="0"/>
      <w:marTop w:val="0"/>
      <w:marBottom w:val="0"/>
      <w:divBdr>
        <w:top w:val="none" w:sz="0" w:space="0" w:color="auto"/>
        <w:left w:val="none" w:sz="0" w:space="0" w:color="auto"/>
        <w:bottom w:val="none" w:sz="0" w:space="0" w:color="auto"/>
        <w:right w:val="none" w:sz="0" w:space="0" w:color="auto"/>
      </w:divBdr>
    </w:div>
    <w:div w:id="507402965">
      <w:bodyDiv w:val="1"/>
      <w:marLeft w:val="0"/>
      <w:marRight w:val="0"/>
      <w:marTop w:val="0"/>
      <w:marBottom w:val="0"/>
      <w:divBdr>
        <w:top w:val="none" w:sz="0" w:space="0" w:color="auto"/>
        <w:left w:val="none" w:sz="0" w:space="0" w:color="auto"/>
        <w:bottom w:val="none" w:sz="0" w:space="0" w:color="auto"/>
        <w:right w:val="none" w:sz="0" w:space="0" w:color="auto"/>
      </w:divBdr>
      <w:divsChild>
        <w:div w:id="752779130">
          <w:marLeft w:val="0"/>
          <w:marRight w:val="0"/>
          <w:marTop w:val="0"/>
          <w:marBottom w:val="0"/>
          <w:divBdr>
            <w:top w:val="none" w:sz="0" w:space="0" w:color="auto"/>
            <w:left w:val="none" w:sz="0" w:space="0" w:color="auto"/>
            <w:bottom w:val="none" w:sz="0" w:space="0" w:color="auto"/>
            <w:right w:val="none" w:sz="0" w:space="0" w:color="auto"/>
          </w:divBdr>
          <w:divsChild>
            <w:div w:id="636110304">
              <w:marLeft w:val="0"/>
              <w:marRight w:val="0"/>
              <w:marTop w:val="0"/>
              <w:marBottom w:val="0"/>
              <w:divBdr>
                <w:top w:val="none" w:sz="0" w:space="0" w:color="auto"/>
                <w:left w:val="none" w:sz="0" w:space="0" w:color="auto"/>
                <w:bottom w:val="none" w:sz="0" w:space="0" w:color="auto"/>
                <w:right w:val="none" w:sz="0" w:space="0" w:color="auto"/>
              </w:divBdr>
              <w:divsChild>
                <w:div w:id="466893996">
                  <w:marLeft w:val="0"/>
                  <w:marRight w:val="0"/>
                  <w:marTop w:val="0"/>
                  <w:marBottom w:val="0"/>
                  <w:divBdr>
                    <w:top w:val="none" w:sz="0" w:space="0" w:color="auto"/>
                    <w:left w:val="none" w:sz="0" w:space="0" w:color="auto"/>
                    <w:bottom w:val="none" w:sz="0" w:space="0" w:color="auto"/>
                    <w:right w:val="none" w:sz="0" w:space="0" w:color="auto"/>
                  </w:divBdr>
                  <w:divsChild>
                    <w:div w:id="1455826390">
                      <w:marLeft w:val="0"/>
                      <w:marRight w:val="0"/>
                      <w:marTop w:val="0"/>
                      <w:marBottom w:val="0"/>
                      <w:divBdr>
                        <w:top w:val="none" w:sz="0" w:space="0" w:color="auto"/>
                        <w:left w:val="none" w:sz="0" w:space="0" w:color="auto"/>
                        <w:bottom w:val="none" w:sz="0" w:space="0" w:color="auto"/>
                        <w:right w:val="none" w:sz="0" w:space="0" w:color="auto"/>
                      </w:divBdr>
                      <w:divsChild>
                        <w:div w:id="1750880394">
                          <w:marLeft w:val="0"/>
                          <w:marRight w:val="0"/>
                          <w:marTop w:val="0"/>
                          <w:marBottom w:val="0"/>
                          <w:divBdr>
                            <w:top w:val="none" w:sz="0" w:space="0" w:color="auto"/>
                            <w:left w:val="none" w:sz="0" w:space="0" w:color="auto"/>
                            <w:bottom w:val="none" w:sz="0" w:space="0" w:color="auto"/>
                            <w:right w:val="none" w:sz="0" w:space="0" w:color="auto"/>
                          </w:divBdr>
                          <w:divsChild>
                            <w:div w:id="764424592">
                              <w:marLeft w:val="0"/>
                              <w:marRight w:val="0"/>
                              <w:marTop w:val="0"/>
                              <w:marBottom w:val="0"/>
                              <w:divBdr>
                                <w:top w:val="none" w:sz="0" w:space="0" w:color="auto"/>
                                <w:left w:val="none" w:sz="0" w:space="0" w:color="auto"/>
                                <w:bottom w:val="none" w:sz="0" w:space="0" w:color="auto"/>
                                <w:right w:val="none" w:sz="0" w:space="0" w:color="auto"/>
                              </w:divBdr>
                              <w:divsChild>
                                <w:div w:id="1828091560">
                                  <w:marLeft w:val="0"/>
                                  <w:marRight w:val="0"/>
                                  <w:marTop w:val="0"/>
                                  <w:marBottom w:val="0"/>
                                  <w:divBdr>
                                    <w:top w:val="none" w:sz="0" w:space="0" w:color="auto"/>
                                    <w:left w:val="none" w:sz="0" w:space="0" w:color="auto"/>
                                    <w:bottom w:val="none" w:sz="0" w:space="0" w:color="auto"/>
                                    <w:right w:val="none" w:sz="0" w:space="0" w:color="auto"/>
                                  </w:divBdr>
                                  <w:divsChild>
                                    <w:div w:id="1653439282">
                                      <w:marLeft w:val="0"/>
                                      <w:marRight w:val="0"/>
                                      <w:marTop w:val="0"/>
                                      <w:marBottom w:val="0"/>
                                      <w:divBdr>
                                        <w:top w:val="none" w:sz="0" w:space="0" w:color="auto"/>
                                        <w:left w:val="none" w:sz="0" w:space="0" w:color="auto"/>
                                        <w:bottom w:val="none" w:sz="0" w:space="0" w:color="auto"/>
                                        <w:right w:val="none" w:sz="0" w:space="0" w:color="auto"/>
                                      </w:divBdr>
                                      <w:divsChild>
                                        <w:div w:id="179971377">
                                          <w:marLeft w:val="0"/>
                                          <w:marRight w:val="0"/>
                                          <w:marTop w:val="0"/>
                                          <w:marBottom w:val="0"/>
                                          <w:divBdr>
                                            <w:top w:val="none" w:sz="0" w:space="0" w:color="auto"/>
                                            <w:left w:val="none" w:sz="0" w:space="0" w:color="auto"/>
                                            <w:bottom w:val="none" w:sz="0" w:space="0" w:color="auto"/>
                                            <w:right w:val="none" w:sz="0" w:space="0" w:color="auto"/>
                                          </w:divBdr>
                                          <w:divsChild>
                                            <w:div w:id="899752636">
                                              <w:marLeft w:val="0"/>
                                              <w:marRight w:val="0"/>
                                              <w:marTop w:val="0"/>
                                              <w:marBottom w:val="0"/>
                                              <w:divBdr>
                                                <w:top w:val="none" w:sz="0" w:space="0" w:color="auto"/>
                                                <w:left w:val="none" w:sz="0" w:space="0" w:color="auto"/>
                                                <w:bottom w:val="none" w:sz="0" w:space="0" w:color="auto"/>
                                                <w:right w:val="none" w:sz="0" w:space="0" w:color="auto"/>
                                              </w:divBdr>
                                              <w:divsChild>
                                                <w:div w:id="1190878132">
                                                  <w:marLeft w:val="0"/>
                                                  <w:marRight w:val="0"/>
                                                  <w:marTop w:val="0"/>
                                                  <w:marBottom w:val="0"/>
                                                  <w:divBdr>
                                                    <w:top w:val="none" w:sz="0" w:space="0" w:color="auto"/>
                                                    <w:left w:val="none" w:sz="0" w:space="0" w:color="auto"/>
                                                    <w:bottom w:val="none" w:sz="0" w:space="0" w:color="auto"/>
                                                    <w:right w:val="none" w:sz="0" w:space="0" w:color="auto"/>
                                                  </w:divBdr>
                                                  <w:divsChild>
                                                    <w:div w:id="664360674">
                                                      <w:marLeft w:val="0"/>
                                                      <w:marRight w:val="0"/>
                                                      <w:marTop w:val="0"/>
                                                      <w:marBottom w:val="0"/>
                                                      <w:divBdr>
                                                        <w:top w:val="single" w:sz="12" w:space="0" w:color="ABABAB"/>
                                                        <w:left w:val="single" w:sz="6" w:space="0" w:color="ABABAB"/>
                                                        <w:bottom w:val="none" w:sz="0" w:space="0" w:color="auto"/>
                                                        <w:right w:val="single" w:sz="6" w:space="0" w:color="ABABAB"/>
                                                      </w:divBdr>
                                                      <w:divsChild>
                                                        <w:div w:id="1471633208">
                                                          <w:marLeft w:val="0"/>
                                                          <w:marRight w:val="0"/>
                                                          <w:marTop w:val="0"/>
                                                          <w:marBottom w:val="0"/>
                                                          <w:divBdr>
                                                            <w:top w:val="none" w:sz="0" w:space="0" w:color="auto"/>
                                                            <w:left w:val="none" w:sz="0" w:space="0" w:color="auto"/>
                                                            <w:bottom w:val="none" w:sz="0" w:space="0" w:color="auto"/>
                                                            <w:right w:val="none" w:sz="0" w:space="0" w:color="auto"/>
                                                          </w:divBdr>
                                                          <w:divsChild>
                                                            <w:div w:id="1412117496">
                                                              <w:marLeft w:val="0"/>
                                                              <w:marRight w:val="0"/>
                                                              <w:marTop w:val="0"/>
                                                              <w:marBottom w:val="0"/>
                                                              <w:divBdr>
                                                                <w:top w:val="none" w:sz="0" w:space="0" w:color="auto"/>
                                                                <w:left w:val="none" w:sz="0" w:space="0" w:color="auto"/>
                                                                <w:bottom w:val="none" w:sz="0" w:space="0" w:color="auto"/>
                                                                <w:right w:val="none" w:sz="0" w:space="0" w:color="auto"/>
                                                              </w:divBdr>
                                                              <w:divsChild>
                                                                <w:div w:id="698354644">
                                                                  <w:marLeft w:val="0"/>
                                                                  <w:marRight w:val="0"/>
                                                                  <w:marTop w:val="0"/>
                                                                  <w:marBottom w:val="0"/>
                                                                  <w:divBdr>
                                                                    <w:top w:val="none" w:sz="0" w:space="0" w:color="auto"/>
                                                                    <w:left w:val="none" w:sz="0" w:space="0" w:color="auto"/>
                                                                    <w:bottom w:val="none" w:sz="0" w:space="0" w:color="auto"/>
                                                                    <w:right w:val="none" w:sz="0" w:space="0" w:color="auto"/>
                                                                  </w:divBdr>
                                                                  <w:divsChild>
                                                                    <w:div w:id="1072234954">
                                                                      <w:marLeft w:val="0"/>
                                                                      <w:marRight w:val="0"/>
                                                                      <w:marTop w:val="0"/>
                                                                      <w:marBottom w:val="0"/>
                                                                      <w:divBdr>
                                                                        <w:top w:val="none" w:sz="0" w:space="0" w:color="auto"/>
                                                                        <w:left w:val="none" w:sz="0" w:space="0" w:color="auto"/>
                                                                        <w:bottom w:val="none" w:sz="0" w:space="0" w:color="auto"/>
                                                                        <w:right w:val="none" w:sz="0" w:space="0" w:color="auto"/>
                                                                      </w:divBdr>
                                                                      <w:divsChild>
                                                                        <w:div w:id="1605308258">
                                                                          <w:marLeft w:val="0"/>
                                                                          <w:marRight w:val="0"/>
                                                                          <w:marTop w:val="0"/>
                                                                          <w:marBottom w:val="0"/>
                                                                          <w:divBdr>
                                                                            <w:top w:val="none" w:sz="0" w:space="0" w:color="auto"/>
                                                                            <w:left w:val="none" w:sz="0" w:space="0" w:color="auto"/>
                                                                            <w:bottom w:val="none" w:sz="0" w:space="0" w:color="auto"/>
                                                                            <w:right w:val="none" w:sz="0" w:space="0" w:color="auto"/>
                                                                          </w:divBdr>
                                                                          <w:divsChild>
                                                                            <w:div w:id="976186671">
                                                                              <w:marLeft w:val="0"/>
                                                                              <w:marRight w:val="0"/>
                                                                              <w:marTop w:val="0"/>
                                                                              <w:marBottom w:val="0"/>
                                                                              <w:divBdr>
                                                                                <w:top w:val="none" w:sz="0" w:space="0" w:color="auto"/>
                                                                                <w:left w:val="none" w:sz="0" w:space="0" w:color="auto"/>
                                                                                <w:bottom w:val="none" w:sz="0" w:space="0" w:color="auto"/>
                                                                                <w:right w:val="none" w:sz="0" w:space="0" w:color="auto"/>
                                                                              </w:divBdr>
                                                                              <w:divsChild>
                                                                                <w:div w:id="1643074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33274316">
      <w:bodyDiv w:val="1"/>
      <w:marLeft w:val="0"/>
      <w:marRight w:val="0"/>
      <w:marTop w:val="0"/>
      <w:marBottom w:val="0"/>
      <w:divBdr>
        <w:top w:val="none" w:sz="0" w:space="0" w:color="auto"/>
        <w:left w:val="none" w:sz="0" w:space="0" w:color="auto"/>
        <w:bottom w:val="none" w:sz="0" w:space="0" w:color="auto"/>
        <w:right w:val="none" w:sz="0" w:space="0" w:color="auto"/>
      </w:divBdr>
    </w:div>
    <w:div w:id="606893567">
      <w:bodyDiv w:val="1"/>
      <w:marLeft w:val="0"/>
      <w:marRight w:val="0"/>
      <w:marTop w:val="0"/>
      <w:marBottom w:val="0"/>
      <w:divBdr>
        <w:top w:val="none" w:sz="0" w:space="0" w:color="auto"/>
        <w:left w:val="none" w:sz="0" w:space="0" w:color="auto"/>
        <w:bottom w:val="none" w:sz="0" w:space="0" w:color="auto"/>
        <w:right w:val="none" w:sz="0" w:space="0" w:color="auto"/>
      </w:divBdr>
    </w:div>
    <w:div w:id="655844672">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1013917822">
      <w:bodyDiv w:val="1"/>
      <w:marLeft w:val="0"/>
      <w:marRight w:val="0"/>
      <w:marTop w:val="0"/>
      <w:marBottom w:val="0"/>
      <w:divBdr>
        <w:top w:val="none" w:sz="0" w:space="0" w:color="auto"/>
        <w:left w:val="none" w:sz="0" w:space="0" w:color="auto"/>
        <w:bottom w:val="none" w:sz="0" w:space="0" w:color="auto"/>
        <w:right w:val="none" w:sz="0" w:space="0" w:color="auto"/>
      </w:divBdr>
    </w:div>
    <w:div w:id="1105348965">
      <w:bodyDiv w:val="1"/>
      <w:marLeft w:val="0"/>
      <w:marRight w:val="0"/>
      <w:marTop w:val="0"/>
      <w:marBottom w:val="0"/>
      <w:divBdr>
        <w:top w:val="none" w:sz="0" w:space="0" w:color="auto"/>
        <w:left w:val="none" w:sz="0" w:space="0" w:color="auto"/>
        <w:bottom w:val="none" w:sz="0" w:space="0" w:color="auto"/>
        <w:right w:val="none" w:sz="0" w:space="0" w:color="auto"/>
      </w:divBdr>
    </w:div>
    <w:div w:id="1130435120">
      <w:bodyDiv w:val="1"/>
      <w:marLeft w:val="0"/>
      <w:marRight w:val="0"/>
      <w:marTop w:val="0"/>
      <w:marBottom w:val="0"/>
      <w:divBdr>
        <w:top w:val="none" w:sz="0" w:space="0" w:color="auto"/>
        <w:left w:val="none" w:sz="0" w:space="0" w:color="auto"/>
        <w:bottom w:val="none" w:sz="0" w:space="0" w:color="auto"/>
        <w:right w:val="none" w:sz="0" w:space="0" w:color="auto"/>
      </w:divBdr>
    </w:div>
    <w:div w:id="1146749370">
      <w:bodyDiv w:val="1"/>
      <w:marLeft w:val="0"/>
      <w:marRight w:val="0"/>
      <w:marTop w:val="0"/>
      <w:marBottom w:val="0"/>
      <w:divBdr>
        <w:top w:val="none" w:sz="0" w:space="0" w:color="auto"/>
        <w:left w:val="none" w:sz="0" w:space="0" w:color="auto"/>
        <w:bottom w:val="none" w:sz="0" w:space="0" w:color="auto"/>
        <w:right w:val="none" w:sz="0" w:space="0" w:color="auto"/>
      </w:divBdr>
      <w:divsChild>
        <w:div w:id="1699157122">
          <w:marLeft w:val="0"/>
          <w:marRight w:val="0"/>
          <w:marTop w:val="0"/>
          <w:marBottom w:val="0"/>
          <w:divBdr>
            <w:top w:val="none" w:sz="0" w:space="0" w:color="auto"/>
            <w:left w:val="none" w:sz="0" w:space="0" w:color="auto"/>
            <w:bottom w:val="none" w:sz="0" w:space="0" w:color="auto"/>
            <w:right w:val="none" w:sz="0" w:space="0" w:color="auto"/>
          </w:divBdr>
          <w:divsChild>
            <w:div w:id="981158036">
              <w:marLeft w:val="0"/>
              <w:marRight w:val="0"/>
              <w:marTop w:val="0"/>
              <w:marBottom w:val="0"/>
              <w:divBdr>
                <w:top w:val="none" w:sz="0" w:space="0" w:color="auto"/>
                <w:left w:val="none" w:sz="0" w:space="0" w:color="auto"/>
                <w:bottom w:val="none" w:sz="0" w:space="0" w:color="auto"/>
                <w:right w:val="none" w:sz="0" w:space="0" w:color="auto"/>
              </w:divBdr>
              <w:divsChild>
                <w:div w:id="1078208122">
                  <w:marLeft w:val="0"/>
                  <w:marRight w:val="0"/>
                  <w:marTop w:val="0"/>
                  <w:marBottom w:val="0"/>
                  <w:divBdr>
                    <w:top w:val="none" w:sz="0" w:space="0" w:color="auto"/>
                    <w:left w:val="none" w:sz="0" w:space="0" w:color="auto"/>
                    <w:bottom w:val="none" w:sz="0" w:space="0" w:color="auto"/>
                    <w:right w:val="none" w:sz="0" w:space="0" w:color="auto"/>
                  </w:divBdr>
                  <w:divsChild>
                    <w:div w:id="1115179372">
                      <w:marLeft w:val="0"/>
                      <w:marRight w:val="0"/>
                      <w:marTop w:val="0"/>
                      <w:marBottom w:val="0"/>
                      <w:divBdr>
                        <w:top w:val="none" w:sz="0" w:space="0" w:color="auto"/>
                        <w:left w:val="none" w:sz="0" w:space="0" w:color="auto"/>
                        <w:bottom w:val="none" w:sz="0" w:space="0" w:color="auto"/>
                        <w:right w:val="none" w:sz="0" w:space="0" w:color="auto"/>
                      </w:divBdr>
                      <w:divsChild>
                        <w:div w:id="1479682990">
                          <w:marLeft w:val="0"/>
                          <w:marRight w:val="0"/>
                          <w:marTop w:val="0"/>
                          <w:marBottom w:val="0"/>
                          <w:divBdr>
                            <w:top w:val="none" w:sz="0" w:space="0" w:color="auto"/>
                            <w:left w:val="none" w:sz="0" w:space="0" w:color="auto"/>
                            <w:bottom w:val="none" w:sz="0" w:space="0" w:color="auto"/>
                            <w:right w:val="none" w:sz="0" w:space="0" w:color="auto"/>
                          </w:divBdr>
                          <w:divsChild>
                            <w:div w:id="1587112009">
                              <w:marLeft w:val="0"/>
                              <w:marRight w:val="0"/>
                              <w:marTop w:val="0"/>
                              <w:marBottom w:val="0"/>
                              <w:divBdr>
                                <w:top w:val="none" w:sz="0" w:space="0" w:color="auto"/>
                                <w:left w:val="none" w:sz="0" w:space="0" w:color="auto"/>
                                <w:bottom w:val="none" w:sz="0" w:space="0" w:color="auto"/>
                                <w:right w:val="none" w:sz="0" w:space="0" w:color="auto"/>
                              </w:divBdr>
                              <w:divsChild>
                                <w:div w:id="1729957634">
                                  <w:marLeft w:val="0"/>
                                  <w:marRight w:val="0"/>
                                  <w:marTop w:val="0"/>
                                  <w:marBottom w:val="0"/>
                                  <w:divBdr>
                                    <w:top w:val="none" w:sz="0" w:space="0" w:color="auto"/>
                                    <w:left w:val="none" w:sz="0" w:space="0" w:color="auto"/>
                                    <w:bottom w:val="none" w:sz="0" w:space="0" w:color="auto"/>
                                    <w:right w:val="none" w:sz="0" w:space="0" w:color="auto"/>
                                  </w:divBdr>
                                  <w:divsChild>
                                    <w:div w:id="495078691">
                                      <w:marLeft w:val="0"/>
                                      <w:marRight w:val="0"/>
                                      <w:marTop w:val="0"/>
                                      <w:marBottom w:val="0"/>
                                      <w:divBdr>
                                        <w:top w:val="none" w:sz="0" w:space="0" w:color="auto"/>
                                        <w:left w:val="none" w:sz="0" w:space="0" w:color="auto"/>
                                        <w:bottom w:val="none" w:sz="0" w:space="0" w:color="auto"/>
                                        <w:right w:val="none" w:sz="0" w:space="0" w:color="auto"/>
                                      </w:divBdr>
                                      <w:divsChild>
                                        <w:div w:id="417792918">
                                          <w:marLeft w:val="0"/>
                                          <w:marRight w:val="0"/>
                                          <w:marTop w:val="0"/>
                                          <w:marBottom w:val="0"/>
                                          <w:divBdr>
                                            <w:top w:val="none" w:sz="0" w:space="0" w:color="auto"/>
                                            <w:left w:val="none" w:sz="0" w:space="0" w:color="auto"/>
                                            <w:bottom w:val="none" w:sz="0" w:space="0" w:color="auto"/>
                                            <w:right w:val="none" w:sz="0" w:space="0" w:color="auto"/>
                                          </w:divBdr>
                                          <w:divsChild>
                                            <w:div w:id="1256670664">
                                              <w:marLeft w:val="0"/>
                                              <w:marRight w:val="0"/>
                                              <w:marTop w:val="0"/>
                                              <w:marBottom w:val="0"/>
                                              <w:divBdr>
                                                <w:top w:val="none" w:sz="0" w:space="0" w:color="auto"/>
                                                <w:left w:val="none" w:sz="0" w:space="0" w:color="auto"/>
                                                <w:bottom w:val="none" w:sz="0" w:space="0" w:color="auto"/>
                                                <w:right w:val="none" w:sz="0" w:space="0" w:color="auto"/>
                                              </w:divBdr>
                                              <w:divsChild>
                                                <w:div w:id="1042704296">
                                                  <w:marLeft w:val="0"/>
                                                  <w:marRight w:val="0"/>
                                                  <w:marTop w:val="0"/>
                                                  <w:marBottom w:val="0"/>
                                                  <w:divBdr>
                                                    <w:top w:val="none" w:sz="0" w:space="0" w:color="auto"/>
                                                    <w:left w:val="none" w:sz="0" w:space="0" w:color="auto"/>
                                                    <w:bottom w:val="none" w:sz="0" w:space="0" w:color="auto"/>
                                                    <w:right w:val="none" w:sz="0" w:space="0" w:color="auto"/>
                                                  </w:divBdr>
                                                  <w:divsChild>
                                                    <w:div w:id="1600091960">
                                                      <w:marLeft w:val="0"/>
                                                      <w:marRight w:val="0"/>
                                                      <w:marTop w:val="0"/>
                                                      <w:marBottom w:val="0"/>
                                                      <w:divBdr>
                                                        <w:top w:val="single" w:sz="12" w:space="0" w:color="ABABAB"/>
                                                        <w:left w:val="single" w:sz="6" w:space="0" w:color="ABABAB"/>
                                                        <w:bottom w:val="none" w:sz="0" w:space="0" w:color="auto"/>
                                                        <w:right w:val="single" w:sz="6" w:space="0" w:color="ABABAB"/>
                                                      </w:divBdr>
                                                      <w:divsChild>
                                                        <w:div w:id="211697561">
                                                          <w:marLeft w:val="0"/>
                                                          <w:marRight w:val="0"/>
                                                          <w:marTop w:val="0"/>
                                                          <w:marBottom w:val="0"/>
                                                          <w:divBdr>
                                                            <w:top w:val="none" w:sz="0" w:space="0" w:color="auto"/>
                                                            <w:left w:val="none" w:sz="0" w:space="0" w:color="auto"/>
                                                            <w:bottom w:val="none" w:sz="0" w:space="0" w:color="auto"/>
                                                            <w:right w:val="none" w:sz="0" w:space="0" w:color="auto"/>
                                                          </w:divBdr>
                                                          <w:divsChild>
                                                            <w:div w:id="308365444">
                                                              <w:marLeft w:val="0"/>
                                                              <w:marRight w:val="0"/>
                                                              <w:marTop w:val="0"/>
                                                              <w:marBottom w:val="0"/>
                                                              <w:divBdr>
                                                                <w:top w:val="none" w:sz="0" w:space="0" w:color="auto"/>
                                                                <w:left w:val="none" w:sz="0" w:space="0" w:color="auto"/>
                                                                <w:bottom w:val="none" w:sz="0" w:space="0" w:color="auto"/>
                                                                <w:right w:val="none" w:sz="0" w:space="0" w:color="auto"/>
                                                              </w:divBdr>
                                                              <w:divsChild>
                                                                <w:div w:id="695278197">
                                                                  <w:marLeft w:val="0"/>
                                                                  <w:marRight w:val="0"/>
                                                                  <w:marTop w:val="0"/>
                                                                  <w:marBottom w:val="0"/>
                                                                  <w:divBdr>
                                                                    <w:top w:val="none" w:sz="0" w:space="0" w:color="auto"/>
                                                                    <w:left w:val="none" w:sz="0" w:space="0" w:color="auto"/>
                                                                    <w:bottom w:val="none" w:sz="0" w:space="0" w:color="auto"/>
                                                                    <w:right w:val="none" w:sz="0" w:space="0" w:color="auto"/>
                                                                  </w:divBdr>
                                                                  <w:divsChild>
                                                                    <w:div w:id="1492599543">
                                                                      <w:marLeft w:val="0"/>
                                                                      <w:marRight w:val="0"/>
                                                                      <w:marTop w:val="0"/>
                                                                      <w:marBottom w:val="0"/>
                                                                      <w:divBdr>
                                                                        <w:top w:val="none" w:sz="0" w:space="0" w:color="auto"/>
                                                                        <w:left w:val="none" w:sz="0" w:space="0" w:color="auto"/>
                                                                        <w:bottom w:val="none" w:sz="0" w:space="0" w:color="auto"/>
                                                                        <w:right w:val="none" w:sz="0" w:space="0" w:color="auto"/>
                                                                      </w:divBdr>
                                                                      <w:divsChild>
                                                                        <w:div w:id="1571236549">
                                                                          <w:marLeft w:val="0"/>
                                                                          <w:marRight w:val="0"/>
                                                                          <w:marTop w:val="0"/>
                                                                          <w:marBottom w:val="0"/>
                                                                          <w:divBdr>
                                                                            <w:top w:val="none" w:sz="0" w:space="0" w:color="auto"/>
                                                                            <w:left w:val="none" w:sz="0" w:space="0" w:color="auto"/>
                                                                            <w:bottom w:val="none" w:sz="0" w:space="0" w:color="auto"/>
                                                                            <w:right w:val="none" w:sz="0" w:space="0" w:color="auto"/>
                                                                          </w:divBdr>
                                                                          <w:divsChild>
                                                                            <w:div w:id="600917116">
                                                                              <w:marLeft w:val="0"/>
                                                                              <w:marRight w:val="0"/>
                                                                              <w:marTop w:val="0"/>
                                                                              <w:marBottom w:val="0"/>
                                                                              <w:divBdr>
                                                                                <w:top w:val="none" w:sz="0" w:space="0" w:color="auto"/>
                                                                                <w:left w:val="none" w:sz="0" w:space="0" w:color="auto"/>
                                                                                <w:bottom w:val="none" w:sz="0" w:space="0" w:color="auto"/>
                                                                                <w:right w:val="none" w:sz="0" w:space="0" w:color="auto"/>
                                                                              </w:divBdr>
                                                                              <w:divsChild>
                                                                                <w:div w:id="1946843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58106975">
      <w:bodyDiv w:val="1"/>
      <w:marLeft w:val="0"/>
      <w:marRight w:val="0"/>
      <w:marTop w:val="0"/>
      <w:marBottom w:val="0"/>
      <w:divBdr>
        <w:top w:val="none" w:sz="0" w:space="0" w:color="auto"/>
        <w:left w:val="none" w:sz="0" w:space="0" w:color="auto"/>
        <w:bottom w:val="none" w:sz="0" w:space="0" w:color="auto"/>
        <w:right w:val="none" w:sz="0" w:space="0" w:color="auto"/>
      </w:divBdr>
    </w:div>
    <w:div w:id="1217088089">
      <w:bodyDiv w:val="1"/>
      <w:marLeft w:val="0"/>
      <w:marRight w:val="0"/>
      <w:marTop w:val="0"/>
      <w:marBottom w:val="0"/>
      <w:divBdr>
        <w:top w:val="none" w:sz="0" w:space="0" w:color="auto"/>
        <w:left w:val="none" w:sz="0" w:space="0" w:color="auto"/>
        <w:bottom w:val="none" w:sz="0" w:space="0" w:color="auto"/>
        <w:right w:val="none" w:sz="0" w:space="0" w:color="auto"/>
      </w:divBdr>
    </w:div>
    <w:div w:id="1253859200">
      <w:bodyDiv w:val="1"/>
      <w:marLeft w:val="0"/>
      <w:marRight w:val="0"/>
      <w:marTop w:val="0"/>
      <w:marBottom w:val="0"/>
      <w:divBdr>
        <w:top w:val="none" w:sz="0" w:space="0" w:color="auto"/>
        <w:left w:val="none" w:sz="0" w:space="0" w:color="auto"/>
        <w:bottom w:val="none" w:sz="0" w:space="0" w:color="auto"/>
        <w:right w:val="none" w:sz="0" w:space="0" w:color="auto"/>
      </w:divBdr>
    </w:div>
    <w:div w:id="1265041708">
      <w:bodyDiv w:val="1"/>
      <w:marLeft w:val="0"/>
      <w:marRight w:val="0"/>
      <w:marTop w:val="0"/>
      <w:marBottom w:val="0"/>
      <w:divBdr>
        <w:top w:val="none" w:sz="0" w:space="0" w:color="auto"/>
        <w:left w:val="none" w:sz="0" w:space="0" w:color="auto"/>
        <w:bottom w:val="none" w:sz="0" w:space="0" w:color="auto"/>
        <w:right w:val="none" w:sz="0" w:space="0" w:color="auto"/>
      </w:divBdr>
    </w:div>
    <w:div w:id="1368795008">
      <w:bodyDiv w:val="1"/>
      <w:marLeft w:val="0"/>
      <w:marRight w:val="0"/>
      <w:marTop w:val="0"/>
      <w:marBottom w:val="0"/>
      <w:divBdr>
        <w:top w:val="none" w:sz="0" w:space="0" w:color="auto"/>
        <w:left w:val="none" w:sz="0" w:space="0" w:color="auto"/>
        <w:bottom w:val="none" w:sz="0" w:space="0" w:color="auto"/>
        <w:right w:val="none" w:sz="0" w:space="0" w:color="auto"/>
      </w:divBdr>
    </w:div>
    <w:div w:id="1406996786">
      <w:bodyDiv w:val="1"/>
      <w:marLeft w:val="0"/>
      <w:marRight w:val="0"/>
      <w:marTop w:val="0"/>
      <w:marBottom w:val="0"/>
      <w:divBdr>
        <w:top w:val="none" w:sz="0" w:space="0" w:color="auto"/>
        <w:left w:val="none" w:sz="0" w:space="0" w:color="auto"/>
        <w:bottom w:val="none" w:sz="0" w:space="0" w:color="auto"/>
        <w:right w:val="none" w:sz="0" w:space="0" w:color="auto"/>
      </w:divBdr>
    </w:div>
    <w:div w:id="1459564237">
      <w:bodyDiv w:val="1"/>
      <w:marLeft w:val="0"/>
      <w:marRight w:val="0"/>
      <w:marTop w:val="0"/>
      <w:marBottom w:val="0"/>
      <w:divBdr>
        <w:top w:val="none" w:sz="0" w:space="0" w:color="auto"/>
        <w:left w:val="none" w:sz="0" w:space="0" w:color="auto"/>
        <w:bottom w:val="none" w:sz="0" w:space="0" w:color="auto"/>
        <w:right w:val="none" w:sz="0" w:space="0" w:color="auto"/>
      </w:divBdr>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527867586">
      <w:bodyDiv w:val="1"/>
      <w:marLeft w:val="0"/>
      <w:marRight w:val="0"/>
      <w:marTop w:val="0"/>
      <w:marBottom w:val="0"/>
      <w:divBdr>
        <w:top w:val="none" w:sz="0" w:space="0" w:color="auto"/>
        <w:left w:val="none" w:sz="0" w:space="0" w:color="auto"/>
        <w:bottom w:val="none" w:sz="0" w:space="0" w:color="auto"/>
        <w:right w:val="none" w:sz="0" w:space="0" w:color="auto"/>
      </w:divBdr>
      <w:divsChild>
        <w:div w:id="1672756644">
          <w:marLeft w:val="0"/>
          <w:marRight w:val="0"/>
          <w:marTop w:val="0"/>
          <w:marBottom w:val="0"/>
          <w:divBdr>
            <w:top w:val="none" w:sz="0" w:space="0" w:color="auto"/>
            <w:left w:val="none" w:sz="0" w:space="0" w:color="auto"/>
            <w:bottom w:val="none" w:sz="0" w:space="0" w:color="auto"/>
            <w:right w:val="none" w:sz="0" w:space="0" w:color="auto"/>
          </w:divBdr>
          <w:divsChild>
            <w:div w:id="2075009676">
              <w:marLeft w:val="0"/>
              <w:marRight w:val="0"/>
              <w:marTop w:val="0"/>
              <w:marBottom w:val="0"/>
              <w:divBdr>
                <w:top w:val="none" w:sz="0" w:space="0" w:color="auto"/>
                <w:left w:val="none" w:sz="0" w:space="0" w:color="auto"/>
                <w:bottom w:val="none" w:sz="0" w:space="0" w:color="auto"/>
                <w:right w:val="none" w:sz="0" w:space="0" w:color="auto"/>
              </w:divBdr>
              <w:divsChild>
                <w:div w:id="2093620129">
                  <w:marLeft w:val="0"/>
                  <w:marRight w:val="0"/>
                  <w:marTop w:val="0"/>
                  <w:marBottom w:val="0"/>
                  <w:divBdr>
                    <w:top w:val="none" w:sz="0" w:space="0" w:color="auto"/>
                    <w:left w:val="none" w:sz="0" w:space="0" w:color="auto"/>
                    <w:bottom w:val="none" w:sz="0" w:space="0" w:color="auto"/>
                    <w:right w:val="none" w:sz="0" w:space="0" w:color="auto"/>
                  </w:divBdr>
                  <w:divsChild>
                    <w:div w:id="1479571501">
                      <w:marLeft w:val="0"/>
                      <w:marRight w:val="0"/>
                      <w:marTop w:val="0"/>
                      <w:marBottom w:val="0"/>
                      <w:divBdr>
                        <w:top w:val="none" w:sz="0" w:space="0" w:color="auto"/>
                        <w:left w:val="none" w:sz="0" w:space="0" w:color="auto"/>
                        <w:bottom w:val="none" w:sz="0" w:space="0" w:color="auto"/>
                        <w:right w:val="none" w:sz="0" w:space="0" w:color="auto"/>
                      </w:divBdr>
                      <w:divsChild>
                        <w:div w:id="792408373">
                          <w:marLeft w:val="0"/>
                          <w:marRight w:val="0"/>
                          <w:marTop w:val="0"/>
                          <w:marBottom w:val="0"/>
                          <w:divBdr>
                            <w:top w:val="none" w:sz="0" w:space="0" w:color="auto"/>
                            <w:left w:val="none" w:sz="0" w:space="0" w:color="auto"/>
                            <w:bottom w:val="none" w:sz="0" w:space="0" w:color="auto"/>
                            <w:right w:val="none" w:sz="0" w:space="0" w:color="auto"/>
                          </w:divBdr>
                          <w:divsChild>
                            <w:div w:id="1483698879">
                              <w:marLeft w:val="0"/>
                              <w:marRight w:val="0"/>
                              <w:marTop w:val="0"/>
                              <w:marBottom w:val="0"/>
                              <w:divBdr>
                                <w:top w:val="none" w:sz="0" w:space="0" w:color="auto"/>
                                <w:left w:val="none" w:sz="0" w:space="0" w:color="auto"/>
                                <w:bottom w:val="none" w:sz="0" w:space="0" w:color="auto"/>
                                <w:right w:val="none" w:sz="0" w:space="0" w:color="auto"/>
                              </w:divBdr>
                              <w:divsChild>
                                <w:div w:id="1869174359">
                                  <w:marLeft w:val="0"/>
                                  <w:marRight w:val="0"/>
                                  <w:marTop w:val="0"/>
                                  <w:marBottom w:val="0"/>
                                  <w:divBdr>
                                    <w:top w:val="none" w:sz="0" w:space="0" w:color="auto"/>
                                    <w:left w:val="none" w:sz="0" w:space="0" w:color="auto"/>
                                    <w:bottom w:val="none" w:sz="0" w:space="0" w:color="auto"/>
                                    <w:right w:val="none" w:sz="0" w:space="0" w:color="auto"/>
                                  </w:divBdr>
                                  <w:divsChild>
                                    <w:div w:id="1466463186">
                                      <w:marLeft w:val="0"/>
                                      <w:marRight w:val="0"/>
                                      <w:marTop w:val="0"/>
                                      <w:marBottom w:val="0"/>
                                      <w:divBdr>
                                        <w:top w:val="none" w:sz="0" w:space="0" w:color="auto"/>
                                        <w:left w:val="none" w:sz="0" w:space="0" w:color="auto"/>
                                        <w:bottom w:val="none" w:sz="0" w:space="0" w:color="auto"/>
                                        <w:right w:val="none" w:sz="0" w:space="0" w:color="auto"/>
                                      </w:divBdr>
                                      <w:divsChild>
                                        <w:div w:id="1797947143">
                                          <w:marLeft w:val="0"/>
                                          <w:marRight w:val="0"/>
                                          <w:marTop w:val="0"/>
                                          <w:marBottom w:val="0"/>
                                          <w:divBdr>
                                            <w:top w:val="none" w:sz="0" w:space="0" w:color="auto"/>
                                            <w:left w:val="none" w:sz="0" w:space="0" w:color="auto"/>
                                            <w:bottom w:val="none" w:sz="0" w:space="0" w:color="auto"/>
                                            <w:right w:val="none" w:sz="0" w:space="0" w:color="auto"/>
                                          </w:divBdr>
                                          <w:divsChild>
                                            <w:div w:id="410323077">
                                              <w:marLeft w:val="0"/>
                                              <w:marRight w:val="0"/>
                                              <w:marTop w:val="0"/>
                                              <w:marBottom w:val="0"/>
                                              <w:divBdr>
                                                <w:top w:val="none" w:sz="0" w:space="0" w:color="auto"/>
                                                <w:left w:val="none" w:sz="0" w:space="0" w:color="auto"/>
                                                <w:bottom w:val="none" w:sz="0" w:space="0" w:color="auto"/>
                                                <w:right w:val="none" w:sz="0" w:space="0" w:color="auto"/>
                                              </w:divBdr>
                                              <w:divsChild>
                                                <w:div w:id="1343553763">
                                                  <w:marLeft w:val="0"/>
                                                  <w:marRight w:val="0"/>
                                                  <w:marTop w:val="0"/>
                                                  <w:marBottom w:val="0"/>
                                                  <w:divBdr>
                                                    <w:top w:val="none" w:sz="0" w:space="0" w:color="auto"/>
                                                    <w:left w:val="none" w:sz="0" w:space="0" w:color="auto"/>
                                                    <w:bottom w:val="none" w:sz="0" w:space="0" w:color="auto"/>
                                                    <w:right w:val="none" w:sz="0" w:space="0" w:color="auto"/>
                                                  </w:divBdr>
                                                  <w:divsChild>
                                                    <w:div w:id="1053770612">
                                                      <w:marLeft w:val="0"/>
                                                      <w:marRight w:val="0"/>
                                                      <w:marTop w:val="0"/>
                                                      <w:marBottom w:val="0"/>
                                                      <w:divBdr>
                                                        <w:top w:val="single" w:sz="12" w:space="0" w:color="ABABAB"/>
                                                        <w:left w:val="single" w:sz="6" w:space="0" w:color="ABABAB"/>
                                                        <w:bottom w:val="none" w:sz="0" w:space="0" w:color="auto"/>
                                                        <w:right w:val="single" w:sz="6" w:space="0" w:color="ABABAB"/>
                                                      </w:divBdr>
                                                      <w:divsChild>
                                                        <w:div w:id="1981838592">
                                                          <w:marLeft w:val="0"/>
                                                          <w:marRight w:val="0"/>
                                                          <w:marTop w:val="0"/>
                                                          <w:marBottom w:val="0"/>
                                                          <w:divBdr>
                                                            <w:top w:val="none" w:sz="0" w:space="0" w:color="auto"/>
                                                            <w:left w:val="none" w:sz="0" w:space="0" w:color="auto"/>
                                                            <w:bottom w:val="none" w:sz="0" w:space="0" w:color="auto"/>
                                                            <w:right w:val="none" w:sz="0" w:space="0" w:color="auto"/>
                                                          </w:divBdr>
                                                          <w:divsChild>
                                                            <w:div w:id="156577691">
                                                              <w:marLeft w:val="0"/>
                                                              <w:marRight w:val="0"/>
                                                              <w:marTop w:val="0"/>
                                                              <w:marBottom w:val="0"/>
                                                              <w:divBdr>
                                                                <w:top w:val="none" w:sz="0" w:space="0" w:color="auto"/>
                                                                <w:left w:val="none" w:sz="0" w:space="0" w:color="auto"/>
                                                                <w:bottom w:val="none" w:sz="0" w:space="0" w:color="auto"/>
                                                                <w:right w:val="none" w:sz="0" w:space="0" w:color="auto"/>
                                                              </w:divBdr>
                                                              <w:divsChild>
                                                                <w:div w:id="636495755">
                                                                  <w:marLeft w:val="0"/>
                                                                  <w:marRight w:val="0"/>
                                                                  <w:marTop w:val="0"/>
                                                                  <w:marBottom w:val="0"/>
                                                                  <w:divBdr>
                                                                    <w:top w:val="none" w:sz="0" w:space="0" w:color="auto"/>
                                                                    <w:left w:val="none" w:sz="0" w:space="0" w:color="auto"/>
                                                                    <w:bottom w:val="none" w:sz="0" w:space="0" w:color="auto"/>
                                                                    <w:right w:val="none" w:sz="0" w:space="0" w:color="auto"/>
                                                                  </w:divBdr>
                                                                  <w:divsChild>
                                                                    <w:div w:id="2146659273">
                                                                      <w:marLeft w:val="0"/>
                                                                      <w:marRight w:val="0"/>
                                                                      <w:marTop w:val="0"/>
                                                                      <w:marBottom w:val="0"/>
                                                                      <w:divBdr>
                                                                        <w:top w:val="none" w:sz="0" w:space="0" w:color="auto"/>
                                                                        <w:left w:val="none" w:sz="0" w:space="0" w:color="auto"/>
                                                                        <w:bottom w:val="none" w:sz="0" w:space="0" w:color="auto"/>
                                                                        <w:right w:val="none" w:sz="0" w:space="0" w:color="auto"/>
                                                                      </w:divBdr>
                                                                      <w:divsChild>
                                                                        <w:div w:id="976495935">
                                                                          <w:marLeft w:val="0"/>
                                                                          <w:marRight w:val="0"/>
                                                                          <w:marTop w:val="0"/>
                                                                          <w:marBottom w:val="0"/>
                                                                          <w:divBdr>
                                                                            <w:top w:val="none" w:sz="0" w:space="0" w:color="auto"/>
                                                                            <w:left w:val="none" w:sz="0" w:space="0" w:color="auto"/>
                                                                            <w:bottom w:val="none" w:sz="0" w:space="0" w:color="auto"/>
                                                                            <w:right w:val="none" w:sz="0" w:space="0" w:color="auto"/>
                                                                          </w:divBdr>
                                                                          <w:divsChild>
                                                                            <w:div w:id="907150194">
                                                                              <w:marLeft w:val="0"/>
                                                                              <w:marRight w:val="0"/>
                                                                              <w:marTop w:val="0"/>
                                                                              <w:marBottom w:val="0"/>
                                                                              <w:divBdr>
                                                                                <w:top w:val="none" w:sz="0" w:space="0" w:color="auto"/>
                                                                                <w:left w:val="none" w:sz="0" w:space="0" w:color="auto"/>
                                                                                <w:bottom w:val="none" w:sz="0" w:space="0" w:color="auto"/>
                                                                                <w:right w:val="none" w:sz="0" w:space="0" w:color="auto"/>
                                                                              </w:divBdr>
                                                                              <w:divsChild>
                                                                                <w:div w:id="2066488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31600806">
      <w:bodyDiv w:val="1"/>
      <w:marLeft w:val="0"/>
      <w:marRight w:val="0"/>
      <w:marTop w:val="0"/>
      <w:marBottom w:val="0"/>
      <w:divBdr>
        <w:top w:val="none" w:sz="0" w:space="0" w:color="auto"/>
        <w:left w:val="none" w:sz="0" w:space="0" w:color="auto"/>
        <w:bottom w:val="none" w:sz="0" w:space="0" w:color="auto"/>
        <w:right w:val="none" w:sz="0" w:space="0" w:color="auto"/>
      </w:divBdr>
      <w:divsChild>
        <w:div w:id="1375422838">
          <w:marLeft w:val="0"/>
          <w:marRight w:val="0"/>
          <w:marTop w:val="0"/>
          <w:marBottom w:val="0"/>
          <w:divBdr>
            <w:top w:val="none" w:sz="0" w:space="0" w:color="auto"/>
            <w:left w:val="none" w:sz="0" w:space="0" w:color="auto"/>
            <w:bottom w:val="none" w:sz="0" w:space="0" w:color="auto"/>
            <w:right w:val="none" w:sz="0" w:space="0" w:color="auto"/>
          </w:divBdr>
          <w:divsChild>
            <w:div w:id="1875650091">
              <w:marLeft w:val="0"/>
              <w:marRight w:val="0"/>
              <w:marTop w:val="0"/>
              <w:marBottom w:val="0"/>
              <w:divBdr>
                <w:top w:val="none" w:sz="0" w:space="0" w:color="auto"/>
                <w:left w:val="none" w:sz="0" w:space="0" w:color="auto"/>
                <w:bottom w:val="none" w:sz="0" w:space="0" w:color="auto"/>
                <w:right w:val="none" w:sz="0" w:space="0" w:color="auto"/>
              </w:divBdr>
              <w:divsChild>
                <w:div w:id="1295135006">
                  <w:marLeft w:val="0"/>
                  <w:marRight w:val="0"/>
                  <w:marTop w:val="0"/>
                  <w:marBottom w:val="0"/>
                  <w:divBdr>
                    <w:top w:val="none" w:sz="0" w:space="0" w:color="auto"/>
                    <w:left w:val="none" w:sz="0" w:space="0" w:color="auto"/>
                    <w:bottom w:val="none" w:sz="0" w:space="0" w:color="auto"/>
                    <w:right w:val="none" w:sz="0" w:space="0" w:color="auto"/>
                  </w:divBdr>
                  <w:divsChild>
                    <w:div w:id="1839808879">
                      <w:marLeft w:val="0"/>
                      <w:marRight w:val="0"/>
                      <w:marTop w:val="0"/>
                      <w:marBottom w:val="0"/>
                      <w:divBdr>
                        <w:top w:val="none" w:sz="0" w:space="0" w:color="auto"/>
                        <w:left w:val="none" w:sz="0" w:space="0" w:color="auto"/>
                        <w:bottom w:val="none" w:sz="0" w:space="0" w:color="auto"/>
                        <w:right w:val="none" w:sz="0" w:space="0" w:color="auto"/>
                      </w:divBdr>
                      <w:divsChild>
                        <w:div w:id="858619842">
                          <w:marLeft w:val="0"/>
                          <w:marRight w:val="0"/>
                          <w:marTop w:val="0"/>
                          <w:marBottom w:val="0"/>
                          <w:divBdr>
                            <w:top w:val="none" w:sz="0" w:space="0" w:color="auto"/>
                            <w:left w:val="none" w:sz="0" w:space="0" w:color="auto"/>
                            <w:bottom w:val="none" w:sz="0" w:space="0" w:color="auto"/>
                            <w:right w:val="none" w:sz="0" w:space="0" w:color="auto"/>
                          </w:divBdr>
                          <w:divsChild>
                            <w:div w:id="1505708919">
                              <w:marLeft w:val="0"/>
                              <w:marRight w:val="0"/>
                              <w:marTop w:val="0"/>
                              <w:marBottom w:val="0"/>
                              <w:divBdr>
                                <w:top w:val="none" w:sz="0" w:space="0" w:color="auto"/>
                                <w:left w:val="none" w:sz="0" w:space="0" w:color="auto"/>
                                <w:bottom w:val="none" w:sz="0" w:space="0" w:color="auto"/>
                                <w:right w:val="none" w:sz="0" w:space="0" w:color="auto"/>
                              </w:divBdr>
                              <w:divsChild>
                                <w:div w:id="1934587618">
                                  <w:marLeft w:val="0"/>
                                  <w:marRight w:val="0"/>
                                  <w:marTop w:val="0"/>
                                  <w:marBottom w:val="0"/>
                                  <w:divBdr>
                                    <w:top w:val="none" w:sz="0" w:space="0" w:color="auto"/>
                                    <w:left w:val="none" w:sz="0" w:space="0" w:color="auto"/>
                                    <w:bottom w:val="none" w:sz="0" w:space="0" w:color="auto"/>
                                    <w:right w:val="none" w:sz="0" w:space="0" w:color="auto"/>
                                  </w:divBdr>
                                  <w:divsChild>
                                    <w:div w:id="1721662539">
                                      <w:marLeft w:val="0"/>
                                      <w:marRight w:val="0"/>
                                      <w:marTop w:val="0"/>
                                      <w:marBottom w:val="0"/>
                                      <w:divBdr>
                                        <w:top w:val="none" w:sz="0" w:space="0" w:color="auto"/>
                                        <w:left w:val="none" w:sz="0" w:space="0" w:color="auto"/>
                                        <w:bottom w:val="none" w:sz="0" w:space="0" w:color="auto"/>
                                        <w:right w:val="none" w:sz="0" w:space="0" w:color="auto"/>
                                      </w:divBdr>
                                      <w:divsChild>
                                        <w:div w:id="1487280246">
                                          <w:marLeft w:val="0"/>
                                          <w:marRight w:val="0"/>
                                          <w:marTop w:val="0"/>
                                          <w:marBottom w:val="0"/>
                                          <w:divBdr>
                                            <w:top w:val="none" w:sz="0" w:space="0" w:color="auto"/>
                                            <w:left w:val="none" w:sz="0" w:space="0" w:color="auto"/>
                                            <w:bottom w:val="none" w:sz="0" w:space="0" w:color="auto"/>
                                            <w:right w:val="none" w:sz="0" w:space="0" w:color="auto"/>
                                          </w:divBdr>
                                          <w:divsChild>
                                            <w:div w:id="1280070107">
                                              <w:marLeft w:val="0"/>
                                              <w:marRight w:val="0"/>
                                              <w:marTop w:val="0"/>
                                              <w:marBottom w:val="0"/>
                                              <w:divBdr>
                                                <w:top w:val="none" w:sz="0" w:space="0" w:color="auto"/>
                                                <w:left w:val="none" w:sz="0" w:space="0" w:color="auto"/>
                                                <w:bottom w:val="none" w:sz="0" w:space="0" w:color="auto"/>
                                                <w:right w:val="none" w:sz="0" w:space="0" w:color="auto"/>
                                              </w:divBdr>
                                              <w:divsChild>
                                                <w:div w:id="970138815">
                                                  <w:marLeft w:val="0"/>
                                                  <w:marRight w:val="0"/>
                                                  <w:marTop w:val="0"/>
                                                  <w:marBottom w:val="0"/>
                                                  <w:divBdr>
                                                    <w:top w:val="none" w:sz="0" w:space="0" w:color="auto"/>
                                                    <w:left w:val="none" w:sz="0" w:space="0" w:color="auto"/>
                                                    <w:bottom w:val="none" w:sz="0" w:space="0" w:color="auto"/>
                                                    <w:right w:val="none" w:sz="0" w:space="0" w:color="auto"/>
                                                  </w:divBdr>
                                                  <w:divsChild>
                                                    <w:div w:id="227419227">
                                                      <w:marLeft w:val="0"/>
                                                      <w:marRight w:val="0"/>
                                                      <w:marTop w:val="0"/>
                                                      <w:marBottom w:val="0"/>
                                                      <w:divBdr>
                                                        <w:top w:val="single" w:sz="12" w:space="0" w:color="ABABAB"/>
                                                        <w:left w:val="single" w:sz="6" w:space="0" w:color="ABABAB"/>
                                                        <w:bottom w:val="none" w:sz="0" w:space="0" w:color="auto"/>
                                                        <w:right w:val="single" w:sz="6" w:space="0" w:color="ABABAB"/>
                                                      </w:divBdr>
                                                      <w:divsChild>
                                                        <w:div w:id="1478499023">
                                                          <w:marLeft w:val="0"/>
                                                          <w:marRight w:val="0"/>
                                                          <w:marTop w:val="0"/>
                                                          <w:marBottom w:val="0"/>
                                                          <w:divBdr>
                                                            <w:top w:val="none" w:sz="0" w:space="0" w:color="auto"/>
                                                            <w:left w:val="none" w:sz="0" w:space="0" w:color="auto"/>
                                                            <w:bottom w:val="none" w:sz="0" w:space="0" w:color="auto"/>
                                                            <w:right w:val="none" w:sz="0" w:space="0" w:color="auto"/>
                                                          </w:divBdr>
                                                          <w:divsChild>
                                                            <w:div w:id="1449084615">
                                                              <w:marLeft w:val="0"/>
                                                              <w:marRight w:val="0"/>
                                                              <w:marTop w:val="0"/>
                                                              <w:marBottom w:val="0"/>
                                                              <w:divBdr>
                                                                <w:top w:val="none" w:sz="0" w:space="0" w:color="auto"/>
                                                                <w:left w:val="none" w:sz="0" w:space="0" w:color="auto"/>
                                                                <w:bottom w:val="none" w:sz="0" w:space="0" w:color="auto"/>
                                                                <w:right w:val="none" w:sz="0" w:space="0" w:color="auto"/>
                                                              </w:divBdr>
                                                              <w:divsChild>
                                                                <w:div w:id="293602550">
                                                                  <w:marLeft w:val="0"/>
                                                                  <w:marRight w:val="0"/>
                                                                  <w:marTop w:val="0"/>
                                                                  <w:marBottom w:val="0"/>
                                                                  <w:divBdr>
                                                                    <w:top w:val="none" w:sz="0" w:space="0" w:color="auto"/>
                                                                    <w:left w:val="none" w:sz="0" w:space="0" w:color="auto"/>
                                                                    <w:bottom w:val="none" w:sz="0" w:space="0" w:color="auto"/>
                                                                    <w:right w:val="none" w:sz="0" w:space="0" w:color="auto"/>
                                                                  </w:divBdr>
                                                                  <w:divsChild>
                                                                    <w:div w:id="1559826070">
                                                                      <w:marLeft w:val="0"/>
                                                                      <w:marRight w:val="0"/>
                                                                      <w:marTop w:val="0"/>
                                                                      <w:marBottom w:val="0"/>
                                                                      <w:divBdr>
                                                                        <w:top w:val="none" w:sz="0" w:space="0" w:color="auto"/>
                                                                        <w:left w:val="none" w:sz="0" w:space="0" w:color="auto"/>
                                                                        <w:bottom w:val="none" w:sz="0" w:space="0" w:color="auto"/>
                                                                        <w:right w:val="none" w:sz="0" w:space="0" w:color="auto"/>
                                                                      </w:divBdr>
                                                                      <w:divsChild>
                                                                        <w:div w:id="1605572812">
                                                                          <w:marLeft w:val="0"/>
                                                                          <w:marRight w:val="0"/>
                                                                          <w:marTop w:val="0"/>
                                                                          <w:marBottom w:val="0"/>
                                                                          <w:divBdr>
                                                                            <w:top w:val="none" w:sz="0" w:space="0" w:color="auto"/>
                                                                            <w:left w:val="none" w:sz="0" w:space="0" w:color="auto"/>
                                                                            <w:bottom w:val="none" w:sz="0" w:space="0" w:color="auto"/>
                                                                            <w:right w:val="none" w:sz="0" w:space="0" w:color="auto"/>
                                                                          </w:divBdr>
                                                                          <w:divsChild>
                                                                            <w:div w:id="1316371022">
                                                                              <w:marLeft w:val="0"/>
                                                                              <w:marRight w:val="0"/>
                                                                              <w:marTop w:val="0"/>
                                                                              <w:marBottom w:val="0"/>
                                                                              <w:divBdr>
                                                                                <w:top w:val="none" w:sz="0" w:space="0" w:color="auto"/>
                                                                                <w:left w:val="none" w:sz="0" w:space="0" w:color="auto"/>
                                                                                <w:bottom w:val="none" w:sz="0" w:space="0" w:color="auto"/>
                                                                                <w:right w:val="none" w:sz="0" w:space="0" w:color="auto"/>
                                                                              </w:divBdr>
                                                                              <w:divsChild>
                                                                                <w:div w:id="515923532">
                                                                                  <w:marLeft w:val="0"/>
                                                                                  <w:marRight w:val="0"/>
                                                                                  <w:marTop w:val="0"/>
                                                                                  <w:marBottom w:val="0"/>
                                                                                  <w:divBdr>
                                                                                    <w:top w:val="none" w:sz="0" w:space="0" w:color="auto"/>
                                                                                    <w:left w:val="none" w:sz="0" w:space="0" w:color="auto"/>
                                                                                    <w:bottom w:val="none" w:sz="0" w:space="0" w:color="auto"/>
                                                                                    <w:right w:val="none" w:sz="0" w:space="0" w:color="auto"/>
                                                                                  </w:divBdr>
                                                                                </w:div>
                                                                                <w:div w:id="902568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68684830">
      <w:bodyDiv w:val="1"/>
      <w:marLeft w:val="0"/>
      <w:marRight w:val="0"/>
      <w:marTop w:val="0"/>
      <w:marBottom w:val="0"/>
      <w:divBdr>
        <w:top w:val="none" w:sz="0" w:space="0" w:color="auto"/>
        <w:left w:val="none" w:sz="0" w:space="0" w:color="auto"/>
        <w:bottom w:val="none" w:sz="0" w:space="0" w:color="auto"/>
        <w:right w:val="none" w:sz="0" w:space="0" w:color="auto"/>
      </w:divBdr>
    </w:div>
    <w:div w:id="1706365336">
      <w:bodyDiv w:val="1"/>
      <w:marLeft w:val="0"/>
      <w:marRight w:val="0"/>
      <w:marTop w:val="0"/>
      <w:marBottom w:val="0"/>
      <w:divBdr>
        <w:top w:val="none" w:sz="0" w:space="0" w:color="auto"/>
        <w:left w:val="none" w:sz="0" w:space="0" w:color="auto"/>
        <w:bottom w:val="none" w:sz="0" w:space="0" w:color="auto"/>
        <w:right w:val="none" w:sz="0" w:space="0" w:color="auto"/>
      </w:divBdr>
    </w:div>
    <w:div w:id="1799106012">
      <w:bodyDiv w:val="1"/>
      <w:marLeft w:val="0"/>
      <w:marRight w:val="0"/>
      <w:marTop w:val="0"/>
      <w:marBottom w:val="0"/>
      <w:divBdr>
        <w:top w:val="none" w:sz="0" w:space="0" w:color="auto"/>
        <w:left w:val="none" w:sz="0" w:space="0" w:color="auto"/>
        <w:bottom w:val="none" w:sz="0" w:space="0" w:color="auto"/>
        <w:right w:val="none" w:sz="0" w:space="0" w:color="auto"/>
      </w:divBdr>
    </w:div>
    <w:div w:id="1844853190">
      <w:bodyDiv w:val="1"/>
      <w:marLeft w:val="0"/>
      <w:marRight w:val="0"/>
      <w:marTop w:val="0"/>
      <w:marBottom w:val="0"/>
      <w:divBdr>
        <w:top w:val="none" w:sz="0" w:space="0" w:color="auto"/>
        <w:left w:val="none" w:sz="0" w:space="0" w:color="auto"/>
        <w:bottom w:val="none" w:sz="0" w:space="0" w:color="auto"/>
        <w:right w:val="none" w:sz="0" w:space="0" w:color="auto"/>
      </w:divBdr>
    </w:div>
    <w:div w:id="1846246072">
      <w:bodyDiv w:val="1"/>
      <w:marLeft w:val="0"/>
      <w:marRight w:val="0"/>
      <w:marTop w:val="0"/>
      <w:marBottom w:val="0"/>
      <w:divBdr>
        <w:top w:val="none" w:sz="0" w:space="0" w:color="auto"/>
        <w:left w:val="none" w:sz="0" w:space="0" w:color="auto"/>
        <w:bottom w:val="none" w:sz="0" w:space="0" w:color="auto"/>
        <w:right w:val="none" w:sz="0" w:space="0" w:color="auto"/>
      </w:divBdr>
    </w:div>
    <w:div w:id="1858233368">
      <w:bodyDiv w:val="1"/>
      <w:marLeft w:val="0"/>
      <w:marRight w:val="0"/>
      <w:marTop w:val="0"/>
      <w:marBottom w:val="0"/>
      <w:divBdr>
        <w:top w:val="none" w:sz="0" w:space="0" w:color="auto"/>
        <w:left w:val="none" w:sz="0" w:space="0" w:color="auto"/>
        <w:bottom w:val="none" w:sz="0" w:space="0" w:color="auto"/>
        <w:right w:val="none" w:sz="0" w:space="0" w:color="auto"/>
      </w:divBdr>
    </w:div>
    <w:div w:id="1955822591">
      <w:bodyDiv w:val="1"/>
      <w:marLeft w:val="0"/>
      <w:marRight w:val="0"/>
      <w:marTop w:val="0"/>
      <w:marBottom w:val="0"/>
      <w:divBdr>
        <w:top w:val="none" w:sz="0" w:space="0" w:color="auto"/>
        <w:left w:val="none" w:sz="0" w:space="0" w:color="auto"/>
        <w:bottom w:val="none" w:sz="0" w:space="0" w:color="auto"/>
        <w:right w:val="none" w:sz="0" w:space="0" w:color="auto"/>
      </w:divBdr>
    </w:div>
    <w:div w:id="2042657490">
      <w:bodyDiv w:val="1"/>
      <w:marLeft w:val="0"/>
      <w:marRight w:val="0"/>
      <w:marTop w:val="0"/>
      <w:marBottom w:val="0"/>
      <w:divBdr>
        <w:top w:val="none" w:sz="0" w:space="0" w:color="auto"/>
        <w:left w:val="none" w:sz="0" w:space="0" w:color="auto"/>
        <w:bottom w:val="none" w:sz="0" w:space="0" w:color="auto"/>
        <w:right w:val="none" w:sz="0" w:space="0" w:color="auto"/>
      </w:divBdr>
    </w:div>
    <w:div w:id="2079328320">
      <w:bodyDiv w:val="1"/>
      <w:marLeft w:val="0"/>
      <w:marRight w:val="0"/>
      <w:marTop w:val="0"/>
      <w:marBottom w:val="0"/>
      <w:divBdr>
        <w:top w:val="none" w:sz="0" w:space="0" w:color="auto"/>
        <w:left w:val="none" w:sz="0" w:space="0" w:color="auto"/>
        <w:bottom w:val="none" w:sz="0" w:space="0" w:color="auto"/>
        <w:right w:val="none" w:sz="0" w:space="0" w:color="auto"/>
      </w:divBdr>
    </w:div>
    <w:div w:id="2087220882">
      <w:bodyDiv w:val="1"/>
      <w:marLeft w:val="0"/>
      <w:marRight w:val="0"/>
      <w:marTop w:val="0"/>
      <w:marBottom w:val="0"/>
      <w:divBdr>
        <w:top w:val="none" w:sz="0" w:space="0" w:color="auto"/>
        <w:left w:val="none" w:sz="0" w:space="0" w:color="auto"/>
        <w:bottom w:val="none" w:sz="0" w:space="0" w:color="auto"/>
        <w:right w:val="none" w:sz="0" w:space="0" w:color="auto"/>
      </w:divBdr>
    </w:div>
    <w:div w:id="21341316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26.xml"/><Relationship Id="rId299" Type="http://schemas.openxmlformats.org/officeDocument/2006/relationships/hyperlink" Target="https://w3id.org/gba/glossary/porosity" TargetMode="External"/><Relationship Id="rId303" Type="http://schemas.openxmlformats.org/officeDocument/2006/relationships/hyperlink" Target="https://w3id.org/gba/glossary/proppant" TargetMode="External"/><Relationship Id="rId21" Type="http://schemas.openxmlformats.org/officeDocument/2006/relationships/hyperlink" Target="http://www.csiro.au" TargetMode="External"/><Relationship Id="rId42" Type="http://schemas.openxmlformats.org/officeDocument/2006/relationships/hyperlink" Target="https://www.bioregionalassessments.gov.au/geological-and-bioregional-assessment-program" TargetMode="External"/><Relationship Id="rId63" Type="http://schemas.openxmlformats.org/officeDocument/2006/relationships/image" Target="media/image14.png"/><Relationship Id="rId84" Type="http://schemas.openxmlformats.org/officeDocument/2006/relationships/image" Target="media/image35.png"/><Relationship Id="rId138" Type="http://schemas.openxmlformats.org/officeDocument/2006/relationships/hyperlink" Target="http://www.territorystories.nt.gov.au/jspui/handle/10070/241906" TargetMode="External"/><Relationship Id="rId159" Type="http://schemas.openxmlformats.org/officeDocument/2006/relationships/hyperlink" Target="https://geoscience.nt.gov.au/gemis/ntgsjspui/handle/1/87322" TargetMode="External"/><Relationship Id="rId324" Type="http://schemas.openxmlformats.org/officeDocument/2006/relationships/hyperlink" Target="https://w3id.org/gba/glossary/spring" TargetMode="External"/><Relationship Id="rId345" Type="http://schemas.openxmlformats.org/officeDocument/2006/relationships/hyperlink" Target="https://w3id.org/gba/glossary/well-barrier" TargetMode="External"/><Relationship Id="rId170" Type="http://schemas.openxmlformats.org/officeDocument/2006/relationships/hyperlink" Target="https://gisera.csiro.au/wp-content/uploads/2019/09/GISERA-W16-Task-4-Report_.pdf" TargetMode="External"/><Relationship Id="rId191" Type="http://schemas.openxmlformats.org/officeDocument/2006/relationships/hyperlink" Target="https://w3id.org/gba/glossary/biogenic-gas" TargetMode="External"/><Relationship Id="rId205" Type="http://schemas.openxmlformats.org/officeDocument/2006/relationships/hyperlink" Target="https://w3id.org/gba/glossary/context" TargetMode="External"/><Relationship Id="rId226" Type="http://schemas.openxmlformats.org/officeDocument/2006/relationships/hyperlink" Target="https://w3id.org/gba/glossary/drill-stem-test" TargetMode="External"/><Relationship Id="rId247" Type="http://schemas.openxmlformats.org/officeDocument/2006/relationships/hyperlink" Target="https://w3id.org/gba/glossary/free-gas" TargetMode="External"/><Relationship Id="rId107" Type="http://schemas.openxmlformats.org/officeDocument/2006/relationships/image" Target="media/image53.png"/><Relationship Id="rId268" Type="http://schemas.openxmlformats.org/officeDocument/2006/relationships/hyperlink" Target="https://w3id.org/gba/glossary/impact-mode" TargetMode="External"/><Relationship Id="rId289" Type="http://schemas.openxmlformats.org/officeDocument/2006/relationships/hyperlink" Target="https://w3id.org/gba/glossary/oil-prone" TargetMode="External"/><Relationship Id="rId11" Type="http://schemas.openxmlformats.org/officeDocument/2006/relationships/endnotes" Target="endnotes.xml"/><Relationship Id="rId32" Type="http://schemas.openxmlformats.org/officeDocument/2006/relationships/footer" Target="footer3.xml"/><Relationship Id="rId53" Type="http://schemas.openxmlformats.org/officeDocument/2006/relationships/footer" Target="footer12.xml"/><Relationship Id="rId74" Type="http://schemas.openxmlformats.org/officeDocument/2006/relationships/image" Target="media/image25.png"/><Relationship Id="rId128" Type="http://schemas.openxmlformats.org/officeDocument/2006/relationships/hyperlink" Target="https://denr.nt.gov.au/" TargetMode="External"/><Relationship Id="rId149" Type="http://schemas.openxmlformats.org/officeDocument/2006/relationships/hyperlink" Target="https://repo.bioregionalassessments.gov.au/metadata/E4C2B147-8338-4821-BC5E-DE300E9B6362" TargetMode="External"/><Relationship Id="rId314" Type="http://schemas.openxmlformats.org/officeDocument/2006/relationships/hyperlink" Target="https://w3id.org/gba/glossary/sedimentary-rock" TargetMode="External"/><Relationship Id="rId335" Type="http://schemas.openxmlformats.org/officeDocument/2006/relationships/hyperlink" Target="https://w3id.org/gba/glossary/trap" TargetMode="External"/><Relationship Id="rId356" Type="http://schemas.openxmlformats.org/officeDocument/2006/relationships/fontTable" Target="fontTable.xml"/><Relationship Id="rId5" Type="http://schemas.openxmlformats.org/officeDocument/2006/relationships/customXml" Target="../customXml/item5.xml"/><Relationship Id="rId95" Type="http://schemas.openxmlformats.org/officeDocument/2006/relationships/image" Target="media/image42.png"/><Relationship Id="rId160" Type="http://schemas.openxmlformats.org/officeDocument/2006/relationships/hyperlink" Target="https://geoscience.nt.gov.au/gemis/ntgsjspui/handle/1/79187" TargetMode="External"/><Relationship Id="rId181" Type="http://schemas.openxmlformats.org/officeDocument/2006/relationships/hyperlink" Target="https://w3id.org/gba/glossary/api-gravity" TargetMode="External"/><Relationship Id="rId216" Type="http://schemas.openxmlformats.org/officeDocument/2006/relationships/hyperlink" Target="https://w3id.org/gba/glossary/deposition" TargetMode="External"/><Relationship Id="rId237" Type="http://schemas.openxmlformats.org/officeDocument/2006/relationships/hyperlink" Target="https://w3id.org/gba/glossary/facies" TargetMode="External"/><Relationship Id="rId258" Type="http://schemas.openxmlformats.org/officeDocument/2006/relationships/hyperlink" Target="https://w3id.org/gba/glossary/hanging-wall" TargetMode="External"/><Relationship Id="rId279" Type="http://schemas.openxmlformats.org/officeDocument/2006/relationships/hyperlink" Target="https://w3id.org/gba/glossary/lithology" TargetMode="External"/><Relationship Id="rId22" Type="http://schemas.openxmlformats.org/officeDocument/2006/relationships/hyperlink" Target="http://www.ga.gov.au" TargetMode="External"/><Relationship Id="rId43" Type="http://schemas.openxmlformats.org/officeDocument/2006/relationships/header" Target="header8.xml"/><Relationship Id="rId64" Type="http://schemas.openxmlformats.org/officeDocument/2006/relationships/image" Target="media/image15.png"/><Relationship Id="rId118" Type="http://schemas.openxmlformats.org/officeDocument/2006/relationships/hyperlink" Target="https://geoscience.nt.gov.au/gemis/ntgsjspui/handle/1/81859" TargetMode="External"/><Relationship Id="rId139" Type="http://schemas.openxmlformats.org/officeDocument/2006/relationships/hyperlink" Target="https://repo.bioregionalassessments.gov.au/metadata/4BCBE081-EE77-474D-9451-0CF52A6BEFA4" TargetMode="External"/><Relationship Id="rId290" Type="http://schemas.openxmlformats.org/officeDocument/2006/relationships/hyperlink" Target="https://w3id.org/gba/glossary/organic-matter" TargetMode="External"/><Relationship Id="rId304" Type="http://schemas.openxmlformats.org/officeDocument/2006/relationships/hyperlink" Target="https://w3id.org/gba/glossary/recharge" TargetMode="External"/><Relationship Id="rId325" Type="http://schemas.openxmlformats.org/officeDocument/2006/relationships/hyperlink" Target="https://w3id.org/gba/glossary/stratigraphy" TargetMode="External"/><Relationship Id="rId346" Type="http://schemas.openxmlformats.org/officeDocument/2006/relationships/hyperlink" Target="https://w3id.org/gba/glossary/well-integrity" TargetMode="External"/><Relationship Id="rId85" Type="http://schemas.openxmlformats.org/officeDocument/2006/relationships/image" Target="media/image36.png"/><Relationship Id="rId150" Type="http://schemas.openxmlformats.org/officeDocument/2006/relationships/hyperlink" Target="https://repo.bioregionalassessments.gov.au/metadata/1AB02C99-D8E9-48C5-8629-E049F85FF2AB" TargetMode="External"/><Relationship Id="rId171" Type="http://schemas.openxmlformats.org/officeDocument/2006/relationships/hyperlink" Target="http://www.territorystories.nt.gov.au/jspui/bitstream/10070/251081/1/Effect%20of%20Land%20Use%20on%20Evapotranspiration%20and%20Recharge%20in%20the%20Daly%20River%20Catchment%20-%20WRD06017.pdf" TargetMode="External"/><Relationship Id="rId192" Type="http://schemas.openxmlformats.org/officeDocument/2006/relationships/hyperlink" Target="https://w3id.org/gba/glossary/bore" TargetMode="External"/><Relationship Id="rId206" Type="http://schemas.openxmlformats.org/officeDocument/2006/relationships/hyperlink" Target="https://w3id.org/gba/glossary/conventional-gas" TargetMode="External"/><Relationship Id="rId227" Type="http://schemas.openxmlformats.org/officeDocument/2006/relationships/hyperlink" Target="https://w3id.org/gba/glossary/drilling-fluid" TargetMode="External"/><Relationship Id="rId248" Type="http://schemas.openxmlformats.org/officeDocument/2006/relationships/hyperlink" Target="https://w3id.org/gba/glossary/gas-cap" TargetMode="External"/><Relationship Id="rId269" Type="http://schemas.openxmlformats.org/officeDocument/2006/relationships/hyperlink" Target="https://w3id.org/gba/glossary/impact-modes-and-effects-analysis" TargetMode="External"/><Relationship Id="rId12" Type="http://schemas.openxmlformats.org/officeDocument/2006/relationships/image" Target="media/image1.png"/><Relationship Id="rId33" Type="http://schemas.openxmlformats.org/officeDocument/2006/relationships/header" Target="header4.xml"/><Relationship Id="rId108" Type="http://schemas.openxmlformats.org/officeDocument/2006/relationships/image" Target="media/image54.png"/><Relationship Id="rId129" Type="http://schemas.openxmlformats.org/officeDocument/2006/relationships/hyperlink" Target="https://denr.nt.gov.au/" TargetMode="External"/><Relationship Id="rId280" Type="http://schemas.openxmlformats.org/officeDocument/2006/relationships/hyperlink" Target="https://w3id.org/gba/glossary/material" TargetMode="External"/><Relationship Id="rId315" Type="http://schemas.openxmlformats.org/officeDocument/2006/relationships/hyperlink" Target="https://w3id.org/gba/glossary/sedimentation" TargetMode="External"/><Relationship Id="rId336" Type="http://schemas.openxmlformats.org/officeDocument/2006/relationships/hyperlink" Target="https://w3id.org/gba/glossary/unconfined-aquifer" TargetMode="External"/><Relationship Id="rId357" Type="http://schemas.openxmlformats.org/officeDocument/2006/relationships/theme" Target="theme/theme1.xml"/><Relationship Id="rId54" Type="http://schemas.openxmlformats.org/officeDocument/2006/relationships/header" Target="header12.xml"/><Relationship Id="rId75" Type="http://schemas.openxmlformats.org/officeDocument/2006/relationships/image" Target="media/image26.jpg"/><Relationship Id="rId96" Type="http://schemas.openxmlformats.org/officeDocument/2006/relationships/image" Target="media/image43.png"/><Relationship Id="rId140" Type="http://schemas.openxmlformats.org/officeDocument/2006/relationships/hyperlink" Target="https://frackinginquiry.nt.gov.au/?a=410609" TargetMode="External"/><Relationship Id="rId161" Type="http://schemas.openxmlformats.org/officeDocument/2006/relationships/hyperlink" Target="https://www.originenergy.com.au/" TargetMode="External"/><Relationship Id="rId182" Type="http://schemas.openxmlformats.org/officeDocument/2006/relationships/hyperlink" Target="https://w3id.org/gba/glossary/aquifer" TargetMode="External"/><Relationship Id="rId217" Type="http://schemas.openxmlformats.org/officeDocument/2006/relationships/hyperlink" Target="https://w3id.org/gba/glossary/depositional-environment" TargetMode="External"/><Relationship Id="rId6" Type="http://schemas.openxmlformats.org/officeDocument/2006/relationships/numbering" Target="numbering.xml"/><Relationship Id="rId238" Type="http://schemas.openxmlformats.org/officeDocument/2006/relationships/hyperlink" Target="https://w3id.org/gba/glossary/fault" TargetMode="External"/><Relationship Id="rId259" Type="http://schemas.openxmlformats.org/officeDocument/2006/relationships/hyperlink" Target="https://w3id.org/gba/glossary/hazard" TargetMode="External"/><Relationship Id="rId23" Type="http://schemas.openxmlformats.org/officeDocument/2006/relationships/image" Target="media/image7.png"/><Relationship Id="rId119" Type="http://schemas.openxmlformats.org/officeDocument/2006/relationships/hyperlink" Target="https://geoscience.nt.gov.au/gemis/ntgsjspui/handle/1/81754" TargetMode="External"/><Relationship Id="rId270" Type="http://schemas.openxmlformats.org/officeDocument/2006/relationships/hyperlink" Target="https://w3id.org/gba/glossary/injection" TargetMode="External"/><Relationship Id="rId291" Type="http://schemas.openxmlformats.org/officeDocument/2006/relationships/hyperlink" Target="https://w3id.org/gba/glossary/outcrop" TargetMode="External"/><Relationship Id="rId305" Type="http://schemas.openxmlformats.org/officeDocument/2006/relationships/hyperlink" Target="https://w3id.org/gba/glossary/reservoir" TargetMode="External"/><Relationship Id="rId326" Type="http://schemas.openxmlformats.org/officeDocument/2006/relationships/hyperlink" Target="https://w3id.org/gba/glossary/stress" TargetMode="External"/><Relationship Id="rId347" Type="http://schemas.openxmlformats.org/officeDocument/2006/relationships/header" Target="header27.xml"/><Relationship Id="rId44" Type="http://schemas.openxmlformats.org/officeDocument/2006/relationships/header" Target="header9.xml"/><Relationship Id="rId65" Type="http://schemas.openxmlformats.org/officeDocument/2006/relationships/image" Target="media/image16.jpg"/><Relationship Id="rId86" Type="http://schemas.openxmlformats.org/officeDocument/2006/relationships/image" Target="media/image37.png"/><Relationship Id="rId130" Type="http://schemas.openxmlformats.org/officeDocument/2006/relationships/hyperlink" Target="https://denr.nt.gov.au/land-resource-management/info-systems/natural-resource-maps/spatial-data-requests" TargetMode="External"/><Relationship Id="rId151" Type="http://schemas.openxmlformats.org/officeDocument/2006/relationships/hyperlink" Target="http://pid.geoscience.gov.au/dataset/ga/74619" TargetMode="External"/><Relationship Id="rId172" Type="http://schemas.openxmlformats.org/officeDocument/2006/relationships/hyperlink" Target="http://www.territorystories.nt.gov.au/jspui/handle/10070/228887" TargetMode="External"/><Relationship Id="rId193" Type="http://schemas.openxmlformats.org/officeDocument/2006/relationships/hyperlink" Target="https://w3id.org/gba/glossary/casing" TargetMode="External"/><Relationship Id="rId207" Type="http://schemas.openxmlformats.org/officeDocument/2006/relationships/hyperlink" Target="https://w3id.org/gba/glossary/cooper-basin" TargetMode="External"/><Relationship Id="rId228" Type="http://schemas.openxmlformats.org/officeDocument/2006/relationships/hyperlink" Target="https://w3id.org/gba/glossary/ecosystem" TargetMode="External"/><Relationship Id="rId249" Type="http://schemas.openxmlformats.org/officeDocument/2006/relationships/hyperlink" Target="https://w3id.org/gba/glossary/gas-saturation" TargetMode="External"/><Relationship Id="rId13" Type="http://schemas.openxmlformats.org/officeDocument/2006/relationships/image" Target="media/image2.jpeg"/><Relationship Id="rId109" Type="http://schemas.openxmlformats.org/officeDocument/2006/relationships/header" Target="header20.xml"/><Relationship Id="rId260" Type="http://schemas.openxmlformats.org/officeDocument/2006/relationships/hyperlink" Target="https://w3id.org/gba/glossary/hydraulic-fracturing" TargetMode="External"/><Relationship Id="rId281" Type="http://schemas.openxmlformats.org/officeDocument/2006/relationships/hyperlink" Target="https://w3id.org/gba/glossary/mature" TargetMode="External"/><Relationship Id="rId316" Type="http://schemas.openxmlformats.org/officeDocument/2006/relationships/hyperlink" Target="https://w3id.org/gba/glossary/seismic-survey" TargetMode="External"/><Relationship Id="rId337" Type="http://schemas.openxmlformats.org/officeDocument/2006/relationships/hyperlink" Target="https://w3id.org/gba/glossary/unconformity" TargetMode="External"/><Relationship Id="rId34" Type="http://schemas.openxmlformats.org/officeDocument/2006/relationships/footer" Target="footer4.xml"/><Relationship Id="rId55" Type="http://schemas.openxmlformats.org/officeDocument/2006/relationships/header" Target="header13.xml"/><Relationship Id="rId76" Type="http://schemas.openxmlformats.org/officeDocument/2006/relationships/image" Target="media/image27.png"/><Relationship Id="rId97" Type="http://schemas.openxmlformats.org/officeDocument/2006/relationships/image" Target="media/image44.png"/><Relationship Id="rId120" Type="http://schemas.openxmlformats.org/officeDocument/2006/relationships/hyperlink" Target="https://geoscience.nt.gov.au/gemis/ntgsjspui/handle/1/81756" TargetMode="External"/><Relationship Id="rId141" Type="http://schemas.openxmlformats.org/officeDocument/2006/relationships/hyperlink" Target="https://repo.bioregionalassessments.gov.au/metadata/B7C9EE99-5A13-4312-89DA-794C082F8345" TargetMode="External"/><Relationship Id="rId7" Type="http://schemas.openxmlformats.org/officeDocument/2006/relationships/styles" Target="styles.xml"/><Relationship Id="rId162" Type="http://schemas.openxmlformats.org/officeDocument/2006/relationships/hyperlink" Target="https://www.pangaea.net.au/" TargetMode="External"/><Relationship Id="rId183" Type="http://schemas.openxmlformats.org/officeDocument/2006/relationships/hyperlink" Target="https://w3id.org/gba/glossary/aquitard" TargetMode="External"/><Relationship Id="rId218" Type="http://schemas.openxmlformats.org/officeDocument/2006/relationships/hyperlink" Target="https://w3id.org/gba/glossary/development" TargetMode="External"/><Relationship Id="rId239" Type="http://schemas.openxmlformats.org/officeDocument/2006/relationships/hyperlink" Target="https://w3id.org/gba/glossary/field" TargetMode="External"/><Relationship Id="rId250" Type="http://schemas.openxmlformats.org/officeDocument/2006/relationships/hyperlink" Target="https://w3id.org/gba/glossary/geological-architecture" TargetMode="External"/><Relationship Id="rId271" Type="http://schemas.openxmlformats.org/officeDocument/2006/relationships/hyperlink" Target="https://w3id.org/gba/glossary/intrusion" TargetMode="External"/><Relationship Id="rId292" Type="http://schemas.openxmlformats.org/officeDocument/2006/relationships/hyperlink" Target="https://w3id.org/gba/glossary/overpressure" TargetMode="External"/><Relationship Id="rId306" Type="http://schemas.openxmlformats.org/officeDocument/2006/relationships/hyperlink" Target="https://w3id.org/gba/glossary/reservoir-rock" TargetMode="External"/><Relationship Id="rId24" Type="http://schemas.openxmlformats.org/officeDocument/2006/relationships/hyperlink" Target="https://creativecommons.org/licenses/by/4.0/" TargetMode="External"/><Relationship Id="rId45" Type="http://schemas.openxmlformats.org/officeDocument/2006/relationships/footer" Target="footer9.xml"/><Relationship Id="rId66" Type="http://schemas.openxmlformats.org/officeDocument/2006/relationships/image" Target="media/image17.png"/><Relationship Id="rId87" Type="http://schemas.openxmlformats.org/officeDocument/2006/relationships/image" Target="media/image38.png"/><Relationship Id="rId110" Type="http://schemas.openxmlformats.org/officeDocument/2006/relationships/header" Target="header21.xml"/><Relationship Id="rId131" Type="http://schemas.openxmlformats.org/officeDocument/2006/relationships/hyperlink" Target="https://denr.nt.gov.au/" TargetMode="External"/><Relationship Id="rId327" Type="http://schemas.openxmlformats.org/officeDocument/2006/relationships/hyperlink" Target="https://w3id.org/gba/glossary/stressor" TargetMode="External"/><Relationship Id="rId348" Type="http://schemas.openxmlformats.org/officeDocument/2006/relationships/header" Target="header28.xml"/><Relationship Id="rId152" Type="http://schemas.openxmlformats.org/officeDocument/2006/relationships/hyperlink" Target="http://pid.geoscience.gov.au/dataset/ga/121054" TargetMode="External"/><Relationship Id="rId173" Type="http://schemas.openxmlformats.org/officeDocument/2006/relationships/hyperlink" Target="http://www.territorystories.nt.gov.au/handle/10070/229643" TargetMode="External"/><Relationship Id="rId194" Type="http://schemas.openxmlformats.org/officeDocument/2006/relationships/hyperlink" Target="https://w3id.org/gba/glossary/causal-pathway" TargetMode="External"/><Relationship Id="rId208" Type="http://schemas.openxmlformats.org/officeDocument/2006/relationships/hyperlink" Target="https://w3id.org/gba/glossary/craton" TargetMode="External"/><Relationship Id="rId229" Type="http://schemas.openxmlformats.org/officeDocument/2006/relationships/hyperlink" Target="https://w3id.org/gba/glossary/effect" TargetMode="External"/><Relationship Id="rId240" Type="http://schemas.openxmlformats.org/officeDocument/2006/relationships/hyperlink" Target="https://w3id.org/gba/glossary/floodplain" TargetMode="External"/><Relationship Id="rId261" Type="http://schemas.openxmlformats.org/officeDocument/2006/relationships/hyperlink" Target="https://w3id.org/gba/glossary/hydraulic-fracturing-fluid" TargetMode="External"/><Relationship Id="rId14" Type="http://schemas.openxmlformats.org/officeDocument/2006/relationships/image" Target="media/image3.png"/><Relationship Id="rId35" Type="http://schemas.openxmlformats.org/officeDocument/2006/relationships/footer" Target="footer5.xml"/><Relationship Id="rId56" Type="http://schemas.openxmlformats.org/officeDocument/2006/relationships/image" Target="media/image11.png"/><Relationship Id="rId77" Type="http://schemas.openxmlformats.org/officeDocument/2006/relationships/image" Target="media/image28.png"/><Relationship Id="rId100" Type="http://schemas.openxmlformats.org/officeDocument/2006/relationships/image" Target="media/image47.png"/><Relationship Id="rId282" Type="http://schemas.openxmlformats.org/officeDocument/2006/relationships/hyperlink" Target="https://w3id.org/gba/glossary/metamorphic-rock" TargetMode="External"/><Relationship Id="rId317" Type="http://schemas.openxmlformats.org/officeDocument/2006/relationships/hyperlink" Target="https://w3id.org/gba/glossary/shale" TargetMode="External"/><Relationship Id="rId338" Type="http://schemas.openxmlformats.org/officeDocument/2006/relationships/hyperlink" Target="https://w3id.org/gba/glossary/unconventional-gas" TargetMode="External"/><Relationship Id="rId8" Type="http://schemas.openxmlformats.org/officeDocument/2006/relationships/settings" Target="settings.xml"/><Relationship Id="rId98" Type="http://schemas.openxmlformats.org/officeDocument/2006/relationships/image" Target="media/image45.png"/><Relationship Id="rId121" Type="http://schemas.openxmlformats.org/officeDocument/2006/relationships/hyperlink" Target="http://www.bom.gov.au/water/geofabric/documents/v2_1/ahgf_dps_surface_cartography_V2_1_release.pdf" TargetMode="External"/><Relationship Id="rId142" Type="http://schemas.openxmlformats.org/officeDocument/2006/relationships/hyperlink" Target="https://repo.bioregionalassessments.gov.au/metadata/8AFD2AA4-8361-4D6D-B64B-125C58F14EC6" TargetMode="External"/><Relationship Id="rId163" Type="http://schemas.openxmlformats.org/officeDocument/2006/relationships/hyperlink" Target="http://www.territorystories.nt.gov.au/bitstream/10070/246897/1/Helen_Springs_Groundwater_Investigation_2000.pdf" TargetMode="External"/><Relationship Id="rId184" Type="http://schemas.openxmlformats.org/officeDocument/2006/relationships/hyperlink" Target="https://w3id.org/gba/glossary/artesian-aquifer" TargetMode="External"/><Relationship Id="rId219" Type="http://schemas.openxmlformats.org/officeDocument/2006/relationships/hyperlink" Target="https://w3id.org/gba/glossary/disconformity" TargetMode="External"/><Relationship Id="rId230" Type="http://schemas.openxmlformats.org/officeDocument/2006/relationships/hyperlink" Target="https://w3id.org/gba/glossary/effective-porosity" TargetMode="External"/><Relationship Id="rId251" Type="http://schemas.openxmlformats.org/officeDocument/2006/relationships/hyperlink" Target="https://w3id.org/gba/glossary/geological-formation" TargetMode="External"/><Relationship Id="rId25" Type="http://schemas.openxmlformats.org/officeDocument/2006/relationships/hyperlink" Target="http://www.bioregionalassessments.gov.au" TargetMode="External"/><Relationship Id="rId46" Type="http://schemas.openxmlformats.org/officeDocument/2006/relationships/footer" Target="footer10.xml"/><Relationship Id="rId67" Type="http://schemas.openxmlformats.org/officeDocument/2006/relationships/image" Target="media/image18.png"/><Relationship Id="rId272" Type="http://schemas.openxmlformats.org/officeDocument/2006/relationships/hyperlink" Target="https://w3id.org/gba/glossary/kerogen" TargetMode="External"/><Relationship Id="rId293" Type="http://schemas.openxmlformats.org/officeDocument/2006/relationships/hyperlink" Target="https://w3id.org/gba/glossary/partial-aquifer" TargetMode="External"/><Relationship Id="rId307" Type="http://schemas.openxmlformats.org/officeDocument/2006/relationships/hyperlink" Target="https://w3id.org/gba/glossary/reverse-fault" TargetMode="External"/><Relationship Id="rId328" Type="http://schemas.openxmlformats.org/officeDocument/2006/relationships/hyperlink" Target="https://w3id.org/gba/glossary/structure" TargetMode="External"/><Relationship Id="rId349" Type="http://schemas.openxmlformats.org/officeDocument/2006/relationships/image" Target="media/image55.jpeg"/><Relationship Id="rId88" Type="http://schemas.openxmlformats.org/officeDocument/2006/relationships/header" Target="header17.xml"/><Relationship Id="rId111" Type="http://schemas.openxmlformats.org/officeDocument/2006/relationships/header" Target="header22.xml"/><Relationship Id="rId132" Type="http://schemas.openxmlformats.org/officeDocument/2006/relationships/hyperlink" Target="https://data.qld.gov.au/dataset/silo-climate-api" TargetMode="External"/><Relationship Id="rId153" Type="http://schemas.openxmlformats.org/officeDocument/2006/relationships/hyperlink" Target="https://frackinginquiry.nt.gov.au/submission-library?a=433159" TargetMode="External"/><Relationship Id="rId174" Type="http://schemas.openxmlformats.org/officeDocument/2006/relationships/hyperlink" Target="http://www.territorystories.nt.gov.au/jspui/handle/10070/243633" TargetMode="External"/><Relationship Id="rId195" Type="http://schemas.openxmlformats.org/officeDocument/2006/relationships/hyperlink" Target="https://w3id.org/gba/glossary/charge" TargetMode="External"/><Relationship Id="rId209" Type="http://schemas.openxmlformats.org/officeDocument/2006/relationships/hyperlink" Target="https://w3id.org/gba/glossary/crude-oil" TargetMode="External"/><Relationship Id="rId190" Type="http://schemas.openxmlformats.org/officeDocument/2006/relationships/hyperlink" Target="https://w3id.org/gba/glossary/bed" TargetMode="External"/><Relationship Id="rId204" Type="http://schemas.openxmlformats.org/officeDocument/2006/relationships/hyperlink" Target="https://w3id.org/gba/glossary/consequence" TargetMode="External"/><Relationship Id="rId220" Type="http://schemas.openxmlformats.org/officeDocument/2006/relationships/hyperlink" Target="https://w3id.org/gba/glossary/discovered" TargetMode="External"/><Relationship Id="rId225" Type="http://schemas.openxmlformats.org/officeDocument/2006/relationships/hyperlink" Target="https://w3id.org/gba/glossary/drill-bit" TargetMode="External"/><Relationship Id="rId241" Type="http://schemas.openxmlformats.org/officeDocument/2006/relationships/hyperlink" Target="https://w3id.org/gba/glossary/fold" TargetMode="External"/><Relationship Id="rId246" Type="http://schemas.openxmlformats.org/officeDocument/2006/relationships/hyperlink" Target="https://w3id.org/gba/glossary/fracture" TargetMode="External"/><Relationship Id="rId267" Type="http://schemas.openxmlformats.org/officeDocument/2006/relationships/hyperlink" Target="https://w3id.org/gba/glossary/impact-cause" TargetMode="External"/><Relationship Id="rId288" Type="http://schemas.openxmlformats.org/officeDocument/2006/relationships/hyperlink" Target="https://w3id.org/gba/glossary/oil" TargetMode="External"/><Relationship Id="rId15" Type="http://schemas.openxmlformats.org/officeDocument/2006/relationships/image" Target="media/image4.png"/><Relationship Id="rId36" Type="http://schemas.openxmlformats.org/officeDocument/2006/relationships/header" Target="header5.xml"/><Relationship Id="rId57" Type="http://schemas.openxmlformats.org/officeDocument/2006/relationships/header" Target="header14.xml"/><Relationship Id="rId106" Type="http://schemas.openxmlformats.org/officeDocument/2006/relationships/image" Target="media/image52.png"/><Relationship Id="rId127" Type="http://schemas.openxmlformats.org/officeDocument/2006/relationships/hyperlink" Target="http://www.ntlis.nt.gov.au/metadata/export_data?type=html&amp;metadata_id=535D1EECEB0F528AE040CD9B21446C20" TargetMode="External"/><Relationship Id="rId262" Type="http://schemas.openxmlformats.org/officeDocument/2006/relationships/hyperlink" Target="https://w3id.org/gba/glossary/hydrocarbon-show" TargetMode="External"/><Relationship Id="rId283" Type="http://schemas.openxmlformats.org/officeDocument/2006/relationships/hyperlink" Target="https://w3id.org/gba/glossary/methane" TargetMode="External"/><Relationship Id="rId313" Type="http://schemas.openxmlformats.org/officeDocument/2006/relationships/hyperlink" Target="https://w3id.org/gba/glossary/sediment" TargetMode="External"/><Relationship Id="rId318" Type="http://schemas.openxmlformats.org/officeDocument/2006/relationships/hyperlink" Target="https://w3id.org/gba/glossary/shale-gas" TargetMode="External"/><Relationship Id="rId339" Type="http://schemas.openxmlformats.org/officeDocument/2006/relationships/hyperlink" Target="https://w3id.org/gba/glossary/water-allocation" TargetMode="External"/><Relationship Id="rId10" Type="http://schemas.openxmlformats.org/officeDocument/2006/relationships/footnotes" Target="footnotes.xml"/><Relationship Id="rId31" Type="http://schemas.openxmlformats.org/officeDocument/2006/relationships/header" Target="header3.xml"/><Relationship Id="rId52" Type="http://schemas.openxmlformats.org/officeDocument/2006/relationships/footer" Target="footer11.xml"/><Relationship Id="rId73" Type="http://schemas.openxmlformats.org/officeDocument/2006/relationships/image" Target="media/image24.jpg"/><Relationship Id="rId78" Type="http://schemas.openxmlformats.org/officeDocument/2006/relationships/image" Target="media/image29.png"/><Relationship Id="rId94" Type="http://schemas.openxmlformats.org/officeDocument/2006/relationships/image" Target="media/image41.png"/><Relationship Id="rId99" Type="http://schemas.openxmlformats.org/officeDocument/2006/relationships/image" Target="media/image46.png"/><Relationship Id="rId101" Type="http://schemas.openxmlformats.org/officeDocument/2006/relationships/image" Target="media/image48.png"/><Relationship Id="rId122" Type="http://schemas.openxmlformats.org/officeDocument/2006/relationships/hyperlink" Target="http://www.bom.gov.au/water/groundwater/gde/index.shtml" TargetMode="External"/><Relationship Id="rId143" Type="http://schemas.openxmlformats.org/officeDocument/2006/relationships/hyperlink" Target="https://repo.bioregionalassessments.gov.au/metadata/FE2AAF5B-9204-4771-998E-9F002FEDE3BA" TargetMode="External"/><Relationship Id="rId148" Type="http://schemas.openxmlformats.org/officeDocument/2006/relationships/hyperlink" Target="https://repo.bioregionalassessments.gov.au/metadata/A0654187-3282-4DB6-B5A4-668A897D4D79" TargetMode="External"/><Relationship Id="rId164" Type="http://schemas.openxmlformats.org/officeDocument/2006/relationships/hyperlink" Target="http://data.bioregionalassessments.gov.au/product/CLM/CLM/2.1-2.2" TargetMode="External"/><Relationship Id="rId169" Type="http://schemas.openxmlformats.org/officeDocument/2006/relationships/hyperlink" Target="https://unesdoc.unesco.org/ark:/48223/pf0000047363" TargetMode="External"/><Relationship Id="rId185" Type="http://schemas.openxmlformats.org/officeDocument/2006/relationships/hyperlink" Target="https://w3id.org/gba/glossary/asset" TargetMode="External"/><Relationship Id="rId334" Type="http://schemas.openxmlformats.org/officeDocument/2006/relationships/hyperlink" Target="https://w3id.org/gba/glossary/total-porosity" TargetMode="External"/><Relationship Id="rId350" Type="http://schemas.openxmlformats.org/officeDocument/2006/relationships/image" Target="media/image56.jpg"/><Relationship Id="rId355" Type="http://schemas.openxmlformats.org/officeDocument/2006/relationships/footer" Target="footer17.xm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yperlink" Target="https://w3id.org/gba/glossary/anticline" TargetMode="External"/><Relationship Id="rId210" Type="http://schemas.openxmlformats.org/officeDocument/2006/relationships/hyperlink" Target="https://w3id.org/gba/glossary/crust" TargetMode="External"/><Relationship Id="rId215" Type="http://schemas.openxmlformats.org/officeDocument/2006/relationships/hyperlink" Target="https://w3id.org/gba/glossary/depocentre" TargetMode="External"/><Relationship Id="rId236" Type="http://schemas.openxmlformats.org/officeDocument/2006/relationships/hyperlink" Target="https://w3id.org/gba/glossary/extraction" TargetMode="External"/><Relationship Id="rId257" Type="http://schemas.openxmlformats.org/officeDocument/2006/relationships/hyperlink" Target="https://w3id.org/gba/glossary/groundwater-system" TargetMode="External"/><Relationship Id="rId278" Type="http://schemas.openxmlformats.org/officeDocument/2006/relationships/hyperlink" Target="https://w3id.org/gba/glossary/liquid-rich-gas" TargetMode="External"/><Relationship Id="rId26" Type="http://schemas.openxmlformats.org/officeDocument/2006/relationships/hyperlink" Target="mailto:bioregionalassessments@awe.gov.au" TargetMode="External"/><Relationship Id="rId231" Type="http://schemas.openxmlformats.org/officeDocument/2006/relationships/hyperlink" Target="https://w3id.org/gba/glossary/effective-water-saturation" TargetMode="External"/><Relationship Id="rId252" Type="http://schemas.openxmlformats.org/officeDocument/2006/relationships/hyperlink" Target="https://w3id.org/gba/glossary/geothermal-gradient" TargetMode="External"/><Relationship Id="rId273" Type="http://schemas.openxmlformats.org/officeDocument/2006/relationships/hyperlink" Target="https://w3id.org/gba/glossary/lake-eyre-basin" TargetMode="External"/><Relationship Id="rId294" Type="http://schemas.openxmlformats.org/officeDocument/2006/relationships/hyperlink" Target="https://w3id.org/gba/glossary/percentile" TargetMode="External"/><Relationship Id="rId308" Type="http://schemas.openxmlformats.org/officeDocument/2006/relationships/hyperlink" Target="https://w3id.org/gba/glossary/ridge" TargetMode="External"/><Relationship Id="rId329" Type="http://schemas.openxmlformats.org/officeDocument/2006/relationships/hyperlink" Target="https://w3id.org/gba/glossary/subcrop" TargetMode="External"/><Relationship Id="rId47" Type="http://schemas.openxmlformats.org/officeDocument/2006/relationships/image" Target="media/image9.png"/><Relationship Id="rId68" Type="http://schemas.openxmlformats.org/officeDocument/2006/relationships/image" Target="media/image19.png"/><Relationship Id="rId89" Type="http://schemas.openxmlformats.org/officeDocument/2006/relationships/header" Target="header18.xml"/><Relationship Id="rId112" Type="http://schemas.openxmlformats.org/officeDocument/2006/relationships/footer" Target="footer15.xml"/><Relationship Id="rId133" Type="http://schemas.openxmlformats.org/officeDocument/2006/relationships/hyperlink" Target="https://frackinginquiry.nt.gov.au/?a=464723" TargetMode="External"/><Relationship Id="rId154" Type="http://schemas.openxmlformats.org/officeDocument/2006/relationships/hyperlink" Target="http://www.territorystories.nt.gov.au/jspui/bitstream/10070/228069/1/WRA06029.pdf" TargetMode="External"/><Relationship Id="rId175" Type="http://schemas.openxmlformats.org/officeDocument/2006/relationships/hyperlink" Target="https://www.territorystories.nt.gov.au/bitstream/10070/235217/1/Roper.pdf" TargetMode="External"/><Relationship Id="rId340" Type="http://schemas.openxmlformats.org/officeDocument/2006/relationships/hyperlink" Target="https://w3id.org/gba/glossary/water-saturation" TargetMode="External"/><Relationship Id="rId196" Type="http://schemas.openxmlformats.org/officeDocument/2006/relationships/hyperlink" Target="https://w3id.org/gba/glossary/clastic" TargetMode="External"/><Relationship Id="rId200" Type="http://schemas.openxmlformats.org/officeDocument/2006/relationships/hyperlink" Target="https://w3id.org/gba/glossary/compression" TargetMode="External"/><Relationship Id="rId16" Type="http://schemas.openxmlformats.org/officeDocument/2006/relationships/image" Target="media/image5.jpeg"/><Relationship Id="rId221" Type="http://schemas.openxmlformats.org/officeDocument/2006/relationships/hyperlink" Target="https://w3id.org/gba/glossary/dolomite" TargetMode="External"/><Relationship Id="rId242" Type="http://schemas.openxmlformats.org/officeDocument/2006/relationships/hyperlink" Target="https://w3id.org/gba/glossary/footwall" TargetMode="External"/><Relationship Id="rId263" Type="http://schemas.openxmlformats.org/officeDocument/2006/relationships/hyperlink" Target="https://w3id.org/gba/glossary/hydrocarbons" TargetMode="External"/><Relationship Id="rId284" Type="http://schemas.openxmlformats.org/officeDocument/2006/relationships/hyperlink" Target="https://w3id.org/gba/glossary/migration" TargetMode="External"/><Relationship Id="rId319" Type="http://schemas.openxmlformats.org/officeDocument/2006/relationships/hyperlink" Target="https://w3id.org/gba/glossary/shear" TargetMode="External"/><Relationship Id="rId37" Type="http://schemas.openxmlformats.org/officeDocument/2006/relationships/footer" Target="footer6.xml"/><Relationship Id="rId58" Type="http://schemas.openxmlformats.org/officeDocument/2006/relationships/header" Target="header15.xml"/><Relationship Id="rId79" Type="http://schemas.openxmlformats.org/officeDocument/2006/relationships/image" Target="media/image30.png"/><Relationship Id="rId102" Type="http://schemas.openxmlformats.org/officeDocument/2006/relationships/hyperlink" Target="https://nationalmap.gov.au/" TargetMode="External"/><Relationship Id="rId123" Type="http://schemas.openxmlformats.org/officeDocument/2006/relationships/hyperlink" Target="https://geoscience.nt.gov.au/gemis/ntgsjspui/handle/1/82589" TargetMode="External"/><Relationship Id="rId144" Type="http://schemas.openxmlformats.org/officeDocument/2006/relationships/hyperlink" Target="https://repo.bioregionalassessments.gov.au/metadata/52556C6B-A44C-4AD4-8FB4-F9F609B1E228" TargetMode="External"/><Relationship Id="rId330" Type="http://schemas.openxmlformats.org/officeDocument/2006/relationships/hyperlink" Target="https://w3id.org/gba/glossary/surface-water" TargetMode="External"/><Relationship Id="rId90" Type="http://schemas.openxmlformats.org/officeDocument/2006/relationships/header" Target="header19.xml"/><Relationship Id="rId165" Type="http://schemas.openxmlformats.org/officeDocument/2006/relationships/hyperlink" Target="http://www.ga.gov.au/metadata-gateway/metadata/record/100/" TargetMode="External"/><Relationship Id="rId186" Type="http://schemas.openxmlformats.org/officeDocument/2006/relationships/hyperlink" Target="https://w3id.org/gba/glossary/barrel" TargetMode="External"/><Relationship Id="rId351" Type="http://schemas.openxmlformats.org/officeDocument/2006/relationships/hyperlink" Target="http://www.bioregionalassessments.gov.au" TargetMode="External"/><Relationship Id="rId211" Type="http://schemas.openxmlformats.org/officeDocument/2006/relationships/hyperlink" Target="https://w3id.org/gba/glossary/cumulative-impact" TargetMode="External"/><Relationship Id="rId232" Type="http://schemas.openxmlformats.org/officeDocument/2006/relationships/hyperlink" Target="https://w3id.org/gba/glossary/eromanga-basin" TargetMode="External"/><Relationship Id="rId253" Type="http://schemas.openxmlformats.org/officeDocument/2006/relationships/hyperlink" Target="https://w3id.org/gba/glossary/groundwater" TargetMode="External"/><Relationship Id="rId274" Type="http://schemas.openxmlformats.org/officeDocument/2006/relationships/hyperlink" Target="https://w3id.org/gba/glossary/leaky-aquitard" TargetMode="External"/><Relationship Id="rId295" Type="http://schemas.openxmlformats.org/officeDocument/2006/relationships/hyperlink" Target="https://w3id.org/gba/glossary/permeability" TargetMode="External"/><Relationship Id="rId309" Type="http://schemas.openxmlformats.org/officeDocument/2006/relationships/hyperlink" Target="https://w3id.org/gba/glossary/risk" TargetMode="External"/><Relationship Id="rId27" Type="http://schemas.openxmlformats.org/officeDocument/2006/relationships/header" Target="header1.xml"/><Relationship Id="rId48" Type="http://schemas.openxmlformats.org/officeDocument/2006/relationships/hyperlink" Target="https://data.qld.gov.au/dataset/silo-climate-api" TargetMode="External"/><Relationship Id="rId69" Type="http://schemas.openxmlformats.org/officeDocument/2006/relationships/image" Target="media/image20.png"/><Relationship Id="rId113" Type="http://schemas.openxmlformats.org/officeDocument/2006/relationships/header" Target="header23.xml"/><Relationship Id="rId134" Type="http://schemas.openxmlformats.org/officeDocument/2006/relationships/hyperlink" Target="https://frackinginquiry.nt.gov.au/?a=424269" TargetMode="External"/><Relationship Id="rId320" Type="http://schemas.openxmlformats.org/officeDocument/2006/relationships/hyperlink" Target="https://w3id.org/gba/glossary/siliciclastic" TargetMode="External"/><Relationship Id="rId80" Type="http://schemas.openxmlformats.org/officeDocument/2006/relationships/image" Target="media/image31.png"/><Relationship Id="rId155" Type="http://schemas.openxmlformats.org/officeDocument/2006/relationships/hyperlink" Target="http://dev.territorystories.nt.gov.au/jspui/handle/10070/246988?mode=full" TargetMode="External"/><Relationship Id="rId176" Type="http://schemas.openxmlformats.org/officeDocument/2006/relationships/hyperlink" Target="https://w3id.org/gba/glossary" TargetMode="External"/><Relationship Id="rId197" Type="http://schemas.openxmlformats.org/officeDocument/2006/relationships/hyperlink" Target="https://w3id.org/gba/glossary/cleat" TargetMode="External"/><Relationship Id="rId341" Type="http://schemas.openxmlformats.org/officeDocument/2006/relationships/hyperlink" Target="https://w3id.org/gba/glossary/water-system" TargetMode="External"/><Relationship Id="rId201" Type="http://schemas.openxmlformats.org/officeDocument/2006/relationships/hyperlink" Target="https://w3id.org/gba/glossary/conceptual-model" TargetMode="External"/><Relationship Id="rId222" Type="http://schemas.openxmlformats.org/officeDocument/2006/relationships/hyperlink" Target="https://w3id.org/gba/glossary/dolostone" TargetMode="External"/><Relationship Id="rId243" Type="http://schemas.openxmlformats.org/officeDocument/2006/relationships/hyperlink" Target="https://w3id.org/gba/glossary/formation" TargetMode="External"/><Relationship Id="rId264" Type="http://schemas.openxmlformats.org/officeDocument/2006/relationships/hyperlink" Target="https://w3id.org/gba/glossary/hydrogeology" TargetMode="External"/><Relationship Id="rId285" Type="http://schemas.openxmlformats.org/officeDocument/2006/relationships/hyperlink" Target="https://w3id.org/gba/glossary/moho" TargetMode="External"/><Relationship Id="rId17" Type="http://schemas.openxmlformats.org/officeDocument/2006/relationships/image" Target="media/image6.png"/><Relationship Id="rId38" Type="http://schemas.openxmlformats.org/officeDocument/2006/relationships/header" Target="header6.xml"/><Relationship Id="rId59" Type="http://schemas.openxmlformats.org/officeDocument/2006/relationships/image" Target="media/image12.png"/><Relationship Id="rId103" Type="http://schemas.openxmlformats.org/officeDocument/2006/relationships/image" Target="media/image49.png"/><Relationship Id="rId124" Type="http://schemas.openxmlformats.org/officeDocument/2006/relationships/hyperlink" Target="https://www.researchgate.net/publication/324000194" TargetMode="External"/><Relationship Id="rId310" Type="http://schemas.openxmlformats.org/officeDocument/2006/relationships/hyperlink" Target="https://w3id.org/gba/glossary/runoff" TargetMode="External"/><Relationship Id="rId70" Type="http://schemas.openxmlformats.org/officeDocument/2006/relationships/image" Target="media/image21.png"/><Relationship Id="rId91" Type="http://schemas.openxmlformats.org/officeDocument/2006/relationships/footer" Target="footer14.xml"/><Relationship Id="rId145" Type="http://schemas.openxmlformats.org/officeDocument/2006/relationships/hyperlink" Target="http://www.ga.gov.au/news-events/news/latest-news/latest-editions-of-magnetic-anomaly-grid-and-radiometric-map-released" TargetMode="External"/><Relationship Id="rId166" Type="http://schemas.openxmlformats.org/officeDocument/2006/relationships/hyperlink" Target="https://denr.nt.gov.au/__data/assets/pdf_file/0011/384392/Schult_2016_pesticides_Roper.pdf" TargetMode="External"/><Relationship Id="rId187" Type="http://schemas.openxmlformats.org/officeDocument/2006/relationships/hyperlink" Target="https://w3id.org/gba/glossary/baseflow" TargetMode="External"/><Relationship Id="rId331" Type="http://schemas.openxmlformats.org/officeDocument/2006/relationships/hyperlink" Target="https://w3id.org/gba/glossary/syncline" TargetMode="External"/><Relationship Id="rId352" Type="http://schemas.openxmlformats.org/officeDocument/2006/relationships/image" Target="media/image57.jpeg"/><Relationship Id="rId1" Type="http://schemas.openxmlformats.org/officeDocument/2006/relationships/customXml" Target="../customXml/item1.xml"/><Relationship Id="rId212" Type="http://schemas.openxmlformats.org/officeDocument/2006/relationships/hyperlink" Target="https://w3id.org/gba/glossary/dataset" TargetMode="External"/><Relationship Id="rId233" Type="http://schemas.openxmlformats.org/officeDocument/2006/relationships/hyperlink" Target="https://w3id.org/gba/glossary/erosion" TargetMode="External"/><Relationship Id="rId254" Type="http://schemas.openxmlformats.org/officeDocument/2006/relationships/hyperlink" Target="https://w3id.org/gba/glossary/groundwater-dependent-ecosystem" TargetMode="External"/><Relationship Id="rId28" Type="http://schemas.openxmlformats.org/officeDocument/2006/relationships/header" Target="header2.xml"/><Relationship Id="rId49" Type="http://schemas.openxmlformats.org/officeDocument/2006/relationships/image" Target="media/image10.png"/><Relationship Id="rId114" Type="http://schemas.openxmlformats.org/officeDocument/2006/relationships/footer" Target="footer16.xml"/><Relationship Id="rId275" Type="http://schemas.openxmlformats.org/officeDocument/2006/relationships/hyperlink" Target="https://w3id.org/gba/glossary/life-cycle-stage" TargetMode="External"/><Relationship Id="rId296" Type="http://schemas.openxmlformats.org/officeDocument/2006/relationships/hyperlink" Target="https://w3id.org/gba/glossary/petroleum" TargetMode="External"/><Relationship Id="rId300" Type="http://schemas.openxmlformats.org/officeDocument/2006/relationships/hyperlink" Target="https://w3id.org/gba/glossary/producing" TargetMode="External"/><Relationship Id="rId60" Type="http://schemas.openxmlformats.org/officeDocument/2006/relationships/header" Target="header16.xml"/><Relationship Id="rId81" Type="http://schemas.openxmlformats.org/officeDocument/2006/relationships/image" Target="media/image32.png"/><Relationship Id="rId135" Type="http://schemas.openxmlformats.org/officeDocument/2006/relationships/hyperlink" Target="http://www.fao.org/docrep/T0667E/T0667E00.htm" TargetMode="External"/><Relationship Id="rId156" Type="http://schemas.openxmlformats.org/officeDocument/2006/relationships/hyperlink" Target="https://www.bioregionalassessments.gov.au/assessments/3-4-impact-and-risk-analysis-galilee-subregion" TargetMode="External"/><Relationship Id="rId177" Type="http://schemas.openxmlformats.org/officeDocument/2006/relationships/hyperlink" Target="https://w3id.org/gba/glossary/accumulation" TargetMode="External"/><Relationship Id="rId198" Type="http://schemas.openxmlformats.org/officeDocument/2006/relationships/hyperlink" Target="https://w3id.org/gba/glossary/coal" TargetMode="External"/><Relationship Id="rId321" Type="http://schemas.openxmlformats.org/officeDocument/2006/relationships/hyperlink" Target="https://w3id.org/gba/glossary/sill" TargetMode="External"/><Relationship Id="rId342" Type="http://schemas.openxmlformats.org/officeDocument/2006/relationships/hyperlink" Target="https://w3id.org/gba/glossary/watertable" TargetMode="External"/><Relationship Id="rId202" Type="http://schemas.openxmlformats.org/officeDocument/2006/relationships/hyperlink" Target="https://w3id.org/gba/glossary/confined-aquifer" TargetMode="External"/><Relationship Id="rId223" Type="http://schemas.openxmlformats.org/officeDocument/2006/relationships/hyperlink" Target="https://w3id.org/gba/glossary/dome" TargetMode="External"/><Relationship Id="rId244" Type="http://schemas.openxmlformats.org/officeDocument/2006/relationships/hyperlink" Target="https://w3id.org/gba/glossary/formation-water" TargetMode="External"/><Relationship Id="rId18" Type="http://schemas.openxmlformats.org/officeDocument/2006/relationships/hyperlink" Target="http://www.bioregionalassessments.gov.au" TargetMode="External"/><Relationship Id="rId39" Type="http://schemas.openxmlformats.org/officeDocument/2006/relationships/header" Target="header7.xml"/><Relationship Id="rId265" Type="http://schemas.openxmlformats.org/officeDocument/2006/relationships/hyperlink" Target="https://w3id.org/gba/glossary/hydrostatic-pressure" TargetMode="External"/><Relationship Id="rId286" Type="http://schemas.openxmlformats.org/officeDocument/2006/relationships/hyperlink" Target="https://w3id.org/gba/glossary/mudstone" TargetMode="External"/><Relationship Id="rId50" Type="http://schemas.openxmlformats.org/officeDocument/2006/relationships/header" Target="header10.xml"/><Relationship Id="rId104" Type="http://schemas.openxmlformats.org/officeDocument/2006/relationships/image" Target="media/image50.png"/><Relationship Id="rId125" Type="http://schemas.openxmlformats.org/officeDocument/2006/relationships/hyperlink" Target="http://www.ntlis.nt.gov.au/metadata/export_data?type=html&amp;metadata_id=535D1EECEB0F528AE040CD9B21446C20" TargetMode="External"/><Relationship Id="rId146" Type="http://schemas.openxmlformats.org/officeDocument/2006/relationships/hyperlink" Target="https://repo.bioregionalassessments.gov.au/metadata/65CF9145-483A-45E5-9349-CC66647731F1" TargetMode="External"/><Relationship Id="rId167" Type="http://schemas.openxmlformats.org/officeDocument/2006/relationships/hyperlink" Target="file:///C:\Users\tet004\Downloads\www.searchanddiscovery.com\pdfz\documents\2011\10295silverman\ndx_silverman.pdf.html" TargetMode="External"/><Relationship Id="rId188" Type="http://schemas.openxmlformats.org/officeDocument/2006/relationships/hyperlink" Target="https://w3id.org/gba/glossary/basement" TargetMode="External"/><Relationship Id="rId311" Type="http://schemas.openxmlformats.org/officeDocument/2006/relationships/hyperlink" Target="https://w3id.org/gba/glossary/sandstone" TargetMode="External"/><Relationship Id="rId332" Type="http://schemas.openxmlformats.org/officeDocument/2006/relationships/hyperlink" Target="https://w3id.org/gba/glossary/tight-gas" TargetMode="External"/><Relationship Id="rId353" Type="http://schemas.openxmlformats.org/officeDocument/2006/relationships/image" Target="media/image58.jpeg"/><Relationship Id="rId71" Type="http://schemas.openxmlformats.org/officeDocument/2006/relationships/image" Target="media/image22.png"/><Relationship Id="rId92" Type="http://schemas.openxmlformats.org/officeDocument/2006/relationships/image" Target="media/image39.png"/><Relationship Id="rId213" Type="http://schemas.openxmlformats.org/officeDocument/2006/relationships/hyperlink" Target="https://w3id.org/gba/glossary/deep-coal-gas" TargetMode="External"/><Relationship Id="rId234" Type="http://schemas.openxmlformats.org/officeDocument/2006/relationships/hyperlink" Target="https://w3id.org/gba/glossary/exploration" TargetMode="External"/><Relationship Id="rId2" Type="http://schemas.openxmlformats.org/officeDocument/2006/relationships/customXml" Target="../customXml/item2.xml"/><Relationship Id="rId29" Type="http://schemas.openxmlformats.org/officeDocument/2006/relationships/footer" Target="footer1.xml"/><Relationship Id="rId255" Type="http://schemas.openxmlformats.org/officeDocument/2006/relationships/hyperlink" Target="https://w3id.org/gba/glossary/groundwater-discharge" TargetMode="External"/><Relationship Id="rId276" Type="http://schemas.openxmlformats.org/officeDocument/2006/relationships/hyperlink" Target="https://w3id.org/gba/glossary/light-oil" TargetMode="External"/><Relationship Id="rId297" Type="http://schemas.openxmlformats.org/officeDocument/2006/relationships/hyperlink" Target="https://w3id.org/gba/glossary/petroleum-system" TargetMode="External"/><Relationship Id="rId40" Type="http://schemas.openxmlformats.org/officeDocument/2006/relationships/footer" Target="footer7.xml"/><Relationship Id="rId115" Type="http://schemas.openxmlformats.org/officeDocument/2006/relationships/header" Target="header24.xml"/><Relationship Id="rId136" Type="http://schemas.openxmlformats.org/officeDocument/2006/relationships/hyperlink" Target="https://geoscience.nt.gov.au/gemis/ntgsjspui/handle/1/87064" TargetMode="External"/><Relationship Id="rId157" Type="http://schemas.openxmlformats.org/officeDocument/2006/relationships/hyperlink" Target="https://geoscience.nt.gov.au/gemis/ntgsjspui/handle/1/81558" TargetMode="External"/><Relationship Id="rId178" Type="http://schemas.openxmlformats.org/officeDocument/2006/relationships/hyperlink" Target="https://w3id.org/gba/glossary/activity" TargetMode="External"/><Relationship Id="rId301" Type="http://schemas.openxmlformats.org/officeDocument/2006/relationships/hyperlink" Target="https://w3id.org/gba/glossary/production" TargetMode="External"/><Relationship Id="rId322" Type="http://schemas.openxmlformats.org/officeDocument/2006/relationships/hyperlink" Target="https://w3id.org/gba/glossary/siltstone" TargetMode="External"/><Relationship Id="rId343" Type="http://schemas.openxmlformats.org/officeDocument/2006/relationships/hyperlink" Target="https://w3id.org/gba/glossary/weathering" TargetMode="External"/><Relationship Id="rId61" Type="http://schemas.openxmlformats.org/officeDocument/2006/relationships/footer" Target="footer13.xml"/><Relationship Id="rId82" Type="http://schemas.openxmlformats.org/officeDocument/2006/relationships/image" Target="media/image33.png"/><Relationship Id="rId199" Type="http://schemas.openxmlformats.org/officeDocument/2006/relationships/hyperlink" Target="https://w3id.org/gba/glossary/coal-seam-gas" TargetMode="External"/><Relationship Id="rId203" Type="http://schemas.openxmlformats.org/officeDocument/2006/relationships/hyperlink" Target="https://w3id.org/gba/glossary/conglomerate" TargetMode="External"/><Relationship Id="rId19" Type="http://schemas.openxmlformats.org/officeDocument/2006/relationships/hyperlink" Target="http://www.environment.gov.au" TargetMode="External"/><Relationship Id="rId224" Type="http://schemas.openxmlformats.org/officeDocument/2006/relationships/hyperlink" Target="https://w3id.org/gba/glossary/drawdown" TargetMode="External"/><Relationship Id="rId245" Type="http://schemas.openxmlformats.org/officeDocument/2006/relationships/hyperlink" Target="https://w3id.org/gba/glossary/fracking" TargetMode="External"/><Relationship Id="rId266" Type="http://schemas.openxmlformats.org/officeDocument/2006/relationships/hyperlink" Target="https://w3id.org/gba/glossary/impact" TargetMode="External"/><Relationship Id="rId287" Type="http://schemas.openxmlformats.org/officeDocument/2006/relationships/hyperlink" Target="https://w3id.org/gba/glossary/natural-gas" TargetMode="External"/><Relationship Id="rId30" Type="http://schemas.openxmlformats.org/officeDocument/2006/relationships/footer" Target="footer2.xml"/><Relationship Id="rId105" Type="http://schemas.openxmlformats.org/officeDocument/2006/relationships/image" Target="media/image51.png"/><Relationship Id="rId126" Type="http://schemas.openxmlformats.org/officeDocument/2006/relationships/hyperlink" Target="http://www.ntlis.nt.gov.au/metadata/export_data?type=html&amp;metadata_id=E9D78F668FC02B33E040CD9B214403C3" TargetMode="External"/><Relationship Id="rId147" Type="http://schemas.openxmlformats.org/officeDocument/2006/relationships/hyperlink" Target="https://repo.bioregionalassessments.gov.au/metadata/EB77B337-F46B-4B30-AC44-88357E8061FB" TargetMode="External"/><Relationship Id="rId168" Type="http://schemas.openxmlformats.org/officeDocument/2006/relationships/hyperlink" Target="http://www.territorystories.nt.gov.au/jspui/handle/10070/304921" TargetMode="External"/><Relationship Id="rId312" Type="http://schemas.openxmlformats.org/officeDocument/2006/relationships/hyperlink" Target="https://w3id.org/gba/glossary/seal" TargetMode="External"/><Relationship Id="rId333" Type="http://schemas.openxmlformats.org/officeDocument/2006/relationships/hyperlink" Target="https://w3id.org/gba/glossary/total-organic-carbon" TargetMode="External"/><Relationship Id="rId354" Type="http://schemas.openxmlformats.org/officeDocument/2006/relationships/header" Target="header29.xml"/><Relationship Id="rId51" Type="http://schemas.openxmlformats.org/officeDocument/2006/relationships/header" Target="header11.xml"/><Relationship Id="rId72" Type="http://schemas.openxmlformats.org/officeDocument/2006/relationships/image" Target="media/image23.png"/><Relationship Id="rId93" Type="http://schemas.openxmlformats.org/officeDocument/2006/relationships/image" Target="media/image40.png"/><Relationship Id="rId189" Type="http://schemas.openxmlformats.org/officeDocument/2006/relationships/hyperlink" Target="https://w3id.org/gba/glossary/basin-centred-gas" TargetMode="External"/><Relationship Id="rId3" Type="http://schemas.openxmlformats.org/officeDocument/2006/relationships/customXml" Target="../customXml/item3.xml"/><Relationship Id="rId214" Type="http://schemas.openxmlformats.org/officeDocument/2006/relationships/hyperlink" Target="https://w3id.org/gba/glossary/deformation" TargetMode="External"/><Relationship Id="rId235" Type="http://schemas.openxmlformats.org/officeDocument/2006/relationships/hyperlink" Target="https://w3id.org/gba/glossary/expulsion" TargetMode="External"/><Relationship Id="rId256" Type="http://schemas.openxmlformats.org/officeDocument/2006/relationships/hyperlink" Target="https://w3id.org/gba/glossary/groundwater-recharge" TargetMode="External"/><Relationship Id="rId277" Type="http://schemas.openxmlformats.org/officeDocument/2006/relationships/hyperlink" Target="https://w3id.org/gba/glossary/likelihood" TargetMode="External"/><Relationship Id="rId298" Type="http://schemas.openxmlformats.org/officeDocument/2006/relationships/hyperlink" Target="https://w3id.org/gba/glossary/play" TargetMode="External"/><Relationship Id="rId116" Type="http://schemas.openxmlformats.org/officeDocument/2006/relationships/header" Target="header25.xml"/><Relationship Id="rId137" Type="http://schemas.openxmlformats.org/officeDocument/2006/relationships/hyperlink" Target="https://geoscience.nt.gov.au/gemis/ntgsjspui/handle/1/87062" TargetMode="External"/><Relationship Id="rId158" Type="http://schemas.openxmlformats.org/officeDocument/2006/relationships/hyperlink" Target="https://geoscience.nt.gov.au/gemis/ntgsjspui/handle/1/83806" TargetMode="External"/><Relationship Id="rId302" Type="http://schemas.openxmlformats.org/officeDocument/2006/relationships/hyperlink" Target="https://w3id.org/gba/glossary/production-well" TargetMode="External"/><Relationship Id="rId323" Type="http://schemas.openxmlformats.org/officeDocument/2006/relationships/hyperlink" Target="https://w3id.org/gba/glossary/source-rock" TargetMode="External"/><Relationship Id="rId344" Type="http://schemas.openxmlformats.org/officeDocument/2006/relationships/hyperlink" Target="https://w3id.org/gba/glossary/well" TargetMode="External"/><Relationship Id="rId20" Type="http://schemas.openxmlformats.org/officeDocument/2006/relationships/hyperlink" Target="http://www.bom.gov.au/water/" TargetMode="External"/><Relationship Id="rId41" Type="http://schemas.openxmlformats.org/officeDocument/2006/relationships/footer" Target="footer8.xml"/><Relationship Id="rId62" Type="http://schemas.openxmlformats.org/officeDocument/2006/relationships/image" Target="media/image13.png"/><Relationship Id="rId83" Type="http://schemas.openxmlformats.org/officeDocument/2006/relationships/image" Target="media/image34.png"/><Relationship Id="rId179" Type="http://schemas.openxmlformats.org/officeDocument/2006/relationships/hyperlink" Target="https://w3id.org/gba/glossary/aeolian"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8.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et004\Downloads\BA-Products-Template-v14.dotx" TargetMode="External"/></Relationships>
</file>

<file path=word/theme/theme1.xml><?xml version="1.0" encoding="utf-8"?>
<a:theme xmlns:a="http://schemas.openxmlformats.org/drawingml/2006/main" name="Office Theme">
  <a:themeElements>
    <a:clrScheme name="BA-1">
      <a:dk1>
        <a:sysClr val="windowText" lastClr="000000"/>
      </a:dk1>
      <a:lt1>
        <a:srgbClr val="FFFFFF"/>
      </a:lt1>
      <a:dk2>
        <a:srgbClr val="146692"/>
      </a:dk2>
      <a:lt2>
        <a:srgbClr val="9F592B"/>
      </a:lt2>
      <a:accent1>
        <a:srgbClr val="0093CD"/>
      </a:accent1>
      <a:accent2>
        <a:srgbClr val="00AC4B"/>
      </a:accent2>
      <a:accent3>
        <a:srgbClr val="E87521"/>
      </a:accent3>
      <a:accent4>
        <a:srgbClr val="E65273"/>
      </a:accent4>
      <a:accent5>
        <a:srgbClr val="858585"/>
      </a:accent5>
      <a:accent6>
        <a:srgbClr val="4D4D4D"/>
      </a:accent6>
      <a:hlink>
        <a:srgbClr val="146692"/>
      </a:hlink>
      <a:folHlink>
        <a:srgbClr val="000000"/>
      </a:folHlink>
    </a:clrScheme>
    <a:fontScheme name="CSIRO Fonts">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6E1F56AADD9A42488C99BAEC5D1A4634" ma:contentTypeVersion="16" ma:contentTypeDescription="Create a new document." ma:contentTypeScope="" ma:versionID="8fa4fe0815fe3027f2b4055c372c1f6e">
  <xsd:schema xmlns:xsd="http://www.w3.org/2001/XMLSchema" xmlns:xs="http://www.w3.org/2001/XMLSchema" xmlns:p="http://schemas.microsoft.com/office/2006/metadata/properties" xmlns:ns2="f6b232a6-7847-4fcd-9f2f-4076cd779963" xmlns:ns3="1ce706f3-5237-42b3-876d-cf68da5c0e0a" targetNamespace="http://schemas.microsoft.com/office/2006/metadata/properties" ma:root="true" ma:fieldsID="9fb61e845668514bd3e8f8f59ada20dc" ns2:_="" ns3:_="">
    <xsd:import namespace="f6b232a6-7847-4fcd-9f2f-4076cd779963"/>
    <xsd:import namespace="1ce706f3-5237-42b3-876d-cf68da5c0e0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EventHashCode" minOccurs="0"/>
                <xsd:element ref="ns2:MediaServiceGenerationTime" minOccurs="0"/>
                <xsd:element ref="ns2:Notes0" minOccurs="0"/>
                <xsd:element ref="ns2:MediaServiceDateTaken" minOccurs="0"/>
                <xsd:element ref="ns2:MediaServiceLocation" minOccurs="0"/>
                <xsd:element ref="ns2:Metadata" minOccurs="0"/>
                <xsd:element ref="ns3:_dlc_DocId" minOccurs="0"/>
                <xsd:element ref="ns3:_dlc_DocIdUrl" minOccurs="0"/>
                <xsd:element ref="ns3:_dlc_DocIdPersistId"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6b232a6-7847-4fcd-9f2f-4076cd7799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Notes0" ma:index="16" nillable="true" ma:displayName="Notes" ma:format="Dropdown" ma:internalName="Notes0">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tadata" ma:index="19" nillable="true" ma:displayName="Metadata" ma:format="Hyperlink" ma:internalName="Metadata">
      <xsd:complexType>
        <xsd:complexContent>
          <xsd:extension base="dms:URL">
            <xsd:sequence>
              <xsd:element name="Url" type="dms:ValidUrl" minOccurs="0" nillable="true"/>
              <xsd:element name="Description" type="xsd:string" nillable="true"/>
            </xsd:sequence>
          </xsd:extension>
        </xsd:complexContent>
      </xsd:complexType>
    </xsd:element>
    <xsd:element name="MediaServiceAutoKeyPoints" ma:index="23" nillable="true" ma:displayName="MediaServiceAutoKeyPoints" ma:hidden="true" ma:internalName="MediaServiceAutoKeyPoints" ma:readOnly="true">
      <xsd:simpleType>
        <xsd:restriction base="dms:Note"/>
      </xsd:simpleType>
    </xsd:element>
    <xsd:element name="MediaServiceKeyPoints" ma:index="2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ce706f3-5237-42b3-876d-cf68da5c0e0a"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_dlc_DocId" ma:index="20" nillable="true" ma:displayName="Document ID Value" ma:description="The value of the document ID assigned to this item." ma:internalName="_dlc_DocId" ma:readOnly="true">
      <xsd:simpleType>
        <xsd:restriction base="dms:Text"/>
      </xsd:simpleType>
    </xsd:element>
    <xsd:element name="_dlc_DocIdUrl" ma:index="2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2"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SharedWithUsers xmlns="1ce706f3-5237-42b3-876d-cf68da5c0e0a">
      <UserInfo>
        <DisplayName/>
        <AccountId xsi:nil="true"/>
        <AccountType/>
      </UserInfo>
    </SharedWithUsers>
    <_dlc_DocId xmlns="1ce706f3-5237-42b3-876d-cf68da5c0e0a">NN2TW47UTC5W-1349389608-7679</_dlc_DocId>
    <_dlc_DocIdUrl xmlns="1ce706f3-5237-42b3-876d-cf68da5c0e0a">
      <Url>https://csiroau.sharepoint.com/sites/GeologicalBio-regionalAssessment/_layouts/15/DocIdRedir.aspx?ID=NN2TW47UTC5W-1349389608-7679</Url>
      <Description>NN2TW47UTC5W-1349389608-7679</Description>
    </_dlc_DocIdUrl>
    <Notes0 xmlns="f6b232a6-7847-4fcd-9f2f-4076cd779963" xsi:nil="true"/>
    <Metadata xmlns="f6b232a6-7847-4fcd-9f2f-4076cd779963">
      <Url xsi:nil="true"/>
      <Description xsi:nil="true"/>
    </Metadata>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47F3822B-7266-4749-B622-DA3CFE421A37}">
  <ds:schemaRefs>
    <ds:schemaRef ds:uri="http://schemas.openxmlformats.org/officeDocument/2006/bibliography"/>
  </ds:schemaRefs>
</ds:datastoreItem>
</file>

<file path=customXml/itemProps2.xml><?xml version="1.0" encoding="utf-8"?>
<ds:datastoreItem xmlns:ds="http://schemas.openxmlformats.org/officeDocument/2006/customXml" ds:itemID="{337BD3A9-82D9-4E2C-A7CF-8844BEBAE130}"/>
</file>

<file path=customXml/itemProps3.xml><?xml version="1.0" encoding="utf-8"?>
<ds:datastoreItem xmlns:ds="http://schemas.openxmlformats.org/officeDocument/2006/customXml" ds:itemID="{F307EF6F-DE7C-4CBC-9D97-51EC060935FB}">
  <ds:schemaRefs>
    <ds:schemaRef ds:uri="http://schemas.microsoft.com/office/2006/metadata/properties"/>
    <ds:schemaRef ds:uri="http://schemas.microsoft.com/office/infopath/2007/PartnerControls"/>
    <ds:schemaRef ds:uri="http://schemas.microsoft.com/sharepoint/v3"/>
    <ds:schemaRef ds:uri="1ce706f3-5237-42b3-876d-cf68da5c0e0a"/>
    <ds:schemaRef ds:uri="1bbdb9bd-0ec9-4219-a80a-062c6ba6971e"/>
  </ds:schemaRefs>
</ds:datastoreItem>
</file>

<file path=customXml/itemProps4.xml><?xml version="1.0" encoding="utf-8"?>
<ds:datastoreItem xmlns:ds="http://schemas.openxmlformats.org/officeDocument/2006/customXml" ds:itemID="{87D62155-BC36-470B-BB41-EEBE22734935}">
  <ds:schemaRefs>
    <ds:schemaRef ds:uri="http://schemas.microsoft.com/sharepoint/v3/contenttype/forms"/>
  </ds:schemaRefs>
</ds:datastoreItem>
</file>

<file path=customXml/itemProps5.xml><?xml version="1.0" encoding="utf-8"?>
<ds:datastoreItem xmlns:ds="http://schemas.openxmlformats.org/officeDocument/2006/customXml" ds:itemID="{865AE38B-38E4-449E-A7AD-94D0A68AC329}">
  <ds:schemaRefs>
    <ds:schemaRef ds:uri="http://schemas.microsoft.com/sharepoint/events"/>
  </ds:schemaRefs>
</ds:datastoreItem>
</file>

<file path=docProps/app.xml><?xml version="1.0" encoding="utf-8"?>
<Properties xmlns="http://schemas.openxmlformats.org/officeDocument/2006/extended-properties" xmlns:vt="http://schemas.openxmlformats.org/officeDocument/2006/docPropsVTypes">
  <Template>BA-Products-Template-v14.dotx</Template>
  <TotalTime>10</TotalTime>
  <Pages>164</Pages>
  <Words>115627</Words>
  <Characters>685671</Characters>
  <Application>Microsoft Office Word</Application>
  <DocSecurity>0</DocSecurity>
  <Lines>12466</Lines>
  <Paragraphs>5237</Paragraphs>
  <ScaleCrop>false</ScaleCrop>
  <HeadingPairs>
    <vt:vector size="2" baseType="variant">
      <vt:variant>
        <vt:lpstr>Title</vt:lpstr>
      </vt:variant>
      <vt:variant>
        <vt:i4>1</vt:i4>
      </vt:variant>
    </vt:vector>
  </HeadingPairs>
  <TitlesOfParts>
    <vt:vector size="1" baseType="lpstr">
      <vt:lpstr>Hydrogeology of the Beetaloo GBA region. Technical appendix for the Geological and Bioregional Assessment: Stage 2.</vt:lpstr>
    </vt:vector>
  </TitlesOfParts>
  <Company/>
  <LinksUpToDate>false</LinksUpToDate>
  <CharactersWithSpaces>796061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Hydrogeology of the Beetaloo GBA region. Technical appendix for the Geological and Bioregional Assessment: Stage 2.</dc:title>
  <dc:subject/>
  <dc:creator>Evans TJ;Radke BM;Martinez J;Buchanan S;Cook SB;Raiber M;Ransley TR;Lai ÉCS;Skeers N;Woods M;Evenden C;Cassel R and Dunn B</dc:creator>
  <cp:keywords/>
  <dc:description/>
  <cp:lastModifiedBy>Tetreault Campbell, Sally (L&amp;W, Clayton)</cp:lastModifiedBy>
  <cp:revision>3</cp:revision>
  <cp:lastPrinted>2021-06-30T11:38:00Z</cp:lastPrinted>
  <dcterms:created xsi:type="dcterms:W3CDTF">2021-06-30T11:26:00Z</dcterms:created>
  <dcterms:modified xsi:type="dcterms:W3CDTF">2021-06-30T11:38:00Z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verTitle">
    <vt:lpwstr>Report Title</vt:lpwstr>
  </property>
  <property fmtid="{D5CDD505-2E9C-101B-9397-08002B2CF9AE}" pid="3" name="CoverSubtitle">
    <vt:lpwstr>Cover Subtitle</vt:lpwstr>
  </property>
  <property fmtid="{D5CDD505-2E9C-101B-9397-08002B2CF9AE}" pid="4" name="ContentTypeId">
    <vt:lpwstr>0x0101006E1F56AADD9A42488C99BAEC5D1A4634</vt:lpwstr>
  </property>
  <property fmtid="{D5CDD505-2E9C-101B-9397-08002B2CF9AE}" pid="5" name="Order">
    <vt:r8>93900</vt:r8>
  </property>
  <property fmtid="{D5CDD505-2E9C-101B-9397-08002B2CF9AE}" pid="6" name="xd_Signature">
    <vt:bool>false</vt:bool>
  </property>
  <property fmtid="{D5CDD505-2E9C-101B-9397-08002B2CF9AE}" pid="7" name="xd_ProgID">
    <vt:lpwstr/>
  </property>
  <property fmtid="{D5CDD505-2E9C-101B-9397-08002B2CF9AE}" pid="8" name="ComplianceAssetId">
    <vt:lpwstr/>
  </property>
  <property fmtid="{D5CDD505-2E9C-101B-9397-08002B2CF9AE}" pid="9" name="TemplateUrl">
    <vt:lpwstr/>
  </property>
  <property fmtid="{D5CDD505-2E9C-101B-9397-08002B2CF9AE}" pid="10" name="AuthorIds_UIVersion_2560">
    <vt:lpwstr>83</vt:lpwstr>
  </property>
  <property fmtid="{D5CDD505-2E9C-101B-9397-08002B2CF9AE}" pid="11" name="_DocHome">
    <vt:i4>-370278126</vt:i4>
  </property>
  <property fmtid="{D5CDD505-2E9C-101B-9397-08002B2CF9AE}" pid="12" name="AuthorIds_UIVersion_328704">
    <vt:lpwstr>184</vt:lpwstr>
  </property>
  <property fmtid="{D5CDD505-2E9C-101B-9397-08002B2CF9AE}" pid="13" name="RecordPoint_ActiveItemSiteId">
    <vt:lpwstr>{4b445ea7-761d-43d2-909a-116082cfbf41}</vt:lpwstr>
  </property>
  <property fmtid="{D5CDD505-2E9C-101B-9397-08002B2CF9AE}" pid="14" name="RecordPoint_ActiveItemListId">
    <vt:lpwstr>{73c573e4-bf63-4daa-89f5-745b8bb524e2}</vt:lpwstr>
  </property>
  <property fmtid="{D5CDD505-2E9C-101B-9397-08002B2CF9AE}" pid="15" name="RecordPoint_ActiveItemUniqueId">
    <vt:lpwstr>{7e4380ef-b8be-4da7-bfa6-233dbec17251}</vt:lpwstr>
  </property>
  <property fmtid="{D5CDD505-2E9C-101B-9397-08002B2CF9AE}" pid="16" name="RecordPoint_ActiveItemWebId">
    <vt:lpwstr>{aa3e7952-617a-4d1d-acc5-2dff72d3e0ca}</vt:lpwstr>
  </property>
  <property fmtid="{D5CDD505-2E9C-101B-9397-08002B2CF9AE}" pid="17" name="RecordPoint_WorkflowType">
    <vt:lpwstr>ActiveSubmitStub</vt:lpwstr>
  </property>
  <property fmtid="{D5CDD505-2E9C-101B-9397-08002B2CF9AE}" pid="18" name="RecordPoint_SubmissionCompleted">
    <vt:lpwstr>2019-08-29T08:18:17.8729084+10:00</vt:lpwstr>
  </property>
  <property fmtid="{D5CDD505-2E9C-101B-9397-08002B2CF9AE}" pid="19" name="RecordPoint_RecordNumberSubmitted">
    <vt:lpwstr>002989774</vt:lpwstr>
  </property>
  <property fmtid="{D5CDD505-2E9C-101B-9397-08002B2CF9AE}" pid="20" name="IconOverlay">
    <vt:lpwstr/>
  </property>
  <property fmtid="{D5CDD505-2E9C-101B-9397-08002B2CF9AE}" pid="21" name="Mendeley Recent Style Id 0_1">
    <vt:lpwstr>http://www.zotero.org/styles/american-political-science-association</vt:lpwstr>
  </property>
  <property fmtid="{D5CDD505-2E9C-101B-9397-08002B2CF9AE}" pid="22" name="Mendeley Recent Style Name 0_1">
    <vt:lpwstr>American Political Science Association</vt:lpwstr>
  </property>
  <property fmtid="{D5CDD505-2E9C-101B-9397-08002B2CF9AE}" pid="23" name="Mendeley Recent Style Id 1_1">
    <vt:lpwstr>http://www.zotero.org/styles/apa</vt:lpwstr>
  </property>
  <property fmtid="{D5CDD505-2E9C-101B-9397-08002B2CF9AE}" pid="24" name="Mendeley Recent Style Name 1_1">
    <vt:lpwstr>American Psychological Association 6th edition</vt:lpwstr>
  </property>
  <property fmtid="{D5CDD505-2E9C-101B-9397-08002B2CF9AE}" pid="25" name="Mendeley Recent Style Id 2_1">
    <vt:lpwstr>http://www.zotero.org/styles/american-sociological-association</vt:lpwstr>
  </property>
  <property fmtid="{D5CDD505-2E9C-101B-9397-08002B2CF9AE}" pid="26" name="Mendeley Recent Style Name 2_1">
    <vt:lpwstr>American Sociological Association</vt:lpwstr>
  </property>
  <property fmtid="{D5CDD505-2E9C-101B-9397-08002B2CF9AE}" pid="27" name="Mendeley Recent Style Id 3_1">
    <vt:lpwstr>http://www.zotero.org/styles/chicago-author-date</vt:lpwstr>
  </property>
  <property fmtid="{D5CDD505-2E9C-101B-9397-08002B2CF9AE}" pid="28" name="Mendeley Recent Style Name 3_1">
    <vt:lpwstr>Chicago Manual of Style 17th edition (author-date)</vt:lpwstr>
  </property>
  <property fmtid="{D5CDD505-2E9C-101B-9397-08002B2CF9AE}" pid="29" name="Mendeley Recent Style Id 4_1">
    <vt:lpwstr>http://www.zotero.org/styles/chicago-fullnote-bibliography</vt:lpwstr>
  </property>
  <property fmtid="{D5CDD505-2E9C-101B-9397-08002B2CF9AE}" pid="30" name="Mendeley Recent Style Name 4_1">
    <vt:lpwstr>Chicago Manual of Style 17th edition (full note)</vt:lpwstr>
  </property>
  <property fmtid="{D5CDD505-2E9C-101B-9397-08002B2CF9AE}" pid="31" name="Mendeley Recent Style Id 5_1">
    <vt:lpwstr>http://www.zotero.org/styles/chicago-note-bibliography</vt:lpwstr>
  </property>
  <property fmtid="{D5CDD505-2E9C-101B-9397-08002B2CF9AE}" pid="32" name="Mendeley Recent Style Name 5_1">
    <vt:lpwstr>Chicago Manual of Style 17th edition (note)</vt:lpwstr>
  </property>
  <property fmtid="{D5CDD505-2E9C-101B-9397-08002B2CF9AE}" pid="33" name="Mendeley Recent Style Id 6_1">
    <vt:lpwstr>http://www.zotero.org/styles/ieee</vt:lpwstr>
  </property>
  <property fmtid="{D5CDD505-2E9C-101B-9397-08002B2CF9AE}" pid="34" name="Mendeley Recent Style Name 6_1">
    <vt:lpwstr>IEEE</vt:lpwstr>
  </property>
  <property fmtid="{D5CDD505-2E9C-101B-9397-08002B2CF9AE}" pid="35" name="Mendeley Recent Style Id 7_1">
    <vt:lpwstr>http://www.zotero.org/styles/modern-humanities-research-association</vt:lpwstr>
  </property>
  <property fmtid="{D5CDD505-2E9C-101B-9397-08002B2CF9AE}" pid="36" name="Mendeley Recent Style Name 7_1">
    <vt:lpwstr>Modern Humanities Research Association 3rd edition (note with bibliography)</vt:lpwstr>
  </property>
  <property fmtid="{D5CDD505-2E9C-101B-9397-08002B2CF9AE}" pid="37" name="Mendeley Recent Style Id 8_1">
    <vt:lpwstr>http://www.zotero.org/styles/modern-language-association</vt:lpwstr>
  </property>
  <property fmtid="{D5CDD505-2E9C-101B-9397-08002B2CF9AE}" pid="38" name="Mendeley Recent Style Name 8_1">
    <vt:lpwstr>Modern Language Association 8th edition</vt:lpwstr>
  </property>
  <property fmtid="{D5CDD505-2E9C-101B-9397-08002B2CF9AE}" pid="39" name="Mendeley Recent Style Id 9_1">
    <vt:lpwstr>http://www.zotero.org/styles/reliability-engineering-and-system-safety</vt:lpwstr>
  </property>
  <property fmtid="{D5CDD505-2E9C-101B-9397-08002B2CF9AE}" pid="40" name="Mendeley Recent Style Name 9_1">
    <vt:lpwstr>Reliability Engineering and System Safety</vt:lpwstr>
  </property>
  <property fmtid="{D5CDD505-2E9C-101B-9397-08002B2CF9AE}" pid="41" name="_dlc_DocIdItemGuid">
    <vt:lpwstr>32979384-2bbf-457f-b605-ee0fa8292392</vt:lpwstr>
  </property>
</Properties>
</file>