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docProps/custom2.xml" ContentType="application/vnd.openxmlformats-officedocument.custom-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2.xml" Id="R2f51b6d451ef4a6e"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81351E" w14:textId="77777777" w:rsidR="00A0340B" w:rsidRPr="00A0340B" w:rsidRDefault="00A0340B" w:rsidP="00577574">
      <w:pPr>
        <w:pStyle w:val="Default"/>
        <w:spacing w:before="160" w:after="100" w:line="321" w:lineRule="atLeast"/>
        <w:rPr>
          <w:rFonts w:ascii="Garamond" w:hAnsi="Garamond" w:cs="Garamond"/>
          <w:b/>
          <w:bCs/>
          <w:color w:val="auto"/>
          <w:sz w:val="40"/>
          <w:szCs w:val="32"/>
        </w:rPr>
      </w:pPr>
      <w:r w:rsidRPr="00A0340B">
        <w:rPr>
          <w:rFonts w:ascii="Garamond" w:hAnsi="Garamond" w:cs="Garamond"/>
          <w:b/>
          <w:bCs/>
          <w:color w:val="auto"/>
          <w:sz w:val="40"/>
          <w:szCs w:val="32"/>
        </w:rPr>
        <w:t>Factsheet: Unconventional Gas</w:t>
      </w:r>
    </w:p>
    <w:p w14:paraId="0511244A" w14:textId="06F4158F" w:rsidR="00577574" w:rsidRDefault="00577574" w:rsidP="00577574">
      <w:pPr>
        <w:pStyle w:val="Default"/>
        <w:spacing w:before="160" w:after="100" w:line="321" w:lineRule="atLeast"/>
        <w:rPr>
          <w:rFonts w:ascii="Garamond" w:hAnsi="Garamond" w:cs="Garamond"/>
          <w:color w:val="auto"/>
          <w:sz w:val="32"/>
          <w:szCs w:val="32"/>
        </w:rPr>
      </w:pPr>
      <w:r>
        <w:rPr>
          <w:rFonts w:ascii="Garamond" w:hAnsi="Garamond" w:cs="Garamond"/>
          <w:b/>
          <w:bCs/>
          <w:color w:val="auto"/>
          <w:sz w:val="32"/>
          <w:szCs w:val="32"/>
        </w:rPr>
        <w:t>What is unconventional gas?</w:t>
      </w:r>
    </w:p>
    <w:p w14:paraId="7DA9D8E3" w14:textId="2A82CF42" w:rsidR="00577574" w:rsidRDefault="00577574" w:rsidP="00577574">
      <w:pPr>
        <w:pStyle w:val="Pa1"/>
        <w:spacing w:after="160"/>
        <w:rPr>
          <w:rFonts w:ascii="Calibri" w:hAnsi="Calibri" w:cs="Calibri"/>
          <w:sz w:val="21"/>
          <w:szCs w:val="21"/>
        </w:rPr>
      </w:pPr>
      <w:r>
        <w:rPr>
          <w:rFonts w:ascii="Calibri" w:hAnsi="Calibri" w:cs="Calibri"/>
          <w:sz w:val="21"/>
          <w:szCs w:val="21"/>
        </w:rPr>
        <w:t>It’s not the gas that’s unconventional</w:t>
      </w:r>
      <w:r w:rsidR="00CE1B8A">
        <w:rPr>
          <w:rFonts w:ascii="Calibri" w:hAnsi="Calibri" w:cs="Calibri"/>
          <w:sz w:val="21"/>
          <w:szCs w:val="21"/>
        </w:rPr>
        <w:t>.</w:t>
      </w:r>
    </w:p>
    <w:p w14:paraId="77F27607" w14:textId="77777777" w:rsidR="00577574" w:rsidRDefault="00577574" w:rsidP="00577574">
      <w:pPr>
        <w:pStyle w:val="Pa1"/>
        <w:spacing w:after="160"/>
        <w:rPr>
          <w:rFonts w:ascii="Calibri" w:hAnsi="Calibri" w:cs="Calibri"/>
          <w:sz w:val="21"/>
          <w:szCs w:val="21"/>
        </w:rPr>
      </w:pPr>
      <w:r>
        <w:rPr>
          <w:rFonts w:ascii="Calibri" w:hAnsi="Calibri" w:cs="Calibri"/>
          <w:sz w:val="21"/>
          <w:szCs w:val="21"/>
        </w:rPr>
        <w:t>It’s how that gas occurs in the subsurface and the methods used to extract it that make it ‘unconventional gas’.</w:t>
      </w:r>
    </w:p>
    <w:p w14:paraId="35170B17" w14:textId="7C0D3904" w:rsidR="00BE03E6" w:rsidRPr="00AD3A9C" w:rsidRDefault="00577574" w:rsidP="00AD3A9C">
      <w:pPr>
        <w:pStyle w:val="Pa1"/>
        <w:spacing w:after="160"/>
        <w:rPr>
          <w:rFonts w:ascii="Calibri" w:hAnsi="Calibri" w:cs="Calibri"/>
          <w:sz w:val="21"/>
          <w:szCs w:val="21"/>
        </w:rPr>
      </w:pPr>
      <w:r>
        <w:rPr>
          <w:rFonts w:ascii="Calibri" w:hAnsi="Calibri" w:cs="Calibri"/>
          <w:sz w:val="21"/>
          <w:szCs w:val="21"/>
        </w:rPr>
        <w:t>Coal seam gas (CSG), shale gas and tight gas all belong to a family of gas resources called unconventional gas (Figure 1). CSG, shale and tight gas are all forms of natural gas that occur in different geological settings and at different depths below the surface (Figure 2). Natural gas is composed mostly of methane. This composition does not fundamentally change, regardless of whether the gas has been extracted from an unconventional or a conventional reservoir.</w:t>
      </w:r>
    </w:p>
    <w:p w14:paraId="6BAB7B36" w14:textId="77777777" w:rsidR="00AD3A9C" w:rsidRPr="00AD3A9C" w:rsidRDefault="00AD3A9C" w:rsidP="00AD3A9C">
      <w:pPr>
        <w:kinsoku w:val="0"/>
        <w:overflowPunct w:val="0"/>
        <w:autoSpaceDE w:val="0"/>
        <w:autoSpaceDN w:val="0"/>
        <w:adjustRightInd w:val="0"/>
        <w:spacing w:before="6" w:after="0" w:line="240" w:lineRule="auto"/>
        <w:rPr>
          <w:rFonts w:ascii="Times New Roman" w:hAnsi="Times New Roman"/>
          <w:sz w:val="11"/>
          <w:szCs w:val="11"/>
          <w:lang w:eastAsia="en-AU"/>
        </w:rPr>
      </w:pPr>
    </w:p>
    <w:tbl>
      <w:tblPr>
        <w:tblW w:w="0" w:type="auto"/>
        <w:tblInd w:w="95" w:type="dxa"/>
        <w:tblLayout w:type="fixed"/>
        <w:tblCellMar>
          <w:left w:w="0" w:type="dxa"/>
          <w:right w:w="0" w:type="dxa"/>
        </w:tblCellMar>
        <w:tblLook w:val="0000" w:firstRow="0" w:lastRow="0" w:firstColumn="0" w:lastColumn="0" w:noHBand="0" w:noVBand="0"/>
      </w:tblPr>
      <w:tblGrid>
        <w:gridCol w:w="419"/>
        <w:gridCol w:w="322"/>
        <w:gridCol w:w="740"/>
        <w:gridCol w:w="159"/>
        <w:gridCol w:w="739"/>
        <w:gridCol w:w="742"/>
        <w:gridCol w:w="160"/>
        <w:gridCol w:w="742"/>
        <w:gridCol w:w="371"/>
        <w:gridCol w:w="368"/>
      </w:tblGrid>
      <w:tr w:rsidR="00AD3A9C" w:rsidRPr="00AD3A9C" w14:paraId="56C9FD9A" w14:textId="77777777">
        <w:trPr>
          <w:trHeight w:hRule="exact" w:val="582"/>
        </w:trPr>
        <w:tc>
          <w:tcPr>
            <w:tcW w:w="419" w:type="dxa"/>
            <w:tcBorders>
              <w:top w:val="nil"/>
              <w:left w:val="nil"/>
              <w:bottom w:val="nil"/>
              <w:right w:val="single" w:sz="8" w:space="0" w:color="231F20"/>
            </w:tcBorders>
          </w:tcPr>
          <w:p w14:paraId="2CA2B164" w14:textId="77777777" w:rsidR="00AD3A9C" w:rsidRPr="00AD3A9C" w:rsidRDefault="00AD3A9C" w:rsidP="00AD3A9C">
            <w:pPr>
              <w:autoSpaceDE w:val="0"/>
              <w:autoSpaceDN w:val="0"/>
              <w:adjustRightInd w:val="0"/>
              <w:spacing w:after="0" w:line="240" w:lineRule="auto"/>
              <w:rPr>
                <w:rFonts w:ascii="Times New Roman" w:hAnsi="Times New Roman"/>
                <w:sz w:val="24"/>
                <w:szCs w:val="24"/>
                <w:lang w:eastAsia="en-AU"/>
              </w:rPr>
            </w:pPr>
          </w:p>
        </w:tc>
        <w:tc>
          <w:tcPr>
            <w:tcW w:w="3975" w:type="dxa"/>
            <w:gridSpan w:val="8"/>
            <w:tcBorders>
              <w:top w:val="single" w:sz="8" w:space="0" w:color="231F20"/>
              <w:left w:val="single" w:sz="8" w:space="0" w:color="231F20"/>
              <w:bottom w:val="single" w:sz="8" w:space="0" w:color="231F20"/>
              <w:right w:val="single" w:sz="8" w:space="0" w:color="231F20"/>
            </w:tcBorders>
            <w:shd w:val="clear" w:color="auto" w:fill="FDF5C3"/>
          </w:tcPr>
          <w:p w14:paraId="787C1D05" w14:textId="77777777" w:rsidR="00AD3A9C" w:rsidRPr="00AD3A9C" w:rsidRDefault="00AD3A9C" w:rsidP="00AD3A9C">
            <w:pPr>
              <w:kinsoku w:val="0"/>
              <w:overflowPunct w:val="0"/>
              <w:autoSpaceDE w:val="0"/>
              <w:autoSpaceDN w:val="0"/>
              <w:adjustRightInd w:val="0"/>
              <w:spacing w:before="91" w:after="0" w:line="240" w:lineRule="auto"/>
              <w:ind w:left="598"/>
              <w:rPr>
                <w:rFonts w:ascii="Times New Roman" w:hAnsi="Times New Roman"/>
                <w:sz w:val="24"/>
                <w:szCs w:val="24"/>
                <w:lang w:eastAsia="en-AU"/>
              </w:rPr>
            </w:pPr>
            <w:r w:rsidRPr="00AD3A9C">
              <w:rPr>
                <w:rFonts w:ascii="Calibri" w:hAnsi="Calibri" w:cs="Calibri"/>
                <w:b/>
                <w:bCs/>
                <w:color w:val="231F20"/>
                <w:spacing w:val="-2"/>
                <w:sz w:val="33"/>
                <w:szCs w:val="33"/>
                <w:lang w:eastAsia="en-AU"/>
              </w:rPr>
              <w:t>Unconventional</w:t>
            </w:r>
            <w:r w:rsidRPr="00AD3A9C">
              <w:rPr>
                <w:rFonts w:ascii="Calibri" w:hAnsi="Calibri" w:cs="Calibri"/>
                <w:b/>
                <w:bCs/>
                <w:color w:val="231F20"/>
                <w:sz w:val="33"/>
                <w:szCs w:val="33"/>
                <w:lang w:eastAsia="en-AU"/>
              </w:rPr>
              <w:t xml:space="preserve"> </w:t>
            </w:r>
            <w:r w:rsidRPr="00AD3A9C">
              <w:rPr>
                <w:rFonts w:ascii="Calibri" w:hAnsi="Calibri" w:cs="Calibri"/>
                <w:b/>
                <w:bCs/>
                <w:color w:val="231F20"/>
                <w:spacing w:val="-1"/>
                <w:sz w:val="33"/>
                <w:szCs w:val="33"/>
                <w:lang w:eastAsia="en-AU"/>
              </w:rPr>
              <w:t>Gas</w:t>
            </w:r>
          </w:p>
        </w:tc>
        <w:tc>
          <w:tcPr>
            <w:tcW w:w="368" w:type="dxa"/>
            <w:tcBorders>
              <w:top w:val="nil"/>
              <w:left w:val="single" w:sz="8" w:space="0" w:color="231F20"/>
              <w:bottom w:val="nil"/>
              <w:right w:val="nil"/>
            </w:tcBorders>
          </w:tcPr>
          <w:p w14:paraId="4C7244E6" w14:textId="77777777" w:rsidR="00AD3A9C" w:rsidRPr="00AD3A9C" w:rsidRDefault="00AD3A9C" w:rsidP="00AD3A9C">
            <w:pPr>
              <w:autoSpaceDE w:val="0"/>
              <w:autoSpaceDN w:val="0"/>
              <w:adjustRightInd w:val="0"/>
              <w:spacing w:after="0" w:line="240" w:lineRule="auto"/>
              <w:rPr>
                <w:rFonts w:ascii="Times New Roman" w:hAnsi="Times New Roman"/>
                <w:sz w:val="24"/>
                <w:szCs w:val="24"/>
                <w:lang w:eastAsia="en-AU"/>
              </w:rPr>
            </w:pPr>
          </w:p>
        </w:tc>
      </w:tr>
      <w:tr w:rsidR="00AD3A9C" w:rsidRPr="00AD3A9C" w14:paraId="7873F13C" w14:textId="77777777">
        <w:trPr>
          <w:trHeight w:hRule="exact" w:val="143"/>
        </w:trPr>
        <w:tc>
          <w:tcPr>
            <w:tcW w:w="741" w:type="dxa"/>
            <w:gridSpan w:val="2"/>
            <w:tcBorders>
              <w:top w:val="nil"/>
              <w:left w:val="nil"/>
              <w:bottom w:val="single" w:sz="8" w:space="0" w:color="231F20"/>
              <w:right w:val="single" w:sz="8" w:space="0" w:color="000000"/>
            </w:tcBorders>
          </w:tcPr>
          <w:p w14:paraId="1E12D2D1" w14:textId="77777777" w:rsidR="00AD3A9C" w:rsidRPr="00AD3A9C" w:rsidRDefault="00AD3A9C" w:rsidP="00AD3A9C">
            <w:pPr>
              <w:autoSpaceDE w:val="0"/>
              <w:autoSpaceDN w:val="0"/>
              <w:adjustRightInd w:val="0"/>
              <w:spacing w:after="0" w:line="240" w:lineRule="auto"/>
              <w:rPr>
                <w:rFonts w:ascii="Times New Roman" w:hAnsi="Times New Roman"/>
                <w:sz w:val="24"/>
                <w:szCs w:val="24"/>
                <w:lang w:eastAsia="en-AU"/>
              </w:rPr>
            </w:pPr>
          </w:p>
        </w:tc>
        <w:tc>
          <w:tcPr>
            <w:tcW w:w="1638" w:type="dxa"/>
            <w:gridSpan w:val="3"/>
            <w:tcBorders>
              <w:top w:val="single" w:sz="8" w:space="0" w:color="231F20"/>
              <w:left w:val="single" w:sz="8" w:space="0" w:color="000000"/>
              <w:bottom w:val="nil"/>
              <w:right w:val="single" w:sz="8" w:space="0" w:color="000000"/>
            </w:tcBorders>
          </w:tcPr>
          <w:p w14:paraId="532E558B" w14:textId="77777777" w:rsidR="00AD3A9C" w:rsidRPr="00AD3A9C" w:rsidRDefault="00AD3A9C" w:rsidP="00AD3A9C">
            <w:pPr>
              <w:autoSpaceDE w:val="0"/>
              <w:autoSpaceDN w:val="0"/>
              <w:adjustRightInd w:val="0"/>
              <w:spacing w:after="0" w:line="240" w:lineRule="auto"/>
              <w:rPr>
                <w:rFonts w:ascii="Times New Roman" w:hAnsi="Times New Roman"/>
                <w:sz w:val="24"/>
                <w:szCs w:val="24"/>
                <w:lang w:eastAsia="en-AU"/>
              </w:rPr>
            </w:pPr>
          </w:p>
        </w:tc>
        <w:tc>
          <w:tcPr>
            <w:tcW w:w="1644" w:type="dxa"/>
            <w:gridSpan w:val="3"/>
            <w:tcBorders>
              <w:top w:val="single" w:sz="8" w:space="0" w:color="231F20"/>
              <w:left w:val="single" w:sz="8" w:space="0" w:color="000000"/>
              <w:bottom w:val="nil"/>
              <w:right w:val="single" w:sz="8" w:space="0" w:color="231F20"/>
            </w:tcBorders>
          </w:tcPr>
          <w:p w14:paraId="3394A97C" w14:textId="77777777" w:rsidR="00AD3A9C" w:rsidRPr="00AD3A9C" w:rsidRDefault="00AD3A9C" w:rsidP="00AD3A9C">
            <w:pPr>
              <w:autoSpaceDE w:val="0"/>
              <w:autoSpaceDN w:val="0"/>
              <w:adjustRightInd w:val="0"/>
              <w:spacing w:after="0" w:line="240" w:lineRule="auto"/>
              <w:rPr>
                <w:rFonts w:ascii="Times New Roman" w:hAnsi="Times New Roman"/>
                <w:sz w:val="24"/>
                <w:szCs w:val="24"/>
                <w:lang w:eastAsia="en-AU"/>
              </w:rPr>
            </w:pPr>
          </w:p>
        </w:tc>
        <w:tc>
          <w:tcPr>
            <w:tcW w:w="739" w:type="dxa"/>
            <w:gridSpan w:val="2"/>
            <w:tcBorders>
              <w:top w:val="nil"/>
              <w:left w:val="single" w:sz="8" w:space="0" w:color="231F20"/>
              <w:bottom w:val="single" w:sz="8" w:space="0" w:color="231F20"/>
              <w:right w:val="nil"/>
            </w:tcBorders>
          </w:tcPr>
          <w:p w14:paraId="6936DAC7" w14:textId="77777777" w:rsidR="00AD3A9C" w:rsidRPr="00AD3A9C" w:rsidRDefault="00AD3A9C" w:rsidP="00AD3A9C">
            <w:pPr>
              <w:autoSpaceDE w:val="0"/>
              <w:autoSpaceDN w:val="0"/>
              <w:adjustRightInd w:val="0"/>
              <w:spacing w:after="0" w:line="240" w:lineRule="auto"/>
              <w:rPr>
                <w:rFonts w:ascii="Times New Roman" w:hAnsi="Times New Roman"/>
                <w:sz w:val="24"/>
                <w:szCs w:val="24"/>
                <w:lang w:eastAsia="en-AU"/>
              </w:rPr>
            </w:pPr>
          </w:p>
        </w:tc>
      </w:tr>
      <w:tr w:rsidR="00AD3A9C" w:rsidRPr="00AD3A9C" w14:paraId="33959853" w14:textId="77777777">
        <w:trPr>
          <w:trHeight w:hRule="exact" w:val="592"/>
        </w:trPr>
        <w:tc>
          <w:tcPr>
            <w:tcW w:w="1481" w:type="dxa"/>
            <w:gridSpan w:val="3"/>
            <w:tcBorders>
              <w:top w:val="single" w:sz="8" w:space="0" w:color="231F20"/>
              <w:left w:val="single" w:sz="8" w:space="0" w:color="231F20"/>
              <w:bottom w:val="single" w:sz="8" w:space="0" w:color="231F20"/>
              <w:right w:val="single" w:sz="8" w:space="0" w:color="231F20"/>
            </w:tcBorders>
            <w:shd w:val="clear" w:color="auto" w:fill="7D655F"/>
          </w:tcPr>
          <w:p w14:paraId="12FA8F0C" w14:textId="77777777" w:rsidR="00AD3A9C" w:rsidRPr="00AD3A9C" w:rsidRDefault="00AD3A9C" w:rsidP="00AD3A9C">
            <w:pPr>
              <w:kinsoku w:val="0"/>
              <w:overflowPunct w:val="0"/>
              <w:autoSpaceDE w:val="0"/>
              <w:autoSpaceDN w:val="0"/>
              <w:adjustRightInd w:val="0"/>
              <w:spacing w:before="89" w:after="0" w:line="170" w:lineRule="auto"/>
              <w:ind w:left="522" w:right="138" w:hanging="381"/>
              <w:rPr>
                <w:rFonts w:ascii="Times New Roman" w:hAnsi="Times New Roman"/>
                <w:sz w:val="24"/>
                <w:szCs w:val="24"/>
                <w:lang w:eastAsia="en-AU"/>
              </w:rPr>
            </w:pPr>
            <w:r w:rsidRPr="00AD3A9C">
              <w:rPr>
                <w:rFonts w:ascii="Calibri" w:hAnsi="Calibri" w:cs="Calibri"/>
                <w:b/>
                <w:bCs/>
                <w:color w:val="231F20"/>
                <w:spacing w:val="-1"/>
                <w:sz w:val="27"/>
                <w:szCs w:val="27"/>
                <w:lang w:eastAsia="en-AU"/>
              </w:rPr>
              <w:t>Coal</w:t>
            </w:r>
            <w:r w:rsidRPr="00AD3A9C">
              <w:rPr>
                <w:rFonts w:ascii="Calibri" w:hAnsi="Calibri" w:cs="Calibri"/>
                <w:b/>
                <w:bCs/>
                <w:color w:val="231F20"/>
                <w:spacing w:val="12"/>
                <w:sz w:val="27"/>
                <w:szCs w:val="27"/>
                <w:lang w:eastAsia="en-AU"/>
              </w:rPr>
              <w:t xml:space="preserve"> </w:t>
            </w:r>
            <w:r w:rsidRPr="00AD3A9C">
              <w:rPr>
                <w:rFonts w:ascii="Calibri" w:hAnsi="Calibri" w:cs="Calibri"/>
                <w:b/>
                <w:bCs/>
                <w:color w:val="231F20"/>
                <w:sz w:val="27"/>
                <w:szCs w:val="27"/>
                <w:lang w:eastAsia="en-AU"/>
              </w:rPr>
              <w:t>Seam</w:t>
            </w:r>
            <w:r w:rsidRPr="00AD3A9C">
              <w:rPr>
                <w:rFonts w:ascii="Calibri" w:hAnsi="Calibri" w:cs="Calibri"/>
                <w:b/>
                <w:bCs/>
                <w:color w:val="231F20"/>
                <w:spacing w:val="21"/>
                <w:w w:val="101"/>
                <w:sz w:val="27"/>
                <w:szCs w:val="27"/>
                <w:lang w:eastAsia="en-AU"/>
              </w:rPr>
              <w:t xml:space="preserve"> </w:t>
            </w:r>
            <w:r w:rsidRPr="00AD3A9C">
              <w:rPr>
                <w:rFonts w:ascii="Calibri" w:hAnsi="Calibri" w:cs="Calibri"/>
                <w:b/>
                <w:bCs/>
                <w:color w:val="231F20"/>
                <w:spacing w:val="-1"/>
                <w:sz w:val="27"/>
                <w:szCs w:val="27"/>
                <w:lang w:eastAsia="en-AU"/>
              </w:rPr>
              <w:t>Gas</w:t>
            </w:r>
          </w:p>
        </w:tc>
        <w:tc>
          <w:tcPr>
            <w:tcW w:w="159" w:type="dxa"/>
            <w:tcBorders>
              <w:top w:val="nil"/>
              <w:left w:val="single" w:sz="8" w:space="0" w:color="231F20"/>
              <w:bottom w:val="nil"/>
              <w:right w:val="single" w:sz="8" w:space="0" w:color="231F20"/>
            </w:tcBorders>
          </w:tcPr>
          <w:p w14:paraId="314E89C4" w14:textId="77777777" w:rsidR="00AD3A9C" w:rsidRPr="00AD3A9C" w:rsidRDefault="00AD3A9C" w:rsidP="00AD3A9C">
            <w:pPr>
              <w:autoSpaceDE w:val="0"/>
              <w:autoSpaceDN w:val="0"/>
              <w:adjustRightInd w:val="0"/>
              <w:spacing w:after="0" w:line="240" w:lineRule="auto"/>
              <w:rPr>
                <w:rFonts w:ascii="Times New Roman" w:hAnsi="Times New Roman"/>
                <w:sz w:val="24"/>
                <w:szCs w:val="24"/>
                <w:lang w:eastAsia="en-AU"/>
              </w:rPr>
            </w:pPr>
          </w:p>
        </w:tc>
        <w:tc>
          <w:tcPr>
            <w:tcW w:w="1481" w:type="dxa"/>
            <w:gridSpan w:val="2"/>
            <w:tcBorders>
              <w:top w:val="single" w:sz="8" w:space="0" w:color="231F20"/>
              <w:left w:val="single" w:sz="8" w:space="0" w:color="231F20"/>
              <w:bottom w:val="single" w:sz="8" w:space="0" w:color="231F20"/>
              <w:right w:val="single" w:sz="8" w:space="0" w:color="231F20"/>
            </w:tcBorders>
            <w:shd w:val="clear" w:color="auto" w:fill="ADD363"/>
          </w:tcPr>
          <w:p w14:paraId="2D07E5D7" w14:textId="77777777" w:rsidR="00AD3A9C" w:rsidRPr="00AD3A9C" w:rsidRDefault="00AD3A9C" w:rsidP="00AD3A9C">
            <w:pPr>
              <w:kinsoku w:val="0"/>
              <w:overflowPunct w:val="0"/>
              <w:autoSpaceDE w:val="0"/>
              <w:autoSpaceDN w:val="0"/>
              <w:adjustRightInd w:val="0"/>
              <w:spacing w:before="134" w:after="0" w:line="240" w:lineRule="auto"/>
              <w:ind w:left="183"/>
              <w:rPr>
                <w:rFonts w:ascii="Times New Roman" w:hAnsi="Times New Roman"/>
                <w:sz w:val="24"/>
                <w:szCs w:val="24"/>
                <w:lang w:eastAsia="en-AU"/>
              </w:rPr>
            </w:pPr>
            <w:r w:rsidRPr="00AD3A9C">
              <w:rPr>
                <w:rFonts w:ascii="Calibri" w:hAnsi="Calibri" w:cs="Calibri"/>
                <w:b/>
                <w:bCs/>
                <w:color w:val="231F20"/>
                <w:sz w:val="27"/>
                <w:szCs w:val="27"/>
                <w:lang w:eastAsia="en-AU"/>
              </w:rPr>
              <w:t>Shale</w:t>
            </w:r>
            <w:r w:rsidRPr="00AD3A9C">
              <w:rPr>
                <w:rFonts w:ascii="Calibri" w:hAnsi="Calibri" w:cs="Calibri"/>
                <w:b/>
                <w:bCs/>
                <w:color w:val="231F20"/>
                <w:spacing w:val="10"/>
                <w:sz w:val="27"/>
                <w:szCs w:val="27"/>
                <w:lang w:eastAsia="en-AU"/>
              </w:rPr>
              <w:t xml:space="preserve"> </w:t>
            </w:r>
            <w:r w:rsidRPr="00AD3A9C">
              <w:rPr>
                <w:rFonts w:ascii="Calibri" w:hAnsi="Calibri" w:cs="Calibri"/>
                <w:b/>
                <w:bCs/>
                <w:color w:val="231F20"/>
                <w:spacing w:val="-1"/>
                <w:sz w:val="27"/>
                <w:szCs w:val="27"/>
                <w:lang w:eastAsia="en-AU"/>
              </w:rPr>
              <w:t>Gas</w:t>
            </w:r>
          </w:p>
        </w:tc>
        <w:tc>
          <w:tcPr>
            <w:tcW w:w="160" w:type="dxa"/>
            <w:tcBorders>
              <w:top w:val="nil"/>
              <w:left w:val="single" w:sz="8" w:space="0" w:color="231F20"/>
              <w:bottom w:val="nil"/>
              <w:right w:val="single" w:sz="8" w:space="0" w:color="231F20"/>
            </w:tcBorders>
          </w:tcPr>
          <w:p w14:paraId="23094771" w14:textId="77777777" w:rsidR="00AD3A9C" w:rsidRPr="00AD3A9C" w:rsidRDefault="00AD3A9C" w:rsidP="00AD3A9C">
            <w:pPr>
              <w:autoSpaceDE w:val="0"/>
              <w:autoSpaceDN w:val="0"/>
              <w:adjustRightInd w:val="0"/>
              <w:spacing w:after="0" w:line="240" w:lineRule="auto"/>
              <w:rPr>
                <w:rFonts w:ascii="Times New Roman" w:hAnsi="Times New Roman"/>
                <w:sz w:val="24"/>
                <w:szCs w:val="24"/>
                <w:lang w:eastAsia="en-AU"/>
              </w:rPr>
            </w:pPr>
          </w:p>
        </w:tc>
        <w:tc>
          <w:tcPr>
            <w:tcW w:w="1481" w:type="dxa"/>
            <w:gridSpan w:val="3"/>
            <w:tcBorders>
              <w:top w:val="single" w:sz="8" w:space="0" w:color="231F20"/>
              <w:left w:val="single" w:sz="8" w:space="0" w:color="231F20"/>
              <w:bottom w:val="single" w:sz="8" w:space="0" w:color="231F20"/>
              <w:right w:val="single" w:sz="8" w:space="0" w:color="231F20"/>
            </w:tcBorders>
            <w:shd w:val="clear" w:color="auto" w:fill="D74E38"/>
          </w:tcPr>
          <w:p w14:paraId="360687D4" w14:textId="77777777" w:rsidR="00AD3A9C" w:rsidRPr="00AD3A9C" w:rsidRDefault="00AD3A9C" w:rsidP="00AD3A9C">
            <w:pPr>
              <w:kinsoku w:val="0"/>
              <w:overflowPunct w:val="0"/>
              <w:autoSpaceDE w:val="0"/>
              <w:autoSpaceDN w:val="0"/>
              <w:adjustRightInd w:val="0"/>
              <w:spacing w:before="134" w:after="0" w:line="240" w:lineRule="auto"/>
              <w:ind w:left="205"/>
              <w:rPr>
                <w:rFonts w:ascii="Times New Roman" w:hAnsi="Times New Roman"/>
                <w:sz w:val="24"/>
                <w:szCs w:val="24"/>
                <w:lang w:eastAsia="en-AU"/>
              </w:rPr>
            </w:pPr>
            <w:r w:rsidRPr="00AD3A9C">
              <w:rPr>
                <w:rFonts w:ascii="Calibri" w:hAnsi="Calibri" w:cs="Calibri"/>
                <w:b/>
                <w:bCs/>
                <w:color w:val="231F20"/>
                <w:spacing w:val="-2"/>
                <w:sz w:val="27"/>
                <w:szCs w:val="27"/>
                <w:lang w:eastAsia="en-AU"/>
              </w:rPr>
              <w:t>Tight</w:t>
            </w:r>
            <w:r w:rsidRPr="00AD3A9C">
              <w:rPr>
                <w:rFonts w:ascii="Calibri" w:hAnsi="Calibri" w:cs="Calibri"/>
                <w:b/>
                <w:bCs/>
                <w:color w:val="231F20"/>
                <w:spacing w:val="9"/>
                <w:sz w:val="27"/>
                <w:szCs w:val="27"/>
                <w:lang w:eastAsia="en-AU"/>
              </w:rPr>
              <w:t xml:space="preserve"> </w:t>
            </w:r>
            <w:r w:rsidRPr="00AD3A9C">
              <w:rPr>
                <w:rFonts w:ascii="Calibri" w:hAnsi="Calibri" w:cs="Calibri"/>
                <w:b/>
                <w:bCs/>
                <w:color w:val="231F20"/>
                <w:spacing w:val="-1"/>
                <w:sz w:val="27"/>
                <w:szCs w:val="27"/>
                <w:lang w:eastAsia="en-AU"/>
              </w:rPr>
              <w:t>Gas</w:t>
            </w:r>
          </w:p>
        </w:tc>
      </w:tr>
    </w:tbl>
    <w:p w14:paraId="7A80EB05" w14:textId="77777777" w:rsidR="00BE03E6" w:rsidRDefault="00BE03E6" w:rsidP="00577574">
      <w:pPr>
        <w:pStyle w:val="Pa3"/>
        <w:spacing w:after="160"/>
        <w:rPr>
          <w:rFonts w:ascii="Calibri" w:hAnsi="Calibri" w:cs="Calibri"/>
          <w:b/>
          <w:bCs/>
          <w:sz w:val="18"/>
          <w:szCs w:val="18"/>
        </w:rPr>
      </w:pPr>
    </w:p>
    <w:p w14:paraId="31EC7A73" w14:textId="77777777" w:rsidR="00577574" w:rsidRDefault="00577574" w:rsidP="00577574">
      <w:pPr>
        <w:pStyle w:val="Pa3"/>
        <w:spacing w:after="160"/>
        <w:rPr>
          <w:rFonts w:ascii="Calibri" w:hAnsi="Calibri" w:cs="Calibri"/>
          <w:b/>
          <w:bCs/>
          <w:sz w:val="18"/>
          <w:szCs w:val="18"/>
        </w:rPr>
      </w:pPr>
      <w:r>
        <w:rPr>
          <w:rFonts w:ascii="Calibri" w:hAnsi="Calibri" w:cs="Calibri"/>
          <w:b/>
          <w:bCs/>
          <w:sz w:val="18"/>
          <w:szCs w:val="18"/>
        </w:rPr>
        <w:t>Figure 1: The unconventional gas family</w:t>
      </w:r>
    </w:p>
    <w:p w14:paraId="49430BBE" w14:textId="4D699CBE" w:rsidR="00124B8E" w:rsidRDefault="00BE03E6" w:rsidP="00124B8E">
      <w:pPr>
        <w:autoSpaceDE w:val="0"/>
        <w:autoSpaceDN w:val="0"/>
        <w:adjustRightInd w:val="0"/>
        <w:spacing w:before="160" w:after="100" w:line="321" w:lineRule="atLeast"/>
      </w:pPr>
      <w:r w:rsidRPr="00577574">
        <w:rPr>
          <w:noProof/>
          <w:lang w:eastAsia="en-AU"/>
        </w:rPr>
        <w:drawing>
          <wp:inline distT="0" distB="0" distL="0" distR="0" wp14:anchorId="67AEF199" wp14:editId="07F52E48">
            <wp:extent cx="6486390" cy="2933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496618" cy="2938326"/>
                    </a:xfrm>
                    <a:prstGeom prst="rect">
                      <a:avLst/>
                    </a:prstGeom>
                    <a:noFill/>
                    <a:ln>
                      <a:noFill/>
                    </a:ln>
                  </pic:spPr>
                </pic:pic>
              </a:graphicData>
            </a:graphic>
          </wp:inline>
        </w:drawing>
      </w:r>
    </w:p>
    <w:p w14:paraId="592E358D" w14:textId="77777777" w:rsidR="00BE03E6" w:rsidRDefault="00BE03E6" w:rsidP="00BE03E6">
      <w:pPr>
        <w:pStyle w:val="Pa3"/>
        <w:spacing w:after="160"/>
        <w:rPr>
          <w:rFonts w:ascii="Calibri" w:hAnsi="Calibri" w:cs="Calibri"/>
          <w:sz w:val="18"/>
          <w:szCs w:val="18"/>
        </w:rPr>
      </w:pPr>
      <w:r>
        <w:rPr>
          <w:rFonts w:ascii="Calibri" w:hAnsi="Calibri" w:cs="Calibri"/>
          <w:b/>
          <w:bCs/>
          <w:sz w:val="18"/>
          <w:szCs w:val="18"/>
        </w:rPr>
        <w:t>Figure 2: Conceptual diagram of conventional and unconventional natural gas reservoirs</w:t>
      </w:r>
    </w:p>
    <w:p w14:paraId="5CC95250" w14:textId="77777777" w:rsidR="00BE03E6" w:rsidRDefault="00BE03E6" w:rsidP="00BE03E6">
      <w:pPr>
        <w:rPr>
          <w:rFonts w:ascii="Calibri" w:hAnsi="Calibri" w:cs="Calibri"/>
          <w:position w:val="6"/>
          <w:sz w:val="10"/>
          <w:szCs w:val="10"/>
          <w:vertAlign w:val="superscript"/>
        </w:rPr>
      </w:pPr>
      <w:r>
        <w:rPr>
          <w:rFonts w:ascii="Calibri" w:hAnsi="Calibri" w:cs="Calibri"/>
          <w:sz w:val="18"/>
          <w:szCs w:val="18"/>
        </w:rPr>
        <w:t>© Commonwealth of Australia (Geoscience Australia) 2014</w:t>
      </w:r>
      <w:r>
        <w:rPr>
          <w:rFonts w:ascii="Calibri" w:hAnsi="Calibri" w:cs="Calibri"/>
          <w:position w:val="6"/>
          <w:sz w:val="10"/>
          <w:szCs w:val="10"/>
          <w:vertAlign w:val="superscript"/>
        </w:rPr>
        <w:t>(1)</w:t>
      </w:r>
    </w:p>
    <w:p w14:paraId="6A5F165F" w14:textId="56DA1212" w:rsidR="00124B8E" w:rsidRPr="00577574" w:rsidRDefault="00124B8E" w:rsidP="00124B8E">
      <w:pPr>
        <w:autoSpaceDE w:val="0"/>
        <w:autoSpaceDN w:val="0"/>
        <w:adjustRightInd w:val="0"/>
        <w:spacing w:before="160" w:after="100" w:line="321" w:lineRule="atLeast"/>
        <w:rPr>
          <w:rFonts w:ascii="Garamond" w:hAnsi="Garamond" w:cs="Garamond"/>
          <w:color w:val="000000"/>
          <w:sz w:val="32"/>
          <w:szCs w:val="32"/>
          <w:lang w:eastAsia="en-AU"/>
        </w:rPr>
      </w:pPr>
      <w:r w:rsidRPr="00577574">
        <w:rPr>
          <w:rFonts w:ascii="Garamond" w:hAnsi="Garamond" w:cs="Garamond"/>
          <w:b/>
          <w:bCs/>
          <w:color w:val="000000"/>
          <w:sz w:val="32"/>
          <w:szCs w:val="32"/>
          <w:lang w:eastAsia="en-AU"/>
        </w:rPr>
        <w:t>Types of unconventional gas</w:t>
      </w:r>
    </w:p>
    <w:p w14:paraId="5CEA3505" w14:textId="77777777" w:rsidR="00124B8E" w:rsidRPr="00577574" w:rsidRDefault="00124B8E" w:rsidP="00124B8E">
      <w:pPr>
        <w:autoSpaceDE w:val="0"/>
        <w:autoSpaceDN w:val="0"/>
        <w:adjustRightInd w:val="0"/>
        <w:spacing w:before="100" w:after="160" w:line="211" w:lineRule="atLeast"/>
        <w:rPr>
          <w:rFonts w:ascii="Garamond" w:hAnsi="Garamond" w:cs="Garamond"/>
          <w:color w:val="000000"/>
          <w:sz w:val="23"/>
          <w:szCs w:val="23"/>
          <w:lang w:eastAsia="en-AU"/>
        </w:rPr>
      </w:pPr>
      <w:r w:rsidRPr="00577574">
        <w:rPr>
          <w:rFonts w:ascii="Garamond" w:hAnsi="Garamond" w:cs="Garamond"/>
          <w:b/>
          <w:bCs/>
          <w:color w:val="000000"/>
          <w:sz w:val="23"/>
          <w:szCs w:val="23"/>
          <w:lang w:eastAsia="en-AU"/>
        </w:rPr>
        <w:t>Coal Seam Gas</w:t>
      </w:r>
    </w:p>
    <w:p w14:paraId="2000D9FC" w14:textId="7E9D60EF" w:rsidR="00124B8E" w:rsidRPr="00577574" w:rsidRDefault="00124B8E" w:rsidP="00124B8E">
      <w:pPr>
        <w:autoSpaceDE w:val="0"/>
        <w:autoSpaceDN w:val="0"/>
        <w:adjustRightInd w:val="0"/>
        <w:spacing w:after="160" w:line="211" w:lineRule="atLeast"/>
        <w:rPr>
          <w:rFonts w:ascii="Calibri" w:hAnsi="Calibri" w:cs="Calibri"/>
          <w:color w:val="000000"/>
          <w:sz w:val="21"/>
          <w:szCs w:val="21"/>
          <w:lang w:eastAsia="en-AU"/>
        </w:rPr>
      </w:pPr>
      <w:r w:rsidRPr="00577574">
        <w:rPr>
          <w:rFonts w:ascii="Calibri" w:hAnsi="Calibri" w:cs="Calibri"/>
          <w:color w:val="000000"/>
          <w:sz w:val="21"/>
          <w:szCs w:val="21"/>
          <w:lang w:eastAsia="en-AU"/>
        </w:rPr>
        <w:t xml:space="preserve">Coal is an organic-rich sedimentary rock, </w:t>
      </w:r>
      <w:r w:rsidRPr="00577574">
        <w:rPr>
          <w:rFonts w:ascii="Calibri" w:hAnsi="Calibri" w:cs="Calibri"/>
          <w:color w:val="000000"/>
          <w:sz w:val="21"/>
          <w:szCs w:val="21"/>
          <w:lang w:eastAsia="en-AU"/>
        </w:rPr>
        <w:t>containing 50</w:t>
      </w:r>
      <w:r w:rsidR="00C02739">
        <w:rPr>
          <w:rFonts w:ascii="Calibri" w:hAnsi="Calibri" w:cs="Calibri"/>
          <w:color w:val="000000"/>
          <w:sz w:val="21"/>
          <w:szCs w:val="21"/>
          <w:lang w:eastAsia="en-AU"/>
        </w:rPr>
        <w:t>%</w:t>
      </w:r>
      <w:r w:rsidRPr="00577574">
        <w:rPr>
          <w:rFonts w:ascii="Calibri" w:hAnsi="Calibri" w:cs="Calibri"/>
          <w:color w:val="000000"/>
          <w:sz w:val="21"/>
          <w:szCs w:val="21"/>
          <w:lang w:eastAsia="en-AU"/>
        </w:rPr>
        <w:t xml:space="preserve"> to 100% organic carbon</w:t>
      </w:r>
      <w:r w:rsidRPr="00577574">
        <w:rPr>
          <w:rFonts w:ascii="Calibri" w:hAnsi="Calibri" w:cs="Calibri"/>
          <w:color w:val="000000"/>
          <w:sz w:val="21"/>
          <w:szCs w:val="21"/>
          <w:lang w:eastAsia="en-AU"/>
        </w:rPr>
        <w:t>. During the process where organic matter is transformed into coal (coalification), this carbon is converted to natural gas that becomes trapped in the coal seam, absorbed into minute holes in the coal’s surface called micropores, or held within the coal’s natural fracture network, called cleats. The large surface area to volume ratio of coals allows storage of up to seven times more gas as the same volume of rock in a conventional gas reservoir.</w:t>
      </w:r>
    </w:p>
    <w:p w14:paraId="7EB3AFE0" w14:textId="088E10FF" w:rsidR="00520DDE" w:rsidRDefault="00124B8E" w:rsidP="00124B8E">
      <w:pPr>
        <w:autoSpaceDE w:val="0"/>
        <w:autoSpaceDN w:val="0"/>
        <w:adjustRightInd w:val="0"/>
        <w:spacing w:after="160" w:line="211" w:lineRule="atLeast"/>
        <w:rPr>
          <w:rFonts w:ascii="Calibri" w:hAnsi="Calibri" w:cs="Calibri"/>
          <w:color w:val="000000"/>
          <w:sz w:val="21"/>
          <w:szCs w:val="21"/>
          <w:lang w:eastAsia="en-AU"/>
        </w:rPr>
      </w:pPr>
      <w:r w:rsidRPr="00577574">
        <w:rPr>
          <w:rFonts w:ascii="Calibri" w:hAnsi="Calibri" w:cs="Calibri"/>
          <w:color w:val="000000"/>
          <w:sz w:val="21"/>
          <w:szCs w:val="21"/>
          <w:lang w:eastAsia="en-AU"/>
        </w:rPr>
        <w:lastRenderedPageBreak/>
        <w:t xml:space="preserve">CSG is typically found in coal that is 300 to 1200 </w:t>
      </w:r>
      <w:r w:rsidR="00531248" w:rsidRPr="00531248">
        <w:rPr>
          <w:rFonts w:asciiTheme="minorHAnsi" w:hAnsiTheme="minorHAnsi" w:cs="Calibri"/>
          <w:color w:val="000000"/>
          <w:sz w:val="21"/>
          <w:szCs w:val="21"/>
        </w:rPr>
        <w:t>metres</w:t>
      </w:r>
      <w:r w:rsidR="00531248" w:rsidRPr="00531248">
        <w:rPr>
          <w:rStyle w:val="A9"/>
          <w:rFonts w:asciiTheme="minorHAnsi" w:hAnsiTheme="minorHAnsi"/>
          <w:sz w:val="21"/>
          <w:szCs w:val="21"/>
          <w:vertAlign w:val="superscript"/>
        </w:rPr>
        <w:t>(2)</w:t>
      </w:r>
      <w:r w:rsidR="00531248">
        <w:rPr>
          <w:rStyle w:val="A9"/>
          <w:rFonts w:asciiTheme="minorHAnsi" w:hAnsiTheme="minorHAnsi"/>
          <w:sz w:val="21"/>
          <w:szCs w:val="21"/>
          <w:vertAlign w:val="superscript"/>
        </w:rPr>
        <w:t xml:space="preserve"> </w:t>
      </w:r>
      <w:r w:rsidRPr="00577574">
        <w:rPr>
          <w:rFonts w:ascii="Calibri" w:hAnsi="Calibri" w:cs="Calibri"/>
          <w:color w:val="000000"/>
          <w:sz w:val="21"/>
          <w:szCs w:val="21"/>
          <w:lang w:eastAsia="en-AU"/>
        </w:rPr>
        <w:t xml:space="preserve">below the surface (Figure 2). The gas is held in place by the pressure of the surrounding water and rock, known as hydrostatic and lithostatic pressure respectively. To extract the gas, wells are drilled into the coal seam and the hydrostatic pressure is reduced by removing some of the water (dewatering or depressurisation stage). When sufficient water (produced water) has been removed, the gas begins to flow. Gas production peaks during the production stage, which is followed by a </w:t>
      </w:r>
      <w:r w:rsidRPr="00AD3A9C">
        <w:rPr>
          <w:rFonts w:ascii="Calibri" w:hAnsi="Calibri" w:cs="Calibri"/>
          <w:sz w:val="21"/>
          <w:szCs w:val="21"/>
          <w:lang w:eastAsia="en-AU"/>
        </w:rPr>
        <w:t xml:space="preserve">long period of slow decline (Figure 3). Some coals are very wet i.e. they produce large quantities of water before producing gas. Others can be drier, producing much less water before the gas flows. Some coal seams require hydraulic fracturing (fracking) to enable the flow </w:t>
      </w:r>
      <w:r w:rsidRPr="00577574">
        <w:rPr>
          <w:rFonts w:ascii="Calibri" w:hAnsi="Calibri" w:cs="Calibri"/>
          <w:color w:val="000000"/>
          <w:sz w:val="21"/>
          <w:szCs w:val="21"/>
          <w:lang w:eastAsia="en-AU"/>
        </w:rPr>
        <w:t>of gas. Hydraulic fracturing is a process where fractures are opened or enhanced by pumping fluids and proppants (usually sand, but may be another material), at high pressure into the rock.</w:t>
      </w:r>
    </w:p>
    <w:p w14:paraId="51EA56DB" w14:textId="3657594C" w:rsidR="00520DDE" w:rsidRPr="00577574" w:rsidRDefault="00AD3A9C" w:rsidP="00124B8E">
      <w:pPr>
        <w:autoSpaceDE w:val="0"/>
        <w:autoSpaceDN w:val="0"/>
        <w:adjustRightInd w:val="0"/>
        <w:spacing w:after="160" w:line="211" w:lineRule="atLeast"/>
        <w:rPr>
          <w:rFonts w:ascii="Calibri" w:hAnsi="Calibri" w:cs="Calibri"/>
          <w:color w:val="000000"/>
          <w:sz w:val="21"/>
          <w:szCs w:val="21"/>
          <w:lang w:eastAsia="en-AU"/>
        </w:rPr>
      </w:pPr>
      <w:r w:rsidRPr="00AD3A9C">
        <w:rPr>
          <w:rFonts w:ascii="Calibri" w:hAnsi="Calibri" w:cs="Calibri"/>
          <w:noProof/>
          <w:color w:val="000000"/>
          <w:sz w:val="21"/>
          <w:szCs w:val="21"/>
          <w:lang w:eastAsia="en-AU"/>
        </w:rPr>
        <w:drawing>
          <wp:inline distT="0" distB="0" distL="0" distR="0" wp14:anchorId="1BF9E971" wp14:editId="537D1063">
            <wp:extent cx="4876800" cy="2567686"/>
            <wp:effectExtent l="0" t="0" r="0" b="444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81315" cy="2570063"/>
                    </a:xfrm>
                    <a:prstGeom prst="rect">
                      <a:avLst/>
                    </a:prstGeom>
                    <a:noFill/>
                    <a:ln>
                      <a:noFill/>
                    </a:ln>
                  </pic:spPr>
                </pic:pic>
              </a:graphicData>
            </a:graphic>
          </wp:inline>
        </w:drawing>
      </w:r>
    </w:p>
    <w:p w14:paraId="4DEE3BD0" w14:textId="17D577B7" w:rsidR="00124B8E" w:rsidRPr="00EF53FF" w:rsidRDefault="00124B8E" w:rsidP="00124B8E">
      <w:r w:rsidRPr="001D7F95">
        <w:rPr>
          <w:rFonts w:ascii="Calibri" w:hAnsi="Calibri" w:cs="Calibri"/>
          <w:b/>
          <w:bCs/>
          <w:sz w:val="18"/>
          <w:szCs w:val="18"/>
          <w:lang w:eastAsia="en-AU"/>
        </w:rPr>
        <w:t xml:space="preserve">Figure 3: Typical </w:t>
      </w:r>
      <w:r w:rsidRPr="00577574">
        <w:rPr>
          <w:rFonts w:ascii="Calibri" w:hAnsi="Calibri" w:cs="Calibri"/>
          <w:b/>
          <w:bCs/>
          <w:color w:val="000000"/>
          <w:sz w:val="18"/>
          <w:szCs w:val="18"/>
          <w:lang w:eastAsia="en-AU"/>
        </w:rPr>
        <w:t>water and gas production for a CSG well</w:t>
      </w:r>
    </w:p>
    <w:p w14:paraId="6ECF5520" w14:textId="38A42DC5" w:rsidR="00531248" w:rsidRPr="00531248" w:rsidRDefault="00531248" w:rsidP="00124B8E">
      <w:pPr>
        <w:autoSpaceDE w:val="0"/>
        <w:autoSpaceDN w:val="0"/>
        <w:adjustRightInd w:val="0"/>
        <w:spacing w:before="100" w:after="160" w:line="211" w:lineRule="atLeast"/>
        <w:rPr>
          <w:rFonts w:asciiTheme="minorHAnsi" w:hAnsiTheme="minorHAnsi" w:cs="Garamond"/>
          <w:bCs/>
          <w:color w:val="000000"/>
          <w:sz w:val="21"/>
          <w:szCs w:val="21"/>
          <w:lang w:eastAsia="en-AU"/>
        </w:rPr>
      </w:pPr>
      <w:r w:rsidRPr="00531248">
        <w:rPr>
          <w:rFonts w:asciiTheme="minorHAnsi" w:hAnsiTheme="minorHAnsi" w:cs="Garamond"/>
          <w:bCs/>
          <w:color w:val="000000"/>
          <w:sz w:val="21"/>
          <w:szCs w:val="21"/>
          <w:lang w:eastAsia="en-AU"/>
        </w:rPr>
        <w:t xml:space="preserve">In some circumstances, deep coal seams (greater than 1500 metres), can also be reservoirs where gas is generated and stored. Unlike CSG, these ‘deep coal gas plays’ </w:t>
      </w:r>
      <w:r w:rsidR="00AA0C34">
        <w:rPr>
          <w:rFonts w:asciiTheme="minorHAnsi" w:hAnsiTheme="minorHAnsi" w:cs="Garamond"/>
          <w:bCs/>
          <w:color w:val="000000"/>
          <w:sz w:val="21"/>
          <w:szCs w:val="21"/>
          <w:lang w:eastAsia="en-AU"/>
        </w:rPr>
        <w:t xml:space="preserve">often </w:t>
      </w:r>
      <w:r w:rsidRPr="00531248">
        <w:rPr>
          <w:rFonts w:asciiTheme="minorHAnsi" w:hAnsiTheme="minorHAnsi" w:cs="Garamond"/>
          <w:bCs/>
          <w:color w:val="000000"/>
          <w:sz w:val="21"/>
          <w:szCs w:val="21"/>
          <w:lang w:eastAsia="en-AU"/>
        </w:rPr>
        <w:t>do not require dewatering and the gas is extracted using methods</w:t>
      </w:r>
      <w:r w:rsidR="00AA0C34">
        <w:rPr>
          <w:rFonts w:asciiTheme="minorHAnsi" w:hAnsiTheme="minorHAnsi" w:cs="Garamond"/>
          <w:bCs/>
          <w:color w:val="000000"/>
          <w:sz w:val="21"/>
          <w:szCs w:val="21"/>
          <w:lang w:eastAsia="en-AU"/>
        </w:rPr>
        <w:t xml:space="preserve"> similar to </w:t>
      </w:r>
      <w:r w:rsidRPr="00531248">
        <w:rPr>
          <w:rFonts w:asciiTheme="minorHAnsi" w:hAnsiTheme="minorHAnsi" w:cs="Garamond"/>
          <w:bCs/>
          <w:color w:val="000000"/>
          <w:sz w:val="21"/>
          <w:szCs w:val="21"/>
          <w:lang w:eastAsia="en-AU"/>
        </w:rPr>
        <w:t xml:space="preserve"> those used </w:t>
      </w:r>
      <w:r w:rsidR="00AA0C34">
        <w:rPr>
          <w:rFonts w:asciiTheme="minorHAnsi" w:hAnsiTheme="minorHAnsi" w:cs="Garamond"/>
          <w:bCs/>
          <w:color w:val="000000"/>
          <w:sz w:val="21"/>
          <w:szCs w:val="21"/>
          <w:lang w:eastAsia="en-AU"/>
        </w:rPr>
        <w:t>for</w:t>
      </w:r>
      <w:r w:rsidR="00AA0C34" w:rsidRPr="00531248">
        <w:rPr>
          <w:rFonts w:asciiTheme="minorHAnsi" w:hAnsiTheme="minorHAnsi" w:cs="Garamond"/>
          <w:bCs/>
          <w:color w:val="000000"/>
          <w:sz w:val="21"/>
          <w:szCs w:val="21"/>
          <w:lang w:eastAsia="en-AU"/>
        </w:rPr>
        <w:t xml:space="preserve"> </w:t>
      </w:r>
      <w:r w:rsidRPr="00531248">
        <w:rPr>
          <w:rFonts w:asciiTheme="minorHAnsi" w:hAnsiTheme="minorHAnsi" w:cs="Garamond"/>
          <w:bCs/>
          <w:color w:val="000000"/>
          <w:sz w:val="21"/>
          <w:szCs w:val="21"/>
          <w:lang w:eastAsia="en-AU"/>
        </w:rPr>
        <w:t>shale gas production.</w:t>
      </w:r>
    </w:p>
    <w:p w14:paraId="22CC89C4" w14:textId="77777777" w:rsidR="00124B8E" w:rsidRPr="00577574" w:rsidRDefault="00124B8E" w:rsidP="00124B8E">
      <w:pPr>
        <w:autoSpaceDE w:val="0"/>
        <w:autoSpaceDN w:val="0"/>
        <w:adjustRightInd w:val="0"/>
        <w:spacing w:before="100" w:after="160" w:line="211" w:lineRule="atLeast"/>
        <w:rPr>
          <w:rFonts w:ascii="Garamond" w:hAnsi="Garamond" w:cs="Garamond"/>
          <w:color w:val="000000"/>
          <w:sz w:val="23"/>
          <w:szCs w:val="23"/>
          <w:lang w:eastAsia="en-AU"/>
        </w:rPr>
      </w:pPr>
      <w:r w:rsidRPr="00577574">
        <w:rPr>
          <w:rFonts w:ascii="Garamond" w:hAnsi="Garamond" w:cs="Garamond"/>
          <w:b/>
          <w:bCs/>
          <w:color w:val="000000"/>
          <w:sz w:val="23"/>
          <w:szCs w:val="23"/>
          <w:lang w:eastAsia="en-AU"/>
        </w:rPr>
        <w:t>Shale Gas</w:t>
      </w:r>
    </w:p>
    <w:p w14:paraId="1BCDEF0F" w14:textId="77777777" w:rsidR="00124B8E" w:rsidRDefault="00124B8E" w:rsidP="00124B8E">
      <w:pPr>
        <w:autoSpaceDE w:val="0"/>
        <w:autoSpaceDN w:val="0"/>
        <w:adjustRightInd w:val="0"/>
        <w:spacing w:after="160" w:line="211" w:lineRule="atLeast"/>
        <w:rPr>
          <w:rFonts w:ascii="Calibri" w:hAnsi="Calibri" w:cs="Calibri"/>
          <w:color w:val="000000"/>
          <w:sz w:val="21"/>
          <w:szCs w:val="21"/>
          <w:lang w:eastAsia="en-AU"/>
        </w:rPr>
      </w:pPr>
      <w:r w:rsidRPr="00577574">
        <w:rPr>
          <w:rFonts w:ascii="Calibri" w:hAnsi="Calibri" w:cs="Calibri"/>
          <w:color w:val="000000"/>
          <w:sz w:val="21"/>
          <w:szCs w:val="21"/>
          <w:lang w:eastAsia="en-AU"/>
        </w:rPr>
        <w:t xml:space="preserve">Shale is a fine-grained sedimentary rock that can contain between 10% and 50% organic carbon. During the rocks’ formation, the organic matter is converted to natural gas and remains trapped within the shale (shale gas). </w:t>
      </w:r>
    </w:p>
    <w:p w14:paraId="4658D788" w14:textId="682C128E" w:rsidR="00124B8E" w:rsidRPr="00531248" w:rsidRDefault="00124B8E" w:rsidP="00124B8E">
      <w:pPr>
        <w:pStyle w:val="Pa1"/>
        <w:spacing w:after="160"/>
        <w:rPr>
          <w:rFonts w:asciiTheme="minorHAnsi" w:hAnsiTheme="minorHAnsi" w:cs="Calibri"/>
          <w:color w:val="000000"/>
          <w:sz w:val="21"/>
          <w:szCs w:val="21"/>
        </w:rPr>
      </w:pPr>
      <w:r w:rsidRPr="00531248">
        <w:rPr>
          <w:rFonts w:asciiTheme="minorHAnsi" w:hAnsiTheme="minorHAnsi" w:cs="Calibri"/>
          <w:color w:val="000000"/>
          <w:sz w:val="21"/>
          <w:szCs w:val="21"/>
        </w:rPr>
        <w:t>Shale gas typically occurs in rocks at depths greater than 1500 metres</w:t>
      </w:r>
      <w:r w:rsidRPr="00531248">
        <w:rPr>
          <w:rStyle w:val="A9"/>
          <w:rFonts w:asciiTheme="minorHAnsi" w:hAnsiTheme="minorHAnsi"/>
          <w:sz w:val="21"/>
          <w:szCs w:val="21"/>
          <w:vertAlign w:val="superscript"/>
        </w:rPr>
        <w:t>(2)</w:t>
      </w:r>
      <w:r w:rsidRPr="00531248">
        <w:rPr>
          <w:rStyle w:val="A9"/>
          <w:rFonts w:asciiTheme="minorHAnsi" w:hAnsiTheme="minorHAnsi"/>
          <w:sz w:val="21"/>
          <w:szCs w:val="21"/>
        </w:rPr>
        <w:t xml:space="preserve"> </w:t>
      </w:r>
      <w:r w:rsidRPr="00531248">
        <w:rPr>
          <w:rFonts w:asciiTheme="minorHAnsi" w:hAnsiTheme="minorHAnsi" w:cs="Calibri"/>
          <w:color w:val="000000"/>
          <w:sz w:val="21"/>
          <w:szCs w:val="21"/>
        </w:rPr>
        <w:t>(Figure 2). In shale, the gas can be either absorbed onto the surface of organic material or be stored as free gas in pore spaces in the rock. Shale gas reservoirs have very low porosity and permeability</w:t>
      </w:r>
      <w:r w:rsidR="00531248">
        <w:rPr>
          <w:rFonts w:asciiTheme="minorHAnsi" w:hAnsiTheme="minorHAnsi" w:cs="Calibri"/>
          <w:color w:val="000000"/>
          <w:sz w:val="21"/>
          <w:szCs w:val="21"/>
        </w:rPr>
        <w:t xml:space="preserve"> and the entire petroleum system is contained within the rock unit. Shale gas reservoirs</w:t>
      </w:r>
      <w:r w:rsidRPr="00531248">
        <w:rPr>
          <w:rFonts w:asciiTheme="minorHAnsi" w:hAnsiTheme="minorHAnsi" w:cs="Calibri"/>
          <w:color w:val="000000"/>
          <w:sz w:val="21"/>
          <w:szCs w:val="21"/>
        </w:rPr>
        <w:t xml:space="preserve"> require hydraulic fracturing to create pathways through which gas can flow into the well.</w:t>
      </w:r>
    </w:p>
    <w:p w14:paraId="59516860" w14:textId="77777777" w:rsidR="00124B8E" w:rsidRPr="00577574" w:rsidRDefault="00124B8E" w:rsidP="00124B8E">
      <w:pPr>
        <w:autoSpaceDE w:val="0"/>
        <w:autoSpaceDN w:val="0"/>
        <w:adjustRightInd w:val="0"/>
        <w:spacing w:before="100" w:after="160" w:line="211" w:lineRule="atLeast"/>
        <w:rPr>
          <w:rFonts w:ascii="Garamond" w:hAnsi="Garamond" w:cs="Garamond"/>
          <w:color w:val="000000"/>
          <w:sz w:val="23"/>
          <w:szCs w:val="23"/>
          <w:lang w:eastAsia="en-AU"/>
        </w:rPr>
      </w:pPr>
      <w:r w:rsidRPr="00577574">
        <w:rPr>
          <w:rFonts w:ascii="Garamond" w:hAnsi="Garamond" w:cs="Garamond"/>
          <w:b/>
          <w:bCs/>
          <w:color w:val="000000"/>
          <w:sz w:val="23"/>
          <w:szCs w:val="23"/>
          <w:lang w:eastAsia="en-AU"/>
        </w:rPr>
        <w:t>Tight Gas</w:t>
      </w:r>
    </w:p>
    <w:p w14:paraId="231E2144" w14:textId="1457F81F" w:rsidR="00124B8E" w:rsidRPr="00577574" w:rsidRDefault="00124B8E" w:rsidP="00124B8E">
      <w:pPr>
        <w:autoSpaceDE w:val="0"/>
        <w:autoSpaceDN w:val="0"/>
        <w:adjustRightInd w:val="0"/>
        <w:spacing w:after="160" w:line="211" w:lineRule="atLeast"/>
        <w:rPr>
          <w:rFonts w:ascii="Calibri" w:hAnsi="Calibri" w:cs="Calibri"/>
          <w:color w:val="000000"/>
          <w:sz w:val="21"/>
          <w:szCs w:val="21"/>
          <w:lang w:eastAsia="en-AU"/>
        </w:rPr>
      </w:pPr>
      <w:r w:rsidRPr="00577574">
        <w:rPr>
          <w:rFonts w:ascii="Calibri" w:hAnsi="Calibri" w:cs="Calibri"/>
          <w:color w:val="000000"/>
          <w:sz w:val="21"/>
          <w:szCs w:val="21"/>
          <w:lang w:eastAsia="en-AU"/>
        </w:rPr>
        <w:t>Gas that occurs in sandstone and limestone reservoirs which have low permeability and lo</w:t>
      </w:r>
      <w:r w:rsidR="00F52FAE">
        <w:rPr>
          <w:rFonts w:ascii="Calibri" w:hAnsi="Calibri" w:cs="Calibri"/>
          <w:color w:val="000000"/>
          <w:sz w:val="21"/>
          <w:szCs w:val="21"/>
          <w:lang w:eastAsia="en-AU"/>
        </w:rPr>
        <w:t>w porosity is called ‘tight gas’</w:t>
      </w:r>
      <w:r w:rsidRPr="00577574">
        <w:rPr>
          <w:rFonts w:ascii="Calibri" w:hAnsi="Calibri" w:cs="Calibri"/>
          <w:color w:val="000000"/>
          <w:sz w:val="21"/>
          <w:szCs w:val="21"/>
          <w:lang w:eastAsia="en-AU"/>
        </w:rPr>
        <w:t>. The source of the gas may or may not be from the same rock, i.e. the gas can migrate over relatively short distances into adjacent rock units. Like shale gas, tight gas reservoirs typically occur deeper in the subsurface than CSG (Figure 2). Tight gas reservoirs require some form of stimulation to encourage gas flow. Typically hydraulic fracturing is used.</w:t>
      </w:r>
    </w:p>
    <w:p w14:paraId="07F3E88F" w14:textId="77777777" w:rsidR="00906997" w:rsidRPr="00343A3C" w:rsidRDefault="00906997" w:rsidP="00906997">
      <w:pPr>
        <w:autoSpaceDE w:val="0"/>
        <w:autoSpaceDN w:val="0"/>
        <w:adjustRightInd w:val="0"/>
        <w:spacing w:after="160" w:line="211" w:lineRule="atLeast"/>
        <w:rPr>
          <w:rFonts w:ascii="Garamond" w:hAnsi="Garamond" w:cs="Calibri"/>
          <w:b/>
          <w:sz w:val="32"/>
          <w:szCs w:val="32"/>
          <w:lang w:eastAsia="en-AU"/>
        </w:rPr>
      </w:pPr>
      <w:r w:rsidRPr="00343A3C">
        <w:rPr>
          <w:rFonts w:ascii="Garamond" w:hAnsi="Garamond" w:cs="Calibri"/>
          <w:b/>
          <w:sz w:val="32"/>
          <w:szCs w:val="32"/>
          <w:lang w:eastAsia="en-AU"/>
        </w:rPr>
        <w:lastRenderedPageBreak/>
        <w:t>Conventional Vs. Unconventional Reservoirs</w:t>
      </w:r>
    </w:p>
    <w:p w14:paraId="332D66CE" w14:textId="7FC3EAEF" w:rsidR="00906997" w:rsidRPr="00577574" w:rsidRDefault="00906997" w:rsidP="00906997">
      <w:pPr>
        <w:autoSpaceDE w:val="0"/>
        <w:autoSpaceDN w:val="0"/>
        <w:adjustRightInd w:val="0"/>
        <w:spacing w:after="160" w:line="211" w:lineRule="atLeast"/>
        <w:rPr>
          <w:rFonts w:ascii="Calibri" w:hAnsi="Calibri" w:cs="Calibri"/>
          <w:sz w:val="21"/>
          <w:szCs w:val="21"/>
          <w:lang w:eastAsia="en-AU"/>
        </w:rPr>
      </w:pPr>
      <w:r w:rsidRPr="00577574">
        <w:rPr>
          <w:rFonts w:ascii="Calibri" w:hAnsi="Calibri" w:cs="Calibri"/>
          <w:sz w:val="21"/>
          <w:szCs w:val="21"/>
          <w:lang w:eastAsia="en-AU"/>
        </w:rPr>
        <w:t>Unlike conventional gas</w:t>
      </w:r>
      <w:r>
        <w:rPr>
          <w:rFonts w:ascii="Calibri" w:hAnsi="Calibri" w:cs="Calibri"/>
          <w:sz w:val="21"/>
          <w:szCs w:val="21"/>
          <w:lang w:eastAsia="en-AU"/>
        </w:rPr>
        <w:t xml:space="preserve"> accumulations</w:t>
      </w:r>
      <w:r w:rsidRPr="00577574">
        <w:rPr>
          <w:rFonts w:ascii="Calibri" w:hAnsi="Calibri" w:cs="Calibri"/>
          <w:sz w:val="21"/>
          <w:szCs w:val="21"/>
          <w:lang w:eastAsia="en-AU"/>
        </w:rPr>
        <w:t>, w</w:t>
      </w:r>
      <w:r w:rsidR="00FA4E0A">
        <w:rPr>
          <w:rFonts w:ascii="Calibri" w:hAnsi="Calibri" w:cs="Calibri"/>
          <w:sz w:val="21"/>
          <w:szCs w:val="21"/>
          <w:lang w:eastAsia="en-AU"/>
        </w:rPr>
        <w:t xml:space="preserve">here the gas moves relatively easily through the rocks and is </w:t>
      </w:r>
      <w:r w:rsidRPr="00577574">
        <w:rPr>
          <w:rFonts w:ascii="Calibri" w:hAnsi="Calibri" w:cs="Calibri"/>
          <w:sz w:val="21"/>
          <w:szCs w:val="21"/>
          <w:lang w:eastAsia="en-AU"/>
        </w:rPr>
        <w:t>concentrated in localised, discrete traps</w:t>
      </w:r>
      <w:r>
        <w:rPr>
          <w:rFonts w:ascii="Calibri" w:hAnsi="Calibri" w:cs="Calibri"/>
          <w:sz w:val="21"/>
          <w:szCs w:val="21"/>
          <w:lang w:eastAsia="en-AU"/>
        </w:rPr>
        <w:t>;</w:t>
      </w:r>
      <w:r w:rsidRPr="00577574">
        <w:rPr>
          <w:rFonts w:ascii="Calibri" w:hAnsi="Calibri" w:cs="Calibri"/>
          <w:sz w:val="21"/>
          <w:szCs w:val="21"/>
          <w:lang w:eastAsia="en-AU"/>
        </w:rPr>
        <w:t xml:space="preserve"> unconventional gas</w:t>
      </w:r>
      <w:r>
        <w:rPr>
          <w:rFonts w:ascii="Calibri" w:hAnsi="Calibri" w:cs="Calibri"/>
          <w:sz w:val="21"/>
          <w:szCs w:val="21"/>
          <w:lang w:eastAsia="en-AU"/>
        </w:rPr>
        <w:t xml:space="preserve"> accumulations are </w:t>
      </w:r>
      <w:r w:rsidRPr="00577574">
        <w:rPr>
          <w:rFonts w:ascii="Calibri" w:hAnsi="Calibri" w:cs="Calibri"/>
          <w:sz w:val="21"/>
          <w:szCs w:val="21"/>
          <w:lang w:eastAsia="en-AU"/>
        </w:rPr>
        <w:t xml:space="preserve">regional and the gas is widely dispersed throughout </w:t>
      </w:r>
      <w:r w:rsidR="00FA4E0A">
        <w:rPr>
          <w:rFonts w:ascii="Calibri" w:hAnsi="Calibri" w:cs="Calibri"/>
          <w:sz w:val="21"/>
          <w:szCs w:val="21"/>
          <w:lang w:eastAsia="en-AU"/>
        </w:rPr>
        <w:t>a low porosity, low permeability reservoir</w:t>
      </w:r>
      <w:r w:rsidRPr="00577574">
        <w:rPr>
          <w:rFonts w:ascii="Calibri" w:hAnsi="Calibri" w:cs="Calibri"/>
          <w:sz w:val="21"/>
          <w:szCs w:val="21"/>
          <w:lang w:eastAsia="en-AU"/>
        </w:rPr>
        <w:t xml:space="preserve">. </w:t>
      </w:r>
    </w:p>
    <w:p w14:paraId="1E4A08E1" w14:textId="3992E616" w:rsidR="001B7A07" w:rsidRDefault="00906997" w:rsidP="00906997">
      <w:pPr>
        <w:autoSpaceDE w:val="0"/>
        <w:autoSpaceDN w:val="0"/>
        <w:adjustRightInd w:val="0"/>
        <w:spacing w:after="160" w:line="211" w:lineRule="atLeast"/>
        <w:rPr>
          <w:rFonts w:ascii="Calibri" w:hAnsi="Calibri" w:cs="Calibri"/>
          <w:sz w:val="21"/>
          <w:szCs w:val="21"/>
          <w:lang w:eastAsia="en-AU"/>
        </w:rPr>
      </w:pPr>
      <w:r w:rsidRPr="00577574">
        <w:rPr>
          <w:rFonts w:ascii="Calibri" w:hAnsi="Calibri" w:cs="Calibri"/>
          <w:sz w:val="21"/>
          <w:szCs w:val="21"/>
          <w:lang w:eastAsia="en-AU"/>
        </w:rPr>
        <w:t>Commercial extraction of unconventional gas is fundamentally technology driven.</w:t>
      </w:r>
      <w:r w:rsidR="00FA4E0A">
        <w:rPr>
          <w:rFonts w:ascii="Calibri" w:hAnsi="Calibri" w:cs="Calibri"/>
          <w:sz w:val="21"/>
          <w:szCs w:val="21"/>
          <w:lang w:eastAsia="en-AU"/>
        </w:rPr>
        <w:t xml:space="preserve"> The</w:t>
      </w:r>
      <w:r w:rsidR="000230D8">
        <w:rPr>
          <w:rFonts w:ascii="Calibri" w:hAnsi="Calibri" w:cs="Calibri"/>
          <w:sz w:val="21"/>
          <w:szCs w:val="21"/>
          <w:lang w:eastAsia="en-AU"/>
        </w:rPr>
        <w:t>se</w:t>
      </w:r>
      <w:r w:rsidR="00FA4E0A">
        <w:rPr>
          <w:rFonts w:ascii="Calibri" w:hAnsi="Calibri" w:cs="Calibri"/>
          <w:sz w:val="21"/>
          <w:szCs w:val="21"/>
          <w:lang w:eastAsia="en-AU"/>
        </w:rPr>
        <w:t xml:space="preserve"> </w:t>
      </w:r>
      <w:r w:rsidRPr="00577574">
        <w:rPr>
          <w:rFonts w:ascii="Calibri" w:hAnsi="Calibri" w:cs="Calibri"/>
          <w:sz w:val="21"/>
          <w:szCs w:val="21"/>
          <w:lang w:eastAsia="en-AU"/>
        </w:rPr>
        <w:t>regi</w:t>
      </w:r>
      <w:r>
        <w:rPr>
          <w:rFonts w:ascii="Calibri" w:hAnsi="Calibri" w:cs="Calibri"/>
          <w:sz w:val="21"/>
          <w:szCs w:val="21"/>
          <w:lang w:eastAsia="en-AU"/>
        </w:rPr>
        <w:t xml:space="preserve">onal, </w:t>
      </w:r>
      <w:r w:rsidRPr="00577574">
        <w:rPr>
          <w:rFonts w:ascii="Calibri" w:hAnsi="Calibri" w:cs="Calibri"/>
          <w:sz w:val="21"/>
          <w:szCs w:val="21"/>
          <w:lang w:eastAsia="en-AU"/>
        </w:rPr>
        <w:t xml:space="preserve">low </w:t>
      </w:r>
      <w:r w:rsidR="00305FDC">
        <w:rPr>
          <w:rFonts w:ascii="Calibri" w:hAnsi="Calibri" w:cs="Calibri"/>
          <w:sz w:val="21"/>
          <w:szCs w:val="21"/>
          <w:lang w:eastAsia="en-AU"/>
        </w:rPr>
        <w:t xml:space="preserve">porosity and </w:t>
      </w:r>
      <w:r w:rsidRPr="00577574">
        <w:rPr>
          <w:rFonts w:ascii="Calibri" w:hAnsi="Calibri" w:cs="Calibri"/>
          <w:sz w:val="21"/>
          <w:szCs w:val="21"/>
          <w:lang w:eastAsia="en-AU"/>
        </w:rPr>
        <w:t xml:space="preserve">permeability </w:t>
      </w:r>
      <w:r w:rsidR="00FA4E0A">
        <w:rPr>
          <w:rFonts w:ascii="Calibri" w:hAnsi="Calibri" w:cs="Calibri"/>
          <w:sz w:val="21"/>
          <w:szCs w:val="21"/>
          <w:lang w:eastAsia="en-AU"/>
        </w:rPr>
        <w:t>accumulations</w:t>
      </w:r>
      <w:r w:rsidRPr="00577574">
        <w:rPr>
          <w:rFonts w:ascii="Calibri" w:hAnsi="Calibri" w:cs="Calibri"/>
          <w:sz w:val="21"/>
          <w:szCs w:val="21"/>
          <w:lang w:eastAsia="en-AU"/>
        </w:rPr>
        <w:t xml:space="preserve"> require: (1) significantly more extraction wells than for a conventional accumulation; (2) the application of specialised drilling methods (e.g. horizontal drilling); and (3) usually, some form of stimulation to enable the gas to flow. </w:t>
      </w:r>
      <w:r>
        <w:rPr>
          <w:rFonts w:ascii="Calibri" w:hAnsi="Calibri" w:cs="Calibri"/>
          <w:sz w:val="21"/>
          <w:szCs w:val="21"/>
          <w:lang w:eastAsia="en-AU"/>
        </w:rPr>
        <w:t>P</w:t>
      </w:r>
      <w:r w:rsidRPr="00577574">
        <w:rPr>
          <w:rFonts w:ascii="Calibri" w:hAnsi="Calibri" w:cs="Calibri"/>
          <w:sz w:val="21"/>
          <w:szCs w:val="21"/>
          <w:lang w:eastAsia="en-AU"/>
        </w:rPr>
        <w:t>roduction from unconventional well</w:t>
      </w:r>
      <w:r>
        <w:rPr>
          <w:rFonts w:ascii="Calibri" w:hAnsi="Calibri" w:cs="Calibri"/>
          <w:sz w:val="21"/>
          <w:szCs w:val="21"/>
          <w:lang w:eastAsia="en-AU"/>
        </w:rPr>
        <w:t>s</w:t>
      </w:r>
      <w:r w:rsidRPr="00577574">
        <w:rPr>
          <w:rFonts w:ascii="Calibri" w:hAnsi="Calibri" w:cs="Calibri"/>
          <w:sz w:val="21"/>
          <w:szCs w:val="21"/>
          <w:lang w:eastAsia="en-AU"/>
        </w:rPr>
        <w:t xml:space="preserve"> can </w:t>
      </w:r>
      <w:r>
        <w:rPr>
          <w:rFonts w:ascii="Calibri" w:hAnsi="Calibri" w:cs="Calibri"/>
          <w:sz w:val="21"/>
          <w:szCs w:val="21"/>
          <w:lang w:eastAsia="en-AU"/>
        </w:rPr>
        <w:t xml:space="preserve">also </w:t>
      </w:r>
      <w:r w:rsidRPr="00577574">
        <w:rPr>
          <w:rFonts w:ascii="Calibri" w:hAnsi="Calibri" w:cs="Calibri"/>
          <w:sz w:val="21"/>
          <w:szCs w:val="21"/>
          <w:lang w:eastAsia="en-AU"/>
        </w:rPr>
        <w:t xml:space="preserve">be unpredictable and </w:t>
      </w:r>
      <w:r>
        <w:rPr>
          <w:rFonts w:ascii="Calibri" w:hAnsi="Calibri" w:cs="Calibri"/>
          <w:sz w:val="21"/>
          <w:szCs w:val="21"/>
          <w:lang w:eastAsia="en-AU"/>
        </w:rPr>
        <w:t xml:space="preserve">is </w:t>
      </w:r>
      <w:r w:rsidRPr="00577574">
        <w:rPr>
          <w:rFonts w:ascii="Calibri" w:hAnsi="Calibri" w:cs="Calibri"/>
          <w:sz w:val="21"/>
          <w:szCs w:val="21"/>
          <w:lang w:eastAsia="en-AU"/>
        </w:rPr>
        <w:t xml:space="preserve">generally several orders of magnitude less than that for a conventional well. </w:t>
      </w:r>
    </w:p>
    <w:p w14:paraId="5DD57BC8" w14:textId="49EB10DC" w:rsidR="00906997" w:rsidRPr="00AD3A9C" w:rsidRDefault="00906997" w:rsidP="00906997">
      <w:pPr>
        <w:autoSpaceDE w:val="0"/>
        <w:autoSpaceDN w:val="0"/>
        <w:adjustRightInd w:val="0"/>
        <w:spacing w:after="160" w:line="211" w:lineRule="atLeast"/>
        <w:rPr>
          <w:rFonts w:ascii="Calibri" w:hAnsi="Calibri" w:cs="Calibri"/>
          <w:sz w:val="21"/>
          <w:szCs w:val="21"/>
          <w:lang w:eastAsia="en-AU"/>
        </w:rPr>
      </w:pPr>
      <w:r>
        <w:rPr>
          <w:rFonts w:ascii="Calibri" w:hAnsi="Calibri" w:cs="Calibri"/>
          <w:sz w:val="21"/>
          <w:szCs w:val="21"/>
          <w:lang w:eastAsia="en-AU"/>
        </w:rPr>
        <w:t xml:space="preserve">Therefore, </w:t>
      </w:r>
      <w:r w:rsidR="001B7A07">
        <w:rPr>
          <w:rFonts w:ascii="Calibri" w:hAnsi="Calibri" w:cs="Calibri"/>
          <w:sz w:val="21"/>
          <w:szCs w:val="21"/>
          <w:lang w:eastAsia="en-AU"/>
        </w:rPr>
        <w:t>unpredictable and low production rate</w:t>
      </w:r>
      <w:r w:rsidR="00305FDC">
        <w:rPr>
          <w:rFonts w:ascii="Calibri" w:hAnsi="Calibri" w:cs="Calibri"/>
          <w:sz w:val="21"/>
          <w:szCs w:val="21"/>
          <w:lang w:eastAsia="en-AU"/>
        </w:rPr>
        <w:t>s</w:t>
      </w:r>
      <w:r w:rsidR="00531248">
        <w:rPr>
          <w:rFonts w:ascii="Calibri" w:hAnsi="Calibri" w:cs="Calibri"/>
          <w:sz w:val="21"/>
          <w:szCs w:val="21"/>
          <w:lang w:eastAsia="en-AU"/>
        </w:rPr>
        <w:t xml:space="preserve"> coupled with gas that is </w:t>
      </w:r>
      <w:r>
        <w:rPr>
          <w:rFonts w:ascii="Calibri" w:hAnsi="Calibri" w:cs="Calibri"/>
          <w:sz w:val="21"/>
          <w:szCs w:val="21"/>
          <w:lang w:eastAsia="en-AU"/>
        </w:rPr>
        <w:t>widely dispersed</w:t>
      </w:r>
      <w:r w:rsidR="001B7A07">
        <w:rPr>
          <w:rFonts w:ascii="Calibri" w:hAnsi="Calibri" w:cs="Calibri"/>
          <w:sz w:val="21"/>
          <w:szCs w:val="21"/>
          <w:lang w:eastAsia="en-AU"/>
        </w:rPr>
        <w:t xml:space="preserve"> </w:t>
      </w:r>
      <w:r w:rsidR="00531248">
        <w:rPr>
          <w:rFonts w:ascii="Calibri" w:hAnsi="Calibri" w:cs="Calibri"/>
          <w:sz w:val="21"/>
          <w:szCs w:val="21"/>
          <w:lang w:eastAsia="en-AU"/>
        </w:rPr>
        <w:t xml:space="preserve">gas in </w:t>
      </w:r>
      <w:r w:rsidRPr="00577574">
        <w:rPr>
          <w:rFonts w:ascii="Calibri" w:hAnsi="Calibri" w:cs="Calibri"/>
          <w:sz w:val="21"/>
          <w:szCs w:val="21"/>
          <w:lang w:eastAsia="en-AU"/>
        </w:rPr>
        <w:t>low porosity and permeability</w:t>
      </w:r>
      <w:r w:rsidR="001B7A07">
        <w:rPr>
          <w:rFonts w:ascii="Calibri" w:hAnsi="Calibri" w:cs="Calibri"/>
          <w:sz w:val="21"/>
          <w:szCs w:val="21"/>
          <w:lang w:eastAsia="en-AU"/>
        </w:rPr>
        <w:t xml:space="preserve"> reservoir</w:t>
      </w:r>
      <w:r w:rsidR="00305FDC">
        <w:rPr>
          <w:rFonts w:ascii="Calibri" w:hAnsi="Calibri" w:cs="Calibri"/>
          <w:sz w:val="21"/>
          <w:szCs w:val="21"/>
          <w:lang w:eastAsia="en-AU"/>
        </w:rPr>
        <w:t>s</w:t>
      </w:r>
      <w:r w:rsidR="000230D8">
        <w:rPr>
          <w:rFonts w:ascii="Calibri" w:hAnsi="Calibri" w:cs="Calibri"/>
          <w:sz w:val="21"/>
          <w:szCs w:val="21"/>
          <w:lang w:eastAsia="en-AU"/>
        </w:rPr>
        <w:t xml:space="preserve"> mean that </w:t>
      </w:r>
      <w:r w:rsidRPr="00577574">
        <w:rPr>
          <w:rFonts w:ascii="Calibri" w:hAnsi="Calibri" w:cs="Calibri"/>
          <w:sz w:val="21"/>
          <w:szCs w:val="21"/>
          <w:lang w:eastAsia="en-AU"/>
        </w:rPr>
        <w:t xml:space="preserve">unconventional gas production is relatively costly. </w:t>
      </w:r>
      <w:r w:rsidR="00305FDC">
        <w:rPr>
          <w:rFonts w:ascii="Calibri" w:hAnsi="Calibri" w:cs="Calibri"/>
          <w:sz w:val="21"/>
          <w:szCs w:val="21"/>
          <w:lang w:eastAsia="en-AU"/>
        </w:rPr>
        <w:t>T</w:t>
      </w:r>
      <w:r w:rsidRPr="00577574">
        <w:rPr>
          <w:rFonts w:ascii="Calibri" w:hAnsi="Calibri" w:cs="Calibri"/>
          <w:sz w:val="21"/>
          <w:szCs w:val="21"/>
          <w:lang w:eastAsia="en-AU"/>
        </w:rPr>
        <w:t>o be commercial, unconventional gas fields need to be large</w:t>
      </w:r>
      <w:r>
        <w:rPr>
          <w:rFonts w:ascii="Calibri" w:hAnsi="Calibri" w:cs="Calibri"/>
          <w:sz w:val="21"/>
          <w:szCs w:val="21"/>
          <w:lang w:eastAsia="en-AU"/>
        </w:rPr>
        <w:t xml:space="preserve"> and are </w:t>
      </w:r>
      <w:r w:rsidRPr="00AD3A9C">
        <w:rPr>
          <w:rFonts w:ascii="Calibri" w:hAnsi="Calibri" w:cs="Calibri"/>
          <w:sz w:val="21"/>
          <w:szCs w:val="21"/>
          <w:lang w:eastAsia="en-AU"/>
        </w:rPr>
        <w:t>many hundreds of square kilometres larger than conventional field</w:t>
      </w:r>
      <w:r w:rsidR="00305FDC" w:rsidRPr="00AD3A9C">
        <w:rPr>
          <w:rFonts w:ascii="Calibri" w:hAnsi="Calibri" w:cs="Calibri"/>
          <w:sz w:val="21"/>
          <w:szCs w:val="21"/>
          <w:lang w:eastAsia="en-AU"/>
        </w:rPr>
        <w:t>s</w:t>
      </w:r>
      <w:r w:rsidR="000230D8" w:rsidRPr="00AD3A9C">
        <w:rPr>
          <w:rFonts w:ascii="Calibri" w:hAnsi="Calibri" w:cs="Calibri"/>
          <w:sz w:val="21"/>
          <w:szCs w:val="21"/>
          <w:lang w:eastAsia="en-AU"/>
        </w:rPr>
        <w:t xml:space="preserve"> (Figure 2)</w:t>
      </w:r>
      <w:r w:rsidRPr="00AD3A9C">
        <w:rPr>
          <w:rFonts w:ascii="Calibri" w:hAnsi="Calibri" w:cs="Calibri"/>
          <w:sz w:val="21"/>
          <w:szCs w:val="21"/>
          <w:lang w:eastAsia="en-AU"/>
        </w:rPr>
        <w:t xml:space="preserve">. A comparison of the complexity of unconventional versus conventional reservoirs is summarised by the resources pyramid presented in Figure </w:t>
      </w:r>
      <w:r w:rsidR="000230D8" w:rsidRPr="00AD3A9C">
        <w:rPr>
          <w:rFonts w:ascii="Calibri" w:hAnsi="Calibri" w:cs="Calibri"/>
          <w:sz w:val="21"/>
          <w:szCs w:val="21"/>
          <w:lang w:eastAsia="en-AU"/>
        </w:rPr>
        <w:t>4</w:t>
      </w:r>
      <w:r w:rsidRPr="00AD3A9C">
        <w:rPr>
          <w:rFonts w:ascii="Calibri" w:hAnsi="Calibri" w:cs="Calibri"/>
          <w:sz w:val="21"/>
          <w:szCs w:val="21"/>
          <w:lang w:eastAsia="en-AU"/>
        </w:rPr>
        <w:t>.</w:t>
      </w:r>
    </w:p>
    <w:p w14:paraId="61FA8983" w14:textId="77777777" w:rsidR="00906997" w:rsidRDefault="00906997" w:rsidP="00906997">
      <w:pPr>
        <w:autoSpaceDE w:val="0"/>
        <w:autoSpaceDN w:val="0"/>
        <w:adjustRightInd w:val="0"/>
        <w:spacing w:after="160" w:line="211" w:lineRule="atLeast"/>
        <w:rPr>
          <w:rFonts w:ascii="Calibri" w:hAnsi="Calibri" w:cs="Calibri"/>
          <w:sz w:val="21"/>
          <w:szCs w:val="21"/>
          <w:lang w:eastAsia="en-AU"/>
        </w:rPr>
      </w:pPr>
      <w:r w:rsidRPr="00577574">
        <w:rPr>
          <w:rFonts w:ascii="Calibri" w:hAnsi="Calibri" w:cs="Calibri"/>
          <w:noProof/>
          <w:sz w:val="21"/>
          <w:szCs w:val="21"/>
          <w:lang w:eastAsia="en-AU"/>
        </w:rPr>
        <w:drawing>
          <wp:inline distT="0" distB="0" distL="0" distR="0" wp14:anchorId="654E3EE3" wp14:editId="596C1CFE">
            <wp:extent cx="4038600" cy="3368784"/>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55467" cy="3382853"/>
                    </a:xfrm>
                    <a:prstGeom prst="rect">
                      <a:avLst/>
                    </a:prstGeom>
                    <a:noFill/>
                    <a:ln>
                      <a:noFill/>
                    </a:ln>
                  </pic:spPr>
                </pic:pic>
              </a:graphicData>
            </a:graphic>
          </wp:inline>
        </w:drawing>
      </w:r>
    </w:p>
    <w:p w14:paraId="637A48F8" w14:textId="1D1C93CF" w:rsidR="00906997" w:rsidRPr="00577574" w:rsidRDefault="00906997" w:rsidP="00906997">
      <w:pPr>
        <w:autoSpaceDE w:val="0"/>
        <w:autoSpaceDN w:val="0"/>
        <w:adjustRightInd w:val="0"/>
        <w:spacing w:after="160" w:line="211" w:lineRule="atLeast"/>
        <w:rPr>
          <w:rFonts w:asciiTheme="minorHAnsi" w:hAnsiTheme="minorHAnsi" w:cs="Calibri"/>
          <w:sz w:val="21"/>
          <w:szCs w:val="21"/>
          <w:lang w:eastAsia="en-AU"/>
        </w:rPr>
      </w:pPr>
      <w:r w:rsidRPr="001D7F95">
        <w:rPr>
          <w:rFonts w:asciiTheme="minorHAnsi" w:hAnsiTheme="minorHAnsi" w:cs="Calibri"/>
          <w:b/>
          <w:bCs/>
          <w:sz w:val="18"/>
          <w:szCs w:val="18"/>
        </w:rPr>
        <w:t xml:space="preserve">Figure </w:t>
      </w:r>
      <w:r w:rsidR="000230D8" w:rsidRPr="001D7F95">
        <w:rPr>
          <w:rFonts w:asciiTheme="minorHAnsi" w:hAnsiTheme="minorHAnsi" w:cs="Calibri"/>
          <w:b/>
          <w:bCs/>
          <w:sz w:val="18"/>
          <w:szCs w:val="18"/>
        </w:rPr>
        <w:t>4</w:t>
      </w:r>
      <w:r w:rsidRPr="001D7F95">
        <w:rPr>
          <w:rFonts w:asciiTheme="minorHAnsi" w:hAnsiTheme="minorHAnsi" w:cs="Calibri"/>
          <w:b/>
          <w:bCs/>
          <w:sz w:val="18"/>
          <w:szCs w:val="18"/>
        </w:rPr>
        <w:t xml:space="preserve">: The petroleum </w:t>
      </w:r>
      <w:r w:rsidRPr="000230D8">
        <w:rPr>
          <w:rFonts w:asciiTheme="minorHAnsi" w:hAnsiTheme="minorHAnsi" w:cs="Calibri"/>
          <w:b/>
          <w:bCs/>
          <w:color w:val="000000"/>
          <w:sz w:val="18"/>
          <w:szCs w:val="18"/>
        </w:rPr>
        <w:t>resources pyramid. © Commonwealth of Australia (Geoscience Australia) 2014, adapted from McCabe 1998 and Branan 2008.</w:t>
      </w:r>
    </w:p>
    <w:p w14:paraId="57D07368" w14:textId="77777777" w:rsidR="00577574" w:rsidRPr="00577574" w:rsidRDefault="00577574" w:rsidP="00577574">
      <w:pPr>
        <w:autoSpaceDE w:val="0"/>
        <w:autoSpaceDN w:val="0"/>
        <w:adjustRightInd w:val="0"/>
        <w:spacing w:before="160" w:after="100" w:line="321" w:lineRule="atLeast"/>
        <w:rPr>
          <w:rFonts w:ascii="Garamond" w:hAnsi="Garamond" w:cs="Garamond"/>
          <w:sz w:val="32"/>
          <w:szCs w:val="32"/>
          <w:lang w:eastAsia="en-AU"/>
        </w:rPr>
      </w:pPr>
      <w:r w:rsidRPr="00577574">
        <w:rPr>
          <w:rFonts w:ascii="Garamond" w:hAnsi="Garamond" w:cs="Garamond"/>
          <w:b/>
          <w:bCs/>
          <w:sz w:val="32"/>
          <w:szCs w:val="32"/>
          <w:lang w:eastAsia="en-AU"/>
        </w:rPr>
        <w:t>Potential risks to water resources</w:t>
      </w:r>
    </w:p>
    <w:p w14:paraId="72E8465A" w14:textId="550C4020" w:rsidR="00577574" w:rsidRDefault="00577574" w:rsidP="00577574">
      <w:pPr>
        <w:autoSpaceDE w:val="0"/>
        <w:autoSpaceDN w:val="0"/>
        <w:adjustRightInd w:val="0"/>
        <w:spacing w:after="160" w:line="211" w:lineRule="atLeast"/>
        <w:rPr>
          <w:rFonts w:ascii="Calibri" w:hAnsi="Calibri" w:cs="Calibri"/>
          <w:sz w:val="21"/>
          <w:szCs w:val="21"/>
          <w:lang w:eastAsia="en-AU"/>
        </w:rPr>
      </w:pPr>
      <w:r w:rsidRPr="00577574">
        <w:rPr>
          <w:rFonts w:ascii="Calibri" w:hAnsi="Calibri" w:cs="Calibri"/>
          <w:sz w:val="21"/>
          <w:szCs w:val="21"/>
          <w:lang w:eastAsia="en-AU"/>
        </w:rPr>
        <w:t>Unconventional gas exploration and production activities could impact water resources (</w:t>
      </w:r>
      <w:r w:rsidRPr="00DA0079">
        <w:rPr>
          <w:rFonts w:ascii="Calibri" w:hAnsi="Calibri" w:cs="Calibri"/>
          <w:sz w:val="21"/>
          <w:szCs w:val="21"/>
          <w:lang w:eastAsia="en-AU"/>
        </w:rPr>
        <w:t xml:space="preserve">Figure </w:t>
      </w:r>
      <w:r w:rsidR="00305FDC" w:rsidRPr="00DA0079">
        <w:rPr>
          <w:rFonts w:ascii="Calibri" w:hAnsi="Calibri" w:cs="Calibri"/>
          <w:sz w:val="21"/>
          <w:szCs w:val="21"/>
          <w:lang w:eastAsia="en-AU"/>
        </w:rPr>
        <w:t>5</w:t>
      </w:r>
      <w:r w:rsidRPr="00DA0079">
        <w:rPr>
          <w:rFonts w:ascii="Calibri" w:hAnsi="Calibri" w:cs="Calibri"/>
          <w:sz w:val="21"/>
          <w:szCs w:val="21"/>
          <w:lang w:eastAsia="en-AU"/>
        </w:rPr>
        <w:t xml:space="preserve">). </w:t>
      </w:r>
      <w:r w:rsidRPr="00577574">
        <w:rPr>
          <w:rFonts w:ascii="Calibri" w:hAnsi="Calibri" w:cs="Calibri"/>
          <w:sz w:val="21"/>
          <w:szCs w:val="21"/>
          <w:lang w:eastAsia="en-AU"/>
        </w:rPr>
        <w:t xml:space="preserve">Most risks are associated with water extraction and hydraulic fracturing processes and can be categorised as follows: </w:t>
      </w:r>
      <w:r w:rsidR="00AA0C34" w:rsidRPr="00AA0C34">
        <w:rPr>
          <w:rFonts w:ascii="Calibri" w:hAnsi="Calibri" w:cs="Calibri"/>
          <w:sz w:val="21"/>
          <w:szCs w:val="21"/>
          <w:lang w:eastAsia="en-AU"/>
        </w:rPr>
        <w:t>materials handling</w:t>
      </w:r>
      <w:r w:rsidR="00AA0C34">
        <w:rPr>
          <w:rFonts w:ascii="Calibri" w:hAnsi="Calibri" w:cs="Calibri"/>
          <w:sz w:val="21"/>
          <w:szCs w:val="21"/>
          <w:lang w:eastAsia="en-AU"/>
        </w:rPr>
        <w:t xml:space="preserve">, </w:t>
      </w:r>
      <w:r w:rsidR="00AA0C34" w:rsidRPr="00AA0C34">
        <w:rPr>
          <w:rFonts w:ascii="Calibri" w:hAnsi="Calibri" w:cs="Calibri"/>
          <w:sz w:val="21"/>
          <w:szCs w:val="21"/>
          <w:lang w:eastAsia="en-AU"/>
        </w:rPr>
        <w:t>water-use conflicts</w:t>
      </w:r>
      <w:r w:rsidR="00AA0C34">
        <w:rPr>
          <w:rFonts w:ascii="Calibri" w:hAnsi="Calibri" w:cs="Calibri"/>
          <w:sz w:val="21"/>
          <w:szCs w:val="21"/>
          <w:lang w:eastAsia="en-AU"/>
        </w:rPr>
        <w:t xml:space="preserve">, </w:t>
      </w:r>
      <w:r w:rsidRPr="00577574">
        <w:rPr>
          <w:rFonts w:ascii="Calibri" w:hAnsi="Calibri" w:cs="Calibri"/>
          <w:sz w:val="21"/>
          <w:szCs w:val="21"/>
          <w:lang w:eastAsia="en-AU"/>
        </w:rPr>
        <w:t>well integrity</w:t>
      </w:r>
      <w:r w:rsidR="00607ED8">
        <w:rPr>
          <w:rFonts w:ascii="Calibri" w:hAnsi="Calibri" w:cs="Calibri"/>
          <w:sz w:val="21"/>
          <w:szCs w:val="21"/>
          <w:lang w:eastAsia="en-AU"/>
        </w:rPr>
        <w:t xml:space="preserve"> </w:t>
      </w:r>
      <w:r w:rsidRPr="00577574">
        <w:rPr>
          <w:rFonts w:ascii="Calibri" w:hAnsi="Calibri" w:cs="Calibri"/>
          <w:sz w:val="21"/>
          <w:szCs w:val="21"/>
          <w:lang w:eastAsia="en-AU"/>
        </w:rPr>
        <w:t>and</w:t>
      </w:r>
      <w:r w:rsidR="00AA0C34" w:rsidRPr="00AA0C34">
        <w:rPr>
          <w:rFonts w:ascii="Calibri" w:hAnsi="Calibri" w:cs="Calibri"/>
          <w:sz w:val="21"/>
          <w:szCs w:val="21"/>
          <w:lang w:eastAsia="en-AU"/>
        </w:rPr>
        <w:t xml:space="preserve"> </w:t>
      </w:r>
      <w:r w:rsidR="00AA0C34" w:rsidRPr="00577574">
        <w:rPr>
          <w:rFonts w:ascii="Calibri" w:hAnsi="Calibri" w:cs="Calibri"/>
          <w:sz w:val="21"/>
          <w:szCs w:val="21"/>
          <w:lang w:eastAsia="en-AU"/>
        </w:rPr>
        <w:t>connectivity</w:t>
      </w:r>
      <w:r w:rsidRPr="00577574">
        <w:rPr>
          <w:rFonts w:ascii="Calibri" w:hAnsi="Calibri" w:cs="Calibri"/>
          <w:sz w:val="21"/>
          <w:szCs w:val="21"/>
          <w:lang w:eastAsia="en-AU"/>
        </w:rPr>
        <w:t xml:space="preserve">. </w:t>
      </w:r>
    </w:p>
    <w:p w14:paraId="53DFE846" w14:textId="441CC76D" w:rsidR="00577574" w:rsidRPr="00DA0079" w:rsidRDefault="00577574" w:rsidP="00577574">
      <w:pPr>
        <w:autoSpaceDE w:val="0"/>
        <w:autoSpaceDN w:val="0"/>
        <w:adjustRightInd w:val="0"/>
        <w:spacing w:after="160" w:line="211" w:lineRule="atLeast"/>
        <w:rPr>
          <w:rFonts w:ascii="Calibri" w:hAnsi="Calibri" w:cs="Calibri"/>
          <w:sz w:val="21"/>
          <w:szCs w:val="21"/>
          <w:lang w:eastAsia="en-AU"/>
        </w:rPr>
      </w:pPr>
      <w:r w:rsidRPr="00577574">
        <w:rPr>
          <w:rFonts w:ascii="Calibri" w:hAnsi="Calibri" w:cs="Calibri"/>
          <w:sz w:val="21"/>
          <w:szCs w:val="21"/>
          <w:lang w:eastAsia="en-AU"/>
        </w:rPr>
        <w:t xml:space="preserve">The possible impacts on water resources posed by unconventional gas operations are shown in </w:t>
      </w:r>
      <w:r w:rsidRPr="00DA0079">
        <w:rPr>
          <w:rFonts w:ascii="Calibri" w:hAnsi="Calibri" w:cs="Calibri"/>
          <w:sz w:val="21"/>
          <w:szCs w:val="21"/>
          <w:lang w:eastAsia="en-AU"/>
        </w:rPr>
        <w:t xml:space="preserve">Figure </w:t>
      </w:r>
      <w:r w:rsidR="00305FDC" w:rsidRPr="00DA0079">
        <w:rPr>
          <w:rFonts w:ascii="Calibri" w:hAnsi="Calibri" w:cs="Calibri"/>
          <w:sz w:val="21"/>
          <w:szCs w:val="21"/>
          <w:lang w:eastAsia="en-AU"/>
        </w:rPr>
        <w:t>5</w:t>
      </w:r>
      <w:r w:rsidRPr="00DA0079">
        <w:rPr>
          <w:rFonts w:ascii="Calibri" w:hAnsi="Calibri" w:cs="Calibri"/>
          <w:sz w:val="21"/>
          <w:szCs w:val="21"/>
          <w:lang w:eastAsia="en-AU"/>
        </w:rPr>
        <w:t>:</w:t>
      </w:r>
    </w:p>
    <w:p w14:paraId="3E7223CA" w14:textId="77777777" w:rsidR="00BE03E6" w:rsidRPr="00BE03E6" w:rsidRDefault="00BE03E6" w:rsidP="00BE03E6">
      <w:pPr>
        <w:pStyle w:val="ListParagraph"/>
        <w:numPr>
          <w:ilvl w:val="0"/>
          <w:numId w:val="8"/>
        </w:numPr>
        <w:rPr>
          <w:rFonts w:ascii="Calibri" w:hAnsi="Calibri" w:cs="Calibri"/>
          <w:sz w:val="21"/>
          <w:szCs w:val="21"/>
          <w:lang w:eastAsia="en-AU"/>
        </w:rPr>
      </w:pPr>
      <w:r w:rsidRPr="00BE03E6">
        <w:rPr>
          <w:rFonts w:ascii="Calibri" w:hAnsi="Calibri" w:cs="Calibri"/>
          <w:sz w:val="21"/>
          <w:szCs w:val="21"/>
          <w:lang w:eastAsia="en-AU"/>
        </w:rPr>
        <w:t>Poor storage and/or handling practices resulting in leakage or spills where raw chemicals and/or flowback fluid (fluid that flows from a well following a hydraulic fracturing treatment) leach into the ground and could potentially reach shallow groundwater (materials handling).</w:t>
      </w:r>
    </w:p>
    <w:p w14:paraId="52774152" w14:textId="77777777" w:rsidR="00BE03E6" w:rsidRPr="00577574" w:rsidRDefault="00BE03E6" w:rsidP="00BE03E6">
      <w:pPr>
        <w:pStyle w:val="ListParagraph"/>
        <w:numPr>
          <w:ilvl w:val="0"/>
          <w:numId w:val="8"/>
        </w:numPr>
        <w:autoSpaceDE w:val="0"/>
        <w:autoSpaceDN w:val="0"/>
        <w:adjustRightInd w:val="0"/>
        <w:spacing w:after="179" w:line="240" w:lineRule="auto"/>
        <w:rPr>
          <w:rFonts w:ascii="Calibri" w:hAnsi="Calibri" w:cs="Calibri"/>
          <w:color w:val="000000"/>
          <w:sz w:val="21"/>
          <w:szCs w:val="21"/>
          <w:lang w:eastAsia="en-AU"/>
        </w:rPr>
      </w:pPr>
      <w:r w:rsidRPr="00577574">
        <w:rPr>
          <w:rFonts w:ascii="Calibri" w:hAnsi="Calibri" w:cs="Calibri"/>
          <w:color w:val="000000"/>
          <w:sz w:val="21"/>
          <w:szCs w:val="21"/>
          <w:lang w:eastAsia="en-AU"/>
        </w:rPr>
        <w:t>Poor storage and/or handling practices resulting in leakage or spills where raw chemicals and/or flowback fluid flows into water storages, streams or rivers (materials handling).</w:t>
      </w:r>
      <w:bookmarkStart w:id="0" w:name="_GoBack"/>
      <w:bookmarkEnd w:id="0"/>
    </w:p>
    <w:p w14:paraId="28C7FEA3" w14:textId="77777777" w:rsidR="00BE03E6" w:rsidRPr="00577574" w:rsidRDefault="00BE03E6" w:rsidP="00BE03E6">
      <w:pPr>
        <w:pStyle w:val="ListParagraph"/>
        <w:numPr>
          <w:ilvl w:val="0"/>
          <w:numId w:val="8"/>
        </w:numPr>
        <w:autoSpaceDE w:val="0"/>
        <w:autoSpaceDN w:val="0"/>
        <w:adjustRightInd w:val="0"/>
        <w:spacing w:after="179" w:line="240" w:lineRule="auto"/>
        <w:rPr>
          <w:rFonts w:ascii="Calibri" w:hAnsi="Calibri" w:cs="Calibri"/>
          <w:color w:val="000000"/>
          <w:sz w:val="21"/>
          <w:szCs w:val="21"/>
          <w:lang w:eastAsia="en-AU"/>
        </w:rPr>
      </w:pPr>
      <w:r w:rsidRPr="00577574">
        <w:rPr>
          <w:rFonts w:ascii="Calibri" w:hAnsi="Calibri" w:cs="Calibri"/>
          <w:color w:val="000000"/>
          <w:sz w:val="21"/>
          <w:szCs w:val="21"/>
          <w:lang w:eastAsia="en-AU"/>
        </w:rPr>
        <w:t>Impact on local water resources through water extraction for use in hydraulic fracturing operations (water-use conflicts).</w:t>
      </w:r>
    </w:p>
    <w:p w14:paraId="3F10025A" w14:textId="77777777" w:rsidR="00BE03E6" w:rsidRPr="00BE03E6" w:rsidRDefault="00BE03E6" w:rsidP="00BE03E6">
      <w:pPr>
        <w:pStyle w:val="ListParagraph"/>
        <w:numPr>
          <w:ilvl w:val="0"/>
          <w:numId w:val="8"/>
        </w:numPr>
        <w:autoSpaceDE w:val="0"/>
        <w:autoSpaceDN w:val="0"/>
        <w:adjustRightInd w:val="0"/>
        <w:spacing w:after="179" w:line="240" w:lineRule="auto"/>
        <w:rPr>
          <w:rFonts w:ascii="Calibri" w:hAnsi="Calibri" w:cs="Calibri"/>
          <w:sz w:val="21"/>
          <w:szCs w:val="21"/>
          <w:lang w:eastAsia="en-AU"/>
        </w:rPr>
      </w:pPr>
      <w:r w:rsidRPr="00BE03E6">
        <w:rPr>
          <w:rFonts w:ascii="Calibri" w:hAnsi="Calibri" w:cs="Calibri"/>
          <w:color w:val="000000"/>
          <w:sz w:val="21"/>
          <w:szCs w:val="21"/>
          <w:lang w:eastAsia="en-AU"/>
        </w:rPr>
        <w:t xml:space="preserve">Drawdown of productive aquifers due to the depressurisation of target formations - limited to CSG operations (interconnectivity and water-use conflicts). </w:t>
      </w:r>
    </w:p>
    <w:p w14:paraId="4FDEAFC1" w14:textId="7FF89489" w:rsidR="00577574" w:rsidRPr="00577574" w:rsidRDefault="00577574" w:rsidP="00BE03E6">
      <w:pPr>
        <w:pStyle w:val="ListParagraph"/>
        <w:numPr>
          <w:ilvl w:val="0"/>
          <w:numId w:val="8"/>
        </w:numPr>
        <w:autoSpaceDE w:val="0"/>
        <w:autoSpaceDN w:val="0"/>
        <w:adjustRightInd w:val="0"/>
        <w:spacing w:after="179" w:line="240" w:lineRule="auto"/>
        <w:rPr>
          <w:rFonts w:ascii="Calibri" w:hAnsi="Calibri" w:cs="Calibri"/>
          <w:sz w:val="21"/>
          <w:szCs w:val="21"/>
          <w:lang w:eastAsia="en-AU"/>
        </w:rPr>
      </w:pPr>
      <w:r w:rsidRPr="00577574">
        <w:rPr>
          <w:rFonts w:ascii="Calibri" w:hAnsi="Calibri" w:cs="Calibri"/>
          <w:sz w:val="21"/>
          <w:szCs w:val="21"/>
          <w:lang w:eastAsia="en-AU"/>
        </w:rPr>
        <w:t>Contamination of groundwater due to well failure</w:t>
      </w:r>
      <w:r w:rsidR="001D7F95">
        <w:rPr>
          <w:rFonts w:ascii="Calibri" w:hAnsi="Calibri" w:cs="Calibri"/>
          <w:sz w:val="21"/>
          <w:szCs w:val="21"/>
          <w:lang w:eastAsia="en-AU"/>
        </w:rPr>
        <w:t xml:space="preserve"> </w:t>
      </w:r>
      <w:r w:rsidRPr="00577574">
        <w:rPr>
          <w:rFonts w:ascii="Calibri" w:hAnsi="Calibri" w:cs="Calibri"/>
          <w:sz w:val="21"/>
          <w:szCs w:val="21"/>
          <w:lang w:eastAsia="en-AU"/>
        </w:rPr>
        <w:t xml:space="preserve">issues (well integrity). </w:t>
      </w:r>
      <w:r w:rsidR="001D7F95">
        <w:rPr>
          <w:rFonts w:ascii="Calibri" w:hAnsi="Calibri" w:cs="Calibri"/>
          <w:sz w:val="21"/>
          <w:szCs w:val="21"/>
          <w:lang w:eastAsia="en-AU"/>
        </w:rPr>
        <w:t>T</w:t>
      </w:r>
      <w:r w:rsidRPr="00577574">
        <w:rPr>
          <w:rFonts w:ascii="Calibri" w:hAnsi="Calibri" w:cs="Calibri"/>
          <w:sz w:val="21"/>
          <w:szCs w:val="21"/>
          <w:lang w:eastAsia="en-AU"/>
        </w:rPr>
        <w:t>hese risks are generally considered to be low during exploration</w:t>
      </w:r>
      <w:r w:rsidR="001D7F95">
        <w:rPr>
          <w:rFonts w:ascii="Calibri" w:hAnsi="Calibri" w:cs="Calibri"/>
          <w:sz w:val="21"/>
          <w:szCs w:val="21"/>
          <w:lang w:eastAsia="en-AU"/>
        </w:rPr>
        <w:t>,</w:t>
      </w:r>
      <w:r w:rsidRPr="00577574">
        <w:rPr>
          <w:rFonts w:ascii="Calibri" w:hAnsi="Calibri" w:cs="Calibri"/>
          <w:sz w:val="21"/>
          <w:szCs w:val="21"/>
          <w:lang w:eastAsia="en-AU"/>
        </w:rPr>
        <w:t xml:space="preserve"> production, </w:t>
      </w:r>
      <w:r w:rsidR="001D7F95">
        <w:rPr>
          <w:rFonts w:ascii="Calibri" w:hAnsi="Calibri" w:cs="Calibri"/>
          <w:sz w:val="21"/>
          <w:szCs w:val="21"/>
          <w:lang w:eastAsia="en-AU"/>
        </w:rPr>
        <w:t>and decommissioning</w:t>
      </w:r>
      <w:r w:rsidR="00BE5AC4" w:rsidRPr="00BE5AC4">
        <w:rPr>
          <w:rFonts w:ascii="Calibri" w:hAnsi="Calibri" w:cs="Calibri"/>
          <w:sz w:val="21"/>
          <w:szCs w:val="21"/>
          <w:vertAlign w:val="superscript"/>
          <w:lang w:eastAsia="en-AU"/>
        </w:rPr>
        <w:t>(3)</w:t>
      </w:r>
      <w:r w:rsidRPr="00577574">
        <w:rPr>
          <w:rFonts w:ascii="Calibri" w:hAnsi="Calibri" w:cs="Calibri"/>
          <w:sz w:val="21"/>
          <w:szCs w:val="21"/>
          <w:lang w:eastAsia="en-AU"/>
        </w:rPr>
        <w:t>.</w:t>
      </w:r>
    </w:p>
    <w:p w14:paraId="1FFB8B77" w14:textId="77777777" w:rsidR="00BE03E6" w:rsidRDefault="00577574" w:rsidP="00BE03E6">
      <w:pPr>
        <w:numPr>
          <w:ilvl w:val="0"/>
          <w:numId w:val="8"/>
        </w:numPr>
        <w:autoSpaceDE w:val="0"/>
        <w:autoSpaceDN w:val="0"/>
        <w:adjustRightInd w:val="0"/>
        <w:spacing w:after="179" w:line="240" w:lineRule="auto"/>
        <w:ind w:left="369" w:hanging="369"/>
        <w:rPr>
          <w:rFonts w:ascii="Calibri" w:hAnsi="Calibri" w:cs="Calibri"/>
          <w:sz w:val="21"/>
          <w:szCs w:val="21"/>
          <w:lang w:eastAsia="en-AU"/>
        </w:rPr>
      </w:pPr>
      <w:r w:rsidRPr="00577574">
        <w:rPr>
          <w:rFonts w:ascii="Calibri" w:hAnsi="Calibri" w:cs="Calibri"/>
          <w:sz w:val="21"/>
          <w:szCs w:val="21"/>
          <w:lang w:eastAsia="en-AU"/>
        </w:rPr>
        <w:t>Where a reservoir and aquifers are in close proximity (more likely in CSG than shale and tight gas operations), fractures created by hydraulic fracturing processes may provide a pathway to surrounding aquifers for fracturing fluids (increased connectivity</w:t>
      </w:r>
      <w:r>
        <w:rPr>
          <w:rFonts w:ascii="Calibri" w:hAnsi="Calibri" w:cs="Calibri"/>
          <w:sz w:val="21"/>
          <w:szCs w:val="21"/>
          <w:lang w:eastAsia="en-AU"/>
        </w:rPr>
        <w:t>).</w:t>
      </w:r>
    </w:p>
    <w:p w14:paraId="309624FD" w14:textId="77777777" w:rsidR="00DA0079" w:rsidRDefault="00577574" w:rsidP="00DA0079">
      <w:pPr>
        <w:numPr>
          <w:ilvl w:val="0"/>
          <w:numId w:val="8"/>
        </w:numPr>
        <w:autoSpaceDE w:val="0"/>
        <w:autoSpaceDN w:val="0"/>
        <w:adjustRightInd w:val="0"/>
        <w:spacing w:after="179" w:line="240" w:lineRule="auto"/>
        <w:ind w:left="369" w:hanging="369"/>
        <w:rPr>
          <w:rFonts w:ascii="Calibri" w:hAnsi="Calibri" w:cs="Calibri"/>
          <w:sz w:val="21"/>
          <w:szCs w:val="21"/>
        </w:rPr>
      </w:pPr>
      <w:r w:rsidRPr="00DA0079">
        <w:rPr>
          <w:rFonts w:ascii="Calibri" w:hAnsi="Calibri" w:cs="Calibri"/>
          <w:sz w:val="21"/>
          <w:szCs w:val="21"/>
          <w:lang w:eastAsia="en-AU"/>
        </w:rPr>
        <w:t>If</w:t>
      </w:r>
      <w:r w:rsidRPr="00BE03E6">
        <w:rPr>
          <w:rFonts w:ascii="Calibri" w:hAnsi="Calibri" w:cs="Calibri"/>
          <w:color w:val="000000"/>
          <w:sz w:val="21"/>
          <w:szCs w:val="21"/>
          <w:lang w:eastAsia="en-AU"/>
        </w:rPr>
        <w:t xml:space="preserve"> an open fault intersects an aquifer, it could act as a conduit enabling flow of fracturing fluids to an aquifer during hydraulic fracturing operations or drawdown groundwater during production (connectivity).</w:t>
      </w:r>
      <w:r w:rsidR="00DA0079" w:rsidRPr="00DA0079">
        <w:rPr>
          <w:rFonts w:ascii="Calibri" w:hAnsi="Calibri" w:cs="Calibri"/>
          <w:sz w:val="21"/>
          <w:szCs w:val="21"/>
        </w:rPr>
        <w:t xml:space="preserve"> </w:t>
      </w:r>
    </w:p>
    <w:p w14:paraId="2941A258" w14:textId="3BFDF95B" w:rsidR="00577574" w:rsidRDefault="00DA0079" w:rsidP="00DA0079">
      <w:pPr>
        <w:pStyle w:val="Pa0"/>
        <w:spacing w:before="160" w:after="100"/>
        <w:rPr>
          <w:rFonts w:ascii="Calibri" w:hAnsi="Calibri" w:cs="Calibri"/>
          <w:sz w:val="21"/>
          <w:szCs w:val="21"/>
        </w:rPr>
      </w:pPr>
      <w:r w:rsidRPr="00577574">
        <w:rPr>
          <w:rFonts w:ascii="Calibri" w:hAnsi="Calibri" w:cs="Calibri"/>
          <w:sz w:val="21"/>
          <w:szCs w:val="21"/>
        </w:rPr>
        <w:t>While these risks may be amplified by the number of wells required for commercial production, many also diminish with depth. Best practice operation aims to either avoid or manage and mitigate impacts.</w:t>
      </w:r>
    </w:p>
    <w:p w14:paraId="434EA36B" w14:textId="2FDA85D6" w:rsidR="00DA0079" w:rsidRPr="00611663" w:rsidRDefault="00DA0079" w:rsidP="00DA0079">
      <w:pPr>
        <w:autoSpaceDE w:val="0"/>
        <w:autoSpaceDN w:val="0"/>
        <w:adjustRightInd w:val="0"/>
        <w:spacing w:after="160" w:line="211" w:lineRule="atLeast"/>
        <w:rPr>
          <w:rFonts w:ascii="Calibri" w:hAnsi="Calibri" w:cs="Calibri"/>
          <w:sz w:val="21"/>
          <w:szCs w:val="21"/>
          <w:lang w:eastAsia="en-AU"/>
        </w:rPr>
      </w:pPr>
      <w:r w:rsidRPr="00611663">
        <w:rPr>
          <w:rFonts w:ascii="Calibri" w:hAnsi="Calibri" w:cs="Calibri"/>
          <w:sz w:val="21"/>
          <w:szCs w:val="21"/>
          <w:lang w:eastAsia="en-AU"/>
        </w:rPr>
        <w:t xml:space="preserve">The potential impacts of unconventional gas projects are managed by the relevant State and Territory government through legislation and regulation. Where actions have, or are likely to have, a significant impact on a Matter of National Environmental Significance (MNES) the </w:t>
      </w:r>
      <w:r w:rsidRPr="00611663">
        <w:rPr>
          <w:rFonts w:ascii="Calibri" w:hAnsi="Calibri" w:cs="Calibri"/>
          <w:i/>
          <w:iCs/>
          <w:sz w:val="21"/>
          <w:szCs w:val="21"/>
          <w:lang w:eastAsia="en-AU"/>
        </w:rPr>
        <w:t>Environment Protection and Biodiversity Conservation Act 1999</w:t>
      </w:r>
      <w:r w:rsidRPr="00611663">
        <w:rPr>
          <w:rFonts w:ascii="Calibri" w:hAnsi="Calibri" w:cs="Calibri"/>
          <w:sz w:val="21"/>
          <w:szCs w:val="21"/>
          <w:lang w:eastAsia="en-AU"/>
        </w:rPr>
        <w:t xml:space="preserve"> (the EPBC Act) applies. Under the EPBC Act, water resources are a matter of national environmental significance in relation to coal seam gas and large coal mining development (the ‘water trigger’). This allows the impacts of proposed coal seam gas and large coal mining developments on water resources to be comprehensively assessed at a national level. Whilst the ‘water trigger’ does not apply to other sources of unconventional gas, proponents should consider whether the water related impacts of their action will have or is likely to have a significant impact on other MNES (e.g. Ramsar wetlands, important habitat for listed threatened species and communities). Further information on the requirements of the EPBC Act is available at</w:t>
      </w:r>
      <w:r>
        <w:rPr>
          <w:rFonts w:ascii="Calibri" w:hAnsi="Calibri" w:cs="Calibri"/>
          <w:sz w:val="21"/>
          <w:szCs w:val="21"/>
          <w:lang w:eastAsia="en-AU"/>
        </w:rPr>
        <w:t xml:space="preserve"> </w:t>
      </w:r>
      <w:hyperlink r:id="rId16" w:history="1">
        <w:r w:rsidRPr="00611663">
          <w:rPr>
            <w:rStyle w:val="Hyperlink"/>
            <w:rFonts w:ascii="Calibri" w:hAnsi="Calibri" w:cs="Calibri"/>
            <w:sz w:val="21"/>
            <w:szCs w:val="21"/>
            <w:lang w:eastAsia="en-AU"/>
          </w:rPr>
          <w:t>http://www.environment.gov.au/protection/environment-assessments</w:t>
        </w:r>
      </w:hyperlink>
      <w:r>
        <w:rPr>
          <w:rFonts w:ascii="Calibri" w:hAnsi="Calibri" w:cs="Calibri"/>
          <w:sz w:val="21"/>
          <w:szCs w:val="21"/>
          <w:lang w:eastAsia="en-AU"/>
        </w:rPr>
        <w:t xml:space="preserve"> </w:t>
      </w:r>
      <w:r w:rsidRPr="00611663">
        <w:rPr>
          <w:rFonts w:ascii="Calibri" w:hAnsi="Calibri" w:cs="Calibri"/>
          <w:sz w:val="21"/>
          <w:szCs w:val="21"/>
          <w:lang w:eastAsia="en-AU"/>
        </w:rPr>
        <w:t>.</w:t>
      </w:r>
    </w:p>
    <w:p w14:paraId="2421B3DD" w14:textId="77777777" w:rsidR="00DA0079" w:rsidRPr="00DA0079" w:rsidRDefault="00DA0079" w:rsidP="00DA0079">
      <w:pPr>
        <w:pStyle w:val="Default"/>
      </w:pPr>
    </w:p>
    <w:p w14:paraId="55FDC9F5" w14:textId="07AAF54F" w:rsidR="00577574" w:rsidRPr="00B34679" w:rsidRDefault="00B34679" w:rsidP="00B34679">
      <w:pPr>
        <w:autoSpaceDE w:val="0"/>
        <w:autoSpaceDN w:val="0"/>
        <w:adjustRightInd w:val="0"/>
        <w:spacing w:after="0" w:line="240" w:lineRule="auto"/>
        <w:rPr>
          <w:rFonts w:ascii="Calibri" w:hAnsi="Calibri" w:cs="Calibri"/>
          <w:color w:val="000000"/>
          <w:sz w:val="21"/>
          <w:szCs w:val="21"/>
          <w:lang w:eastAsia="en-AU"/>
        </w:rPr>
      </w:pPr>
      <w:r w:rsidRPr="00B34679">
        <w:rPr>
          <w:rFonts w:ascii="Calibri" w:hAnsi="Calibri" w:cs="Calibri"/>
          <w:noProof/>
          <w:color w:val="000000"/>
          <w:sz w:val="21"/>
          <w:szCs w:val="21"/>
          <w:lang w:eastAsia="en-AU"/>
        </w:rPr>
        <w:lastRenderedPageBreak/>
        <w:drawing>
          <wp:inline distT="0" distB="0" distL="0" distR="0" wp14:anchorId="33292FD3" wp14:editId="70C5DD75">
            <wp:extent cx="5133348" cy="307657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134108" cy="3077030"/>
                    </a:xfrm>
                    <a:prstGeom prst="rect">
                      <a:avLst/>
                    </a:prstGeom>
                    <a:noFill/>
                    <a:ln>
                      <a:noFill/>
                    </a:ln>
                  </pic:spPr>
                </pic:pic>
              </a:graphicData>
            </a:graphic>
          </wp:inline>
        </w:drawing>
      </w:r>
    </w:p>
    <w:p w14:paraId="04399A7E" w14:textId="23BF47AC" w:rsidR="00577574" w:rsidRPr="00305FDC" w:rsidRDefault="00577574" w:rsidP="00577574">
      <w:pPr>
        <w:autoSpaceDE w:val="0"/>
        <w:autoSpaceDN w:val="0"/>
        <w:adjustRightInd w:val="0"/>
        <w:spacing w:after="0" w:line="240" w:lineRule="auto"/>
        <w:rPr>
          <w:rFonts w:asciiTheme="minorHAnsi" w:hAnsiTheme="minorHAnsi" w:cs="Calibri"/>
          <w:b/>
          <w:bCs/>
          <w:color w:val="000000"/>
          <w:sz w:val="18"/>
          <w:szCs w:val="18"/>
        </w:rPr>
      </w:pPr>
      <w:r w:rsidRPr="00B34679">
        <w:rPr>
          <w:rFonts w:asciiTheme="minorHAnsi" w:hAnsiTheme="minorHAnsi" w:cs="Calibri"/>
          <w:b/>
          <w:bCs/>
          <w:sz w:val="18"/>
          <w:szCs w:val="18"/>
        </w:rPr>
        <w:t xml:space="preserve">Figure </w:t>
      </w:r>
      <w:r w:rsidR="00305FDC" w:rsidRPr="00B34679">
        <w:rPr>
          <w:rFonts w:asciiTheme="minorHAnsi" w:hAnsiTheme="minorHAnsi" w:cs="Calibri"/>
          <w:b/>
          <w:bCs/>
          <w:sz w:val="18"/>
          <w:szCs w:val="18"/>
        </w:rPr>
        <w:t>5</w:t>
      </w:r>
      <w:r w:rsidRPr="00B34679">
        <w:rPr>
          <w:rFonts w:asciiTheme="minorHAnsi" w:hAnsiTheme="minorHAnsi" w:cs="Calibri"/>
          <w:b/>
          <w:bCs/>
          <w:sz w:val="18"/>
          <w:szCs w:val="18"/>
        </w:rPr>
        <w:t xml:space="preserve">: Potential </w:t>
      </w:r>
      <w:r w:rsidRPr="00305FDC">
        <w:rPr>
          <w:rFonts w:asciiTheme="minorHAnsi" w:hAnsiTheme="minorHAnsi" w:cs="Calibri"/>
          <w:b/>
          <w:bCs/>
          <w:color w:val="000000"/>
          <w:sz w:val="18"/>
          <w:szCs w:val="18"/>
        </w:rPr>
        <w:t xml:space="preserve">impacts to water resources posed by unconventional gas operations can be broadly categorised as </w:t>
      </w:r>
      <w:r w:rsidR="00FC5EEB" w:rsidRPr="00FC5EEB">
        <w:rPr>
          <w:rFonts w:asciiTheme="minorHAnsi" w:hAnsiTheme="minorHAnsi" w:cs="Calibri"/>
          <w:b/>
          <w:bCs/>
          <w:color w:val="000000"/>
          <w:sz w:val="18"/>
          <w:szCs w:val="18"/>
        </w:rPr>
        <w:t>materials handling (</w:t>
      </w:r>
      <w:r w:rsidR="00FC5EEB">
        <w:rPr>
          <w:rFonts w:asciiTheme="minorHAnsi" w:hAnsiTheme="minorHAnsi" w:cs="Calibri"/>
          <w:b/>
          <w:bCs/>
          <w:color w:val="000000"/>
          <w:sz w:val="18"/>
          <w:szCs w:val="18"/>
        </w:rPr>
        <w:t>1</w:t>
      </w:r>
      <w:r w:rsidR="00FC5EEB" w:rsidRPr="00FC5EEB">
        <w:rPr>
          <w:rFonts w:asciiTheme="minorHAnsi" w:hAnsiTheme="minorHAnsi" w:cs="Calibri"/>
          <w:b/>
          <w:bCs/>
          <w:color w:val="000000"/>
          <w:sz w:val="18"/>
          <w:szCs w:val="18"/>
        </w:rPr>
        <w:t xml:space="preserve"> &amp;</w:t>
      </w:r>
      <w:r w:rsidR="00FC5EEB">
        <w:rPr>
          <w:rFonts w:asciiTheme="minorHAnsi" w:hAnsiTheme="minorHAnsi" w:cs="Calibri"/>
          <w:b/>
          <w:bCs/>
          <w:color w:val="000000"/>
          <w:sz w:val="18"/>
          <w:szCs w:val="18"/>
        </w:rPr>
        <w:t xml:space="preserve"> 2</w:t>
      </w:r>
      <w:r w:rsidR="00FC5EEB" w:rsidRPr="00FC5EEB">
        <w:rPr>
          <w:rFonts w:asciiTheme="minorHAnsi" w:hAnsiTheme="minorHAnsi" w:cs="Calibri"/>
          <w:b/>
          <w:bCs/>
          <w:color w:val="000000"/>
          <w:sz w:val="18"/>
          <w:szCs w:val="18"/>
        </w:rPr>
        <w:t>)</w:t>
      </w:r>
      <w:r w:rsidR="00FC5EEB">
        <w:rPr>
          <w:rFonts w:asciiTheme="minorHAnsi" w:hAnsiTheme="minorHAnsi" w:cs="Calibri"/>
          <w:b/>
          <w:bCs/>
          <w:color w:val="000000"/>
          <w:sz w:val="18"/>
          <w:szCs w:val="18"/>
        </w:rPr>
        <w:t>, water-use conflicts (3</w:t>
      </w:r>
      <w:r w:rsidR="00FC5EEB" w:rsidRPr="00FC5EEB">
        <w:rPr>
          <w:rFonts w:asciiTheme="minorHAnsi" w:hAnsiTheme="minorHAnsi" w:cs="Calibri"/>
          <w:b/>
          <w:bCs/>
          <w:color w:val="000000"/>
          <w:sz w:val="18"/>
          <w:szCs w:val="18"/>
        </w:rPr>
        <w:t xml:space="preserve"> &amp; </w:t>
      </w:r>
      <w:r w:rsidR="00FC5EEB">
        <w:rPr>
          <w:rFonts w:asciiTheme="minorHAnsi" w:hAnsiTheme="minorHAnsi" w:cs="Calibri"/>
          <w:b/>
          <w:bCs/>
          <w:color w:val="000000"/>
          <w:sz w:val="18"/>
          <w:szCs w:val="18"/>
        </w:rPr>
        <w:t>4</w:t>
      </w:r>
      <w:r w:rsidR="00FC5EEB" w:rsidRPr="00FC5EEB">
        <w:rPr>
          <w:rFonts w:asciiTheme="minorHAnsi" w:hAnsiTheme="minorHAnsi" w:cs="Calibri"/>
          <w:b/>
          <w:bCs/>
          <w:color w:val="000000"/>
          <w:sz w:val="18"/>
          <w:szCs w:val="18"/>
        </w:rPr>
        <w:t>)</w:t>
      </w:r>
      <w:r w:rsidR="00FC5EEB">
        <w:rPr>
          <w:rFonts w:asciiTheme="minorHAnsi" w:hAnsiTheme="minorHAnsi" w:cs="Calibri"/>
          <w:b/>
          <w:bCs/>
          <w:color w:val="000000"/>
          <w:sz w:val="18"/>
          <w:szCs w:val="18"/>
        </w:rPr>
        <w:t>, well integrity (5</w:t>
      </w:r>
      <w:r w:rsidRPr="00305FDC">
        <w:rPr>
          <w:rFonts w:asciiTheme="minorHAnsi" w:hAnsiTheme="minorHAnsi" w:cs="Calibri"/>
          <w:b/>
          <w:bCs/>
          <w:color w:val="000000"/>
          <w:sz w:val="18"/>
          <w:szCs w:val="18"/>
        </w:rPr>
        <w:t>)</w:t>
      </w:r>
      <w:r w:rsidR="00FC5EEB">
        <w:rPr>
          <w:rFonts w:asciiTheme="minorHAnsi" w:hAnsiTheme="minorHAnsi" w:cs="Calibri"/>
          <w:b/>
          <w:bCs/>
          <w:color w:val="000000"/>
          <w:sz w:val="18"/>
          <w:szCs w:val="18"/>
        </w:rPr>
        <w:t xml:space="preserve"> and </w:t>
      </w:r>
      <w:r w:rsidRPr="00305FDC">
        <w:rPr>
          <w:rFonts w:asciiTheme="minorHAnsi" w:hAnsiTheme="minorHAnsi" w:cs="Calibri"/>
          <w:b/>
          <w:bCs/>
          <w:color w:val="000000"/>
          <w:sz w:val="18"/>
          <w:szCs w:val="18"/>
        </w:rPr>
        <w:t>connectivity (</w:t>
      </w:r>
      <w:r w:rsidR="00FC5EEB">
        <w:rPr>
          <w:rFonts w:asciiTheme="minorHAnsi" w:hAnsiTheme="minorHAnsi" w:cs="Calibri"/>
          <w:b/>
          <w:bCs/>
          <w:color w:val="000000"/>
          <w:sz w:val="18"/>
          <w:szCs w:val="18"/>
        </w:rPr>
        <w:t>6</w:t>
      </w:r>
      <w:r w:rsidRPr="00305FDC">
        <w:rPr>
          <w:rFonts w:asciiTheme="minorHAnsi" w:hAnsiTheme="minorHAnsi" w:cs="Calibri"/>
          <w:b/>
          <w:bCs/>
          <w:color w:val="000000"/>
          <w:sz w:val="18"/>
          <w:szCs w:val="18"/>
        </w:rPr>
        <w:t xml:space="preserve"> &amp; </w:t>
      </w:r>
      <w:r w:rsidR="00FC5EEB">
        <w:rPr>
          <w:rFonts w:asciiTheme="minorHAnsi" w:hAnsiTheme="minorHAnsi" w:cs="Calibri"/>
          <w:b/>
          <w:bCs/>
          <w:color w:val="000000"/>
          <w:sz w:val="18"/>
          <w:szCs w:val="18"/>
        </w:rPr>
        <w:t>7</w:t>
      </w:r>
      <w:r w:rsidRPr="00305FDC">
        <w:rPr>
          <w:rFonts w:asciiTheme="minorHAnsi" w:hAnsiTheme="minorHAnsi" w:cs="Calibri"/>
          <w:b/>
          <w:bCs/>
          <w:color w:val="000000"/>
          <w:sz w:val="18"/>
          <w:szCs w:val="18"/>
        </w:rPr>
        <w:t>).</w:t>
      </w:r>
    </w:p>
    <w:p w14:paraId="7163E27E" w14:textId="267A3F46" w:rsidR="00A53593" w:rsidRDefault="00A53593" w:rsidP="00A53593">
      <w:pPr>
        <w:pStyle w:val="Pa0"/>
        <w:spacing w:before="160" w:after="100"/>
        <w:rPr>
          <w:rFonts w:ascii="Calibri" w:hAnsi="Calibri" w:cs="Calibri"/>
          <w:sz w:val="21"/>
          <w:szCs w:val="21"/>
        </w:rPr>
      </w:pPr>
      <w:r>
        <w:rPr>
          <w:rFonts w:ascii="Garamond" w:hAnsi="Garamond" w:cs="Garamond"/>
          <w:b/>
          <w:bCs/>
          <w:sz w:val="32"/>
          <w:szCs w:val="32"/>
        </w:rPr>
        <w:t>Background</w:t>
      </w:r>
    </w:p>
    <w:p w14:paraId="4E82087F" w14:textId="0F0DFA96" w:rsidR="00124B8E" w:rsidRPr="00577574" w:rsidRDefault="00124B8E" w:rsidP="00124B8E">
      <w:pPr>
        <w:autoSpaceDE w:val="0"/>
        <w:autoSpaceDN w:val="0"/>
        <w:adjustRightInd w:val="0"/>
        <w:spacing w:after="160" w:line="211" w:lineRule="atLeast"/>
        <w:rPr>
          <w:rFonts w:ascii="Garamond" w:hAnsi="Garamond" w:cs="Garamond"/>
          <w:color w:val="000000"/>
          <w:sz w:val="23"/>
          <w:szCs w:val="23"/>
          <w:lang w:eastAsia="en-AU"/>
        </w:rPr>
      </w:pPr>
      <w:r w:rsidRPr="00577574">
        <w:rPr>
          <w:rFonts w:ascii="Garamond" w:hAnsi="Garamond" w:cs="Garamond"/>
          <w:b/>
          <w:bCs/>
          <w:color w:val="000000"/>
          <w:sz w:val="23"/>
          <w:szCs w:val="23"/>
          <w:lang w:eastAsia="en-AU"/>
        </w:rPr>
        <w:t>Petroleum Systems</w:t>
      </w:r>
    </w:p>
    <w:p w14:paraId="6D8CD25E" w14:textId="416D96A5" w:rsidR="00124B8E" w:rsidRPr="00577574" w:rsidRDefault="00124B8E" w:rsidP="00124B8E">
      <w:pPr>
        <w:autoSpaceDE w:val="0"/>
        <w:autoSpaceDN w:val="0"/>
        <w:adjustRightInd w:val="0"/>
        <w:spacing w:after="160" w:line="211" w:lineRule="atLeast"/>
        <w:rPr>
          <w:rFonts w:ascii="Calibri" w:hAnsi="Calibri" w:cs="Calibri"/>
          <w:color w:val="000000"/>
          <w:sz w:val="21"/>
          <w:szCs w:val="21"/>
          <w:lang w:eastAsia="en-AU"/>
        </w:rPr>
      </w:pPr>
      <w:r w:rsidRPr="00577574">
        <w:rPr>
          <w:rFonts w:ascii="Calibri" w:hAnsi="Calibri" w:cs="Calibri"/>
          <w:color w:val="000000"/>
          <w:sz w:val="21"/>
          <w:szCs w:val="21"/>
          <w:lang w:eastAsia="en-AU"/>
        </w:rPr>
        <w:t>Petroleum systems comprise the following elements:</w:t>
      </w:r>
    </w:p>
    <w:p w14:paraId="4E6F3F02" w14:textId="28D84B1B" w:rsidR="00124B8E" w:rsidRPr="00124B8E" w:rsidRDefault="00124B8E" w:rsidP="00124B8E">
      <w:pPr>
        <w:pStyle w:val="ListBullet"/>
        <w:rPr>
          <w:rFonts w:asciiTheme="minorHAnsi" w:hAnsiTheme="minorHAnsi"/>
          <w:sz w:val="21"/>
          <w:szCs w:val="21"/>
          <w:lang w:eastAsia="en-AU"/>
        </w:rPr>
      </w:pPr>
      <w:r w:rsidRPr="00124B8E">
        <w:rPr>
          <w:rFonts w:asciiTheme="minorHAnsi" w:hAnsiTheme="minorHAnsi"/>
          <w:sz w:val="21"/>
          <w:szCs w:val="21"/>
          <w:lang w:eastAsia="en-AU"/>
        </w:rPr>
        <w:t>Source rocks – rocks rich in organic matter where the oil and gas is formed.</w:t>
      </w:r>
    </w:p>
    <w:p w14:paraId="1CD10812" w14:textId="77777777" w:rsidR="00124B8E" w:rsidRPr="00124B8E" w:rsidRDefault="00124B8E" w:rsidP="00124B8E">
      <w:pPr>
        <w:pStyle w:val="ListBullet"/>
        <w:rPr>
          <w:rFonts w:asciiTheme="minorHAnsi" w:hAnsiTheme="minorHAnsi"/>
          <w:sz w:val="21"/>
          <w:szCs w:val="21"/>
          <w:lang w:eastAsia="en-AU"/>
        </w:rPr>
      </w:pPr>
      <w:r w:rsidRPr="00124B8E">
        <w:rPr>
          <w:rFonts w:asciiTheme="minorHAnsi" w:hAnsiTheme="minorHAnsi"/>
          <w:sz w:val="21"/>
          <w:szCs w:val="21"/>
          <w:lang w:eastAsia="en-AU"/>
        </w:rPr>
        <w:t>Reservoir rocks – rocks where oil and gas can be stored. Conventional reservoirs have high porosity and permeability, while unconventional reservoirs have low porosity and permeability.</w:t>
      </w:r>
    </w:p>
    <w:p w14:paraId="24B3D6E9" w14:textId="039F045F" w:rsidR="00124B8E" w:rsidRPr="00124B8E" w:rsidRDefault="00124B8E" w:rsidP="00124B8E">
      <w:pPr>
        <w:pStyle w:val="ListBullet"/>
        <w:autoSpaceDE w:val="0"/>
        <w:autoSpaceDN w:val="0"/>
        <w:adjustRightInd w:val="0"/>
        <w:spacing w:after="0" w:line="240" w:lineRule="auto"/>
        <w:rPr>
          <w:rFonts w:ascii="Calibri" w:hAnsi="Calibri" w:cs="Calibri"/>
          <w:color w:val="000000"/>
          <w:sz w:val="21"/>
          <w:szCs w:val="21"/>
          <w:lang w:eastAsia="en-AU"/>
        </w:rPr>
      </w:pPr>
      <w:r w:rsidRPr="00124B8E">
        <w:rPr>
          <w:rFonts w:asciiTheme="minorHAnsi" w:hAnsiTheme="minorHAnsi"/>
          <w:sz w:val="21"/>
          <w:szCs w:val="21"/>
          <w:lang w:eastAsia="en-AU"/>
        </w:rPr>
        <w:t>Seal rocks – rocks that are impermeable and are barriers to the migration of oil and gas.</w:t>
      </w:r>
    </w:p>
    <w:p w14:paraId="06776A6F" w14:textId="77777777" w:rsidR="00124B8E" w:rsidRPr="00577574" w:rsidRDefault="00124B8E" w:rsidP="00124B8E">
      <w:pPr>
        <w:pStyle w:val="ListBullet"/>
        <w:numPr>
          <w:ilvl w:val="0"/>
          <w:numId w:val="0"/>
        </w:numPr>
        <w:autoSpaceDE w:val="0"/>
        <w:autoSpaceDN w:val="0"/>
        <w:adjustRightInd w:val="0"/>
        <w:spacing w:after="0" w:line="240" w:lineRule="auto"/>
        <w:rPr>
          <w:rFonts w:ascii="Calibri" w:hAnsi="Calibri" w:cs="Calibri"/>
          <w:color w:val="000000"/>
          <w:sz w:val="21"/>
          <w:szCs w:val="21"/>
          <w:lang w:eastAsia="en-AU"/>
        </w:rPr>
      </w:pPr>
    </w:p>
    <w:p w14:paraId="1FF4FBE7" w14:textId="33D993A0" w:rsidR="00A53593" w:rsidRDefault="00124B8E" w:rsidP="00FA4E0A">
      <w:pPr>
        <w:autoSpaceDE w:val="0"/>
        <w:autoSpaceDN w:val="0"/>
        <w:adjustRightInd w:val="0"/>
        <w:spacing w:after="160" w:line="211" w:lineRule="atLeast"/>
        <w:rPr>
          <w:rFonts w:ascii="Garamond" w:hAnsi="Garamond" w:cs="Garamond"/>
          <w:sz w:val="23"/>
          <w:szCs w:val="23"/>
        </w:rPr>
      </w:pPr>
      <w:r w:rsidRPr="00577574">
        <w:rPr>
          <w:rFonts w:ascii="Calibri" w:hAnsi="Calibri" w:cs="Calibri"/>
          <w:color w:val="000000"/>
          <w:sz w:val="21"/>
          <w:szCs w:val="21"/>
          <w:lang w:eastAsia="en-AU"/>
        </w:rPr>
        <w:t>For conventional gas accumulations, the gas forms in a source rock, then migrates over a distance through a carrier bed, to a reservoir where it is captured and concentrated in discrete geological structures (traps) and held in place by a seal. For some unconventional gas types, CSG and shale gas, all of the petroleum system elements (source, reservoir and seal) occur in the same rock unit.</w:t>
      </w:r>
    </w:p>
    <w:p w14:paraId="240D7D62" w14:textId="0DA0624F" w:rsidR="00520DDE" w:rsidRDefault="00520DDE" w:rsidP="00A53593">
      <w:pPr>
        <w:pStyle w:val="Pa1"/>
        <w:spacing w:after="160"/>
        <w:rPr>
          <w:rFonts w:ascii="Calibri" w:hAnsi="Calibri" w:cs="Calibri"/>
          <w:sz w:val="21"/>
          <w:szCs w:val="21"/>
        </w:rPr>
      </w:pPr>
      <w:r>
        <w:rPr>
          <w:rStyle w:val="A6"/>
          <w:sz w:val="23"/>
          <w:szCs w:val="23"/>
        </w:rPr>
        <w:t>Porosity and permeability</w:t>
      </w:r>
      <w:r>
        <w:rPr>
          <w:rFonts w:ascii="Calibri" w:hAnsi="Calibri" w:cs="Calibri"/>
          <w:sz w:val="21"/>
          <w:szCs w:val="21"/>
        </w:rPr>
        <w:t xml:space="preserve"> </w:t>
      </w:r>
    </w:p>
    <w:p w14:paraId="147097C6" w14:textId="348FDA51" w:rsidR="00A53593" w:rsidRPr="00AD3A9C" w:rsidRDefault="00A53593" w:rsidP="00A53593">
      <w:pPr>
        <w:pStyle w:val="Pa1"/>
        <w:spacing w:after="160"/>
        <w:rPr>
          <w:rFonts w:ascii="Calibri" w:hAnsi="Calibri" w:cs="Calibri"/>
          <w:sz w:val="21"/>
          <w:szCs w:val="21"/>
        </w:rPr>
      </w:pPr>
      <w:r>
        <w:rPr>
          <w:rFonts w:ascii="Calibri" w:hAnsi="Calibri" w:cs="Calibri"/>
          <w:sz w:val="21"/>
          <w:szCs w:val="21"/>
        </w:rPr>
        <w:t xml:space="preserve">Porosity and permeability are properties of rocks relating to how gas and fluids are stored and move. Porosity is a measure of the pore space within a rock and is normally expressed as a percentage of the total rock volume that is taken up by pore space. Permeability is a measure of how easily fluids or gasses move through a rock. If a gas or liquid moves easily, then the rock is said to have high permeability. If there is resistance to flow, then the </w:t>
      </w:r>
      <w:r w:rsidRPr="00AD3A9C">
        <w:rPr>
          <w:rFonts w:ascii="Calibri" w:hAnsi="Calibri" w:cs="Calibri"/>
          <w:sz w:val="21"/>
          <w:szCs w:val="21"/>
        </w:rPr>
        <w:t xml:space="preserve">rock has low permeability. Conventional reservoirs have relatively high porosity and permeability i.e. gas and fluids move relatively easily through the rock, while unconventional reservoirs have low porosity and permeability, the movement of gas and fluids is restricted, and therefore they are often referred to as being ‘tight’ (Figure </w:t>
      </w:r>
      <w:r w:rsidR="00124B8E" w:rsidRPr="00AD3A9C">
        <w:rPr>
          <w:rFonts w:ascii="Calibri" w:hAnsi="Calibri" w:cs="Calibri"/>
          <w:sz w:val="21"/>
          <w:szCs w:val="21"/>
        </w:rPr>
        <w:t>6</w:t>
      </w:r>
      <w:r w:rsidRPr="00AD3A9C">
        <w:rPr>
          <w:rFonts w:ascii="Calibri" w:hAnsi="Calibri" w:cs="Calibri"/>
          <w:sz w:val="21"/>
          <w:szCs w:val="21"/>
        </w:rPr>
        <w:t>).</w:t>
      </w:r>
    </w:p>
    <w:p w14:paraId="7F91EF6C" w14:textId="77777777" w:rsidR="00837719" w:rsidRDefault="00837719" w:rsidP="00124B8E">
      <w:pPr>
        <w:rPr>
          <w:rFonts w:asciiTheme="minorHAnsi" w:hAnsiTheme="minorHAnsi" w:cs="Calibri"/>
          <w:b/>
          <w:bCs/>
          <w:sz w:val="18"/>
          <w:szCs w:val="18"/>
        </w:rPr>
      </w:pPr>
      <w:r w:rsidRPr="00837719">
        <w:rPr>
          <w:rFonts w:ascii="Calibri" w:hAnsi="Calibri" w:cs="Calibri"/>
          <w:noProof/>
          <w:position w:val="6"/>
          <w:sz w:val="10"/>
          <w:szCs w:val="10"/>
          <w:vertAlign w:val="superscript"/>
          <w:lang w:eastAsia="en-AU"/>
        </w:rPr>
        <w:lastRenderedPageBreak/>
        <w:drawing>
          <wp:inline distT="0" distB="0" distL="0" distR="0" wp14:anchorId="5E0A6211" wp14:editId="029F2113">
            <wp:extent cx="4438221" cy="1943100"/>
            <wp:effectExtent l="0" t="0" r="63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rotWithShape="1">
                    <a:blip r:embed="rId18">
                      <a:extLst>
                        <a:ext uri="{28A0092B-C50C-407E-A947-70E740481C1C}">
                          <a14:useLocalDpi xmlns:a14="http://schemas.microsoft.com/office/drawing/2010/main" val="0"/>
                        </a:ext>
                      </a:extLst>
                    </a:blip>
                    <a:srcRect b="2888"/>
                    <a:stretch/>
                  </pic:blipFill>
                  <pic:spPr bwMode="auto">
                    <a:xfrm>
                      <a:off x="0" y="0"/>
                      <a:ext cx="4453089" cy="1949609"/>
                    </a:xfrm>
                    <a:prstGeom prst="rect">
                      <a:avLst/>
                    </a:prstGeom>
                    <a:noFill/>
                    <a:ln>
                      <a:noFill/>
                    </a:ln>
                    <a:extLst>
                      <a:ext uri="{53640926-AAD7-44D8-BBD7-CCE9431645EC}">
                        <a14:shadowObscured xmlns:a14="http://schemas.microsoft.com/office/drawing/2010/main"/>
                      </a:ext>
                    </a:extLst>
                  </pic:spPr>
                </pic:pic>
              </a:graphicData>
            </a:graphic>
          </wp:inline>
        </w:drawing>
      </w:r>
    </w:p>
    <w:p w14:paraId="1B18DD2C" w14:textId="1C9B02F7" w:rsidR="00124B8E" w:rsidRPr="00577574" w:rsidRDefault="00124B8E" w:rsidP="00124B8E">
      <w:pPr>
        <w:rPr>
          <w:rFonts w:asciiTheme="minorHAnsi" w:hAnsiTheme="minorHAnsi" w:cs="Calibri"/>
          <w:position w:val="6"/>
          <w:sz w:val="10"/>
          <w:szCs w:val="10"/>
        </w:rPr>
      </w:pPr>
      <w:r w:rsidRPr="00AD3A9C">
        <w:rPr>
          <w:rFonts w:asciiTheme="minorHAnsi" w:hAnsiTheme="minorHAnsi" w:cs="Calibri"/>
          <w:b/>
          <w:bCs/>
          <w:sz w:val="18"/>
          <w:szCs w:val="18"/>
        </w:rPr>
        <w:t xml:space="preserve">Figure 6: Porosity and permeability in conventional </w:t>
      </w:r>
      <w:r w:rsidRPr="00577574">
        <w:rPr>
          <w:rFonts w:asciiTheme="minorHAnsi" w:hAnsiTheme="minorHAnsi" w:cs="Calibri"/>
          <w:b/>
          <w:bCs/>
          <w:color w:val="000000"/>
          <w:sz w:val="18"/>
          <w:szCs w:val="18"/>
        </w:rPr>
        <w:t>gas and unconventional gas reservoirs.</w:t>
      </w:r>
    </w:p>
    <w:p w14:paraId="63E150B0" w14:textId="77777777" w:rsidR="00577574" w:rsidRPr="00577574" w:rsidRDefault="00577574" w:rsidP="00577574">
      <w:pPr>
        <w:autoSpaceDE w:val="0"/>
        <w:autoSpaceDN w:val="0"/>
        <w:adjustRightInd w:val="0"/>
        <w:spacing w:before="160" w:after="100" w:line="321" w:lineRule="atLeast"/>
        <w:rPr>
          <w:rFonts w:ascii="Calibri" w:hAnsi="Calibri" w:cs="Calibri"/>
          <w:color w:val="000000"/>
          <w:sz w:val="32"/>
          <w:szCs w:val="32"/>
          <w:lang w:eastAsia="en-AU"/>
        </w:rPr>
      </w:pPr>
      <w:r w:rsidRPr="00577574">
        <w:rPr>
          <w:rFonts w:ascii="Calibri" w:hAnsi="Calibri" w:cs="Calibri"/>
          <w:b/>
          <w:bCs/>
          <w:color w:val="000000"/>
          <w:sz w:val="32"/>
          <w:szCs w:val="32"/>
          <w:lang w:eastAsia="en-AU"/>
        </w:rPr>
        <w:t>References</w:t>
      </w:r>
    </w:p>
    <w:p w14:paraId="55E15564" w14:textId="2E8F8B7C" w:rsidR="00577574" w:rsidRPr="00577574" w:rsidRDefault="00577574" w:rsidP="00577574">
      <w:pPr>
        <w:numPr>
          <w:ilvl w:val="0"/>
          <w:numId w:val="9"/>
        </w:numPr>
        <w:autoSpaceDE w:val="0"/>
        <w:autoSpaceDN w:val="0"/>
        <w:adjustRightInd w:val="0"/>
        <w:spacing w:after="179" w:line="240" w:lineRule="auto"/>
        <w:rPr>
          <w:rFonts w:ascii="Calibri" w:hAnsi="Calibri" w:cs="Calibri"/>
          <w:color w:val="000000"/>
          <w:sz w:val="21"/>
          <w:szCs w:val="21"/>
          <w:lang w:eastAsia="en-AU"/>
        </w:rPr>
      </w:pPr>
      <w:r w:rsidRPr="00577574">
        <w:rPr>
          <w:rFonts w:ascii="Calibri" w:hAnsi="Calibri" w:cs="Calibri"/>
          <w:color w:val="000000"/>
          <w:sz w:val="21"/>
          <w:szCs w:val="21"/>
          <w:lang w:eastAsia="en-AU"/>
        </w:rPr>
        <w:t xml:space="preserve">Geoscience Australia and BREE, 2014, Australian Energy Resource Assessment. 2nd Ed. Geoscience Australia, Canberra. </w:t>
      </w:r>
    </w:p>
    <w:p w14:paraId="4095B4EB" w14:textId="23A07B12" w:rsidR="00577574" w:rsidRPr="00577574" w:rsidRDefault="00577574" w:rsidP="00577574">
      <w:pPr>
        <w:numPr>
          <w:ilvl w:val="0"/>
          <w:numId w:val="9"/>
        </w:numPr>
        <w:autoSpaceDE w:val="0"/>
        <w:autoSpaceDN w:val="0"/>
        <w:adjustRightInd w:val="0"/>
        <w:spacing w:after="179" w:line="240" w:lineRule="auto"/>
        <w:rPr>
          <w:rFonts w:ascii="Calibri" w:hAnsi="Calibri" w:cs="Calibri"/>
          <w:color w:val="000000"/>
          <w:sz w:val="21"/>
          <w:szCs w:val="21"/>
          <w:lang w:eastAsia="en-AU"/>
        </w:rPr>
      </w:pPr>
      <w:r w:rsidRPr="00577574">
        <w:rPr>
          <w:rFonts w:ascii="Calibri" w:hAnsi="Calibri" w:cs="Calibri"/>
          <w:color w:val="000000"/>
          <w:sz w:val="21"/>
          <w:szCs w:val="21"/>
          <w:lang w:eastAsia="en-AU"/>
        </w:rPr>
        <w:t xml:space="preserve">Department of Industry, Innovation &amp; Science 2017. Unconventional Gas [Online], Department of Industry. Available from: </w:t>
      </w:r>
      <w:hyperlink r:id="rId19" w:history="1">
        <w:r w:rsidR="00AD3A9C" w:rsidRPr="001E4B17">
          <w:rPr>
            <w:rStyle w:val="Hyperlink"/>
            <w:rFonts w:ascii="Calibri" w:hAnsi="Calibri" w:cs="Calibri"/>
            <w:sz w:val="21"/>
            <w:szCs w:val="21"/>
            <w:lang w:eastAsia="en-AU"/>
          </w:rPr>
          <w:t>https://industry.gov.au/resource/UpstreamPetroleum/Pages/UnconventionalGas.aspx</w:t>
        </w:r>
      </w:hyperlink>
      <w:r w:rsidRPr="00AD3A9C">
        <w:rPr>
          <w:rFonts w:ascii="Calibri" w:hAnsi="Calibri" w:cs="Calibri"/>
          <w:color w:val="000000"/>
          <w:sz w:val="21"/>
          <w:szCs w:val="21"/>
          <w:lang w:eastAsia="en-AU"/>
        </w:rPr>
        <w:t xml:space="preserve"> </w:t>
      </w:r>
      <w:r w:rsidRPr="00577574">
        <w:rPr>
          <w:rFonts w:ascii="Calibri" w:hAnsi="Calibri" w:cs="Calibri"/>
          <w:color w:val="000000"/>
          <w:sz w:val="21"/>
          <w:szCs w:val="21"/>
          <w:lang w:eastAsia="en-AU"/>
        </w:rPr>
        <w:t>(</w:t>
      </w:r>
      <w:r w:rsidR="00AD3A9C">
        <w:rPr>
          <w:rFonts w:ascii="Calibri" w:hAnsi="Calibri" w:cs="Calibri"/>
          <w:color w:val="000000"/>
          <w:sz w:val="21"/>
          <w:szCs w:val="21"/>
          <w:lang w:eastAsia="en-AU"/>
        </w:rPr>
        <w:t>22</w:t>
      </w:r>
      <w:r w:rsidRPr="00577574">
        <w:rPr>
          <w:rFonts w:ascii="Calibri" w:hAnsi="Calibri" w:cs="Calibri"/>
          <w:color w:val="000000"/>
          <w:sz w:val="21"/>
          <w:szCs w:val="21"/>
          <w:lang w:eastAsia="en-AU"/>
        </w:rPr>
        <w:t>/0</w:t>
      </w:r>
      <w:r w:rsidR="00AD3A9C">
        <w:rPr>
          <w:rFonts w:ascii="Calibri" w:hAnsi="Calibri" w:cs="Calibri"/>
          <w:color w:val="000000"/>
          <w:sz w:val="21"/>
          <w:szCs w:val="21"/>
          <w:lang w:eastAsia="en-AU"/>
        </w:rPr>
        <w:t>6</w:t>
      </w:r>
      <w:r w:rsidRPr="00577574">
        <w:rPr>
          <w:rFonts w:ascii="Calibri" w:hAnsi="Calibri" w:cs="Calibri"/>
          <w:color w:val="000000"/>
          <w:sz w:val="21"/>
          <w:szCs w:val="21"/>
          <w:lang w:eastAsia="en-AU"/>
        </w:rPr>
        <w:t>/201</w:t>
      </w:r>
      <w:r w:rsidR="00AD3A9C">
        <w:rPr>
          <w:rFonts w:ascii="Calibri" w:hAnsi="Calibri" w:cs="Calibri"/>
          <w:color w:val="000000"/>
          <w:sz w:val="21"/>
          <w:szCs w:val="21"/>
          <w:lang w:eastAsia="en-AU"/>
        </w:rPr>
        <w:t>8</w:t>
      </w:r>
      <w:r w:rsidRPr="00577574">
        <w:rPr>
          <w:rFonts w:ascii="Calibri" w:hAnsi="Calibri" w:cs="Calibri"/>
          <w:color w:val="000000"/>
          <w:sz w:val="21"/>
          <w:szCs w:val="21"/>
          <w:lang w:eastAsia="en-AU"/>
        </w:rPr>
        <w:t>)</w:t>
      </w:r>
    </w:p>
    <w:p w14:paraId="202D56D0" w14:textId="34F12BFC" w:rsidR="00577574" w:rsidRPr="00BC1010" w:rsidRDefault="00577574" w:rsidP="00BC1010">
      <w:pPr>
        <w:numPr>
          <w:ilvl w:val="0"/>
          <w:numId w:val="9"/>
        </w:numPr>
        <w:autoSpaceDE w:val="0"/>
        <w:autoSpaceDN w:val="0"/>
        <w:adjustRightInd w:val="0"/>
        <w:spacing w:after="0" w:line="240" w:lineRule="auto"/>
        <w:rPr>
          <w:rFonts w:ascii="Calibri" w:hAnsi="Calibri" w:cs="Calibri"/>
          <w:color w:val="000000"/>
          <w:sz w:val="21"/>
          <w:szCs w:val="21"/>
          <w:lang w:eastAsia="en-AU"/>
        </w:rPr>
      </w:pPr>
      <w:r w:rsidRPr="00577574">
        <w:rPr>
          <w:rFonts w:ascii="Calibri" w:hAnsi="Calibri" w:cs="Calibri"/>
          <w:color w:val="000000"/>
          <w:sz w:val="21"/>
          <w:szCs w:val="21"/>
          <w:lang w:eastAsia="en-AU"/>
        </w:rPr>
        <w:t>The Scientific Inquiry into Hydraulic Fracturing in the Northern Territory 201</w:t>
      </w:r>
      <w:r w:rsidR="00AD3A9C">
        <w:rPr>
          <w:rFonts w:ascii="Calibri" w:hAnsi="Calibri" w:cs="Calibri"/>
          <w:color w:val="000000"/>
          <w:sz w:val="21"/>
          <w:szCs w:val="21"/>
          <w:lang w:eastAsia="en-AU"/>
        </w:rPr>
        <w:t>8</w:t>
      </w:r>
      <w:r w:rsidRPr="00577574">
        <w:rPr>
          <w:rFonts w:ascii="Calibri" w:hAnsi="Calibri" w:cs="Calibri"/>
          <w:color w:val="000000"/>
          <w:sz w:val="21"/>
          <w:szCs w:val="21"/>
          <w:lang w:eastAsia="en-AU"/>
        </w:rPr>
        <w:t xml:space="preserve">. </w:t>
      </w:r>
      <w:r w:rsidR="00AD3A9C">
        <w:rPr>
          <w:rFonts w:ascii="Calibri" w:hAnsi="Calibri" w:cs="Calibri"/>
          <w:color w:val="000000"/>
          <w:sz w:val="21"/>
          <w:szCs w:val="21"/>
          <w:lang w:eastAsia="en-AU"/>
        </w:rPr>
        <w:t>Final R</w:t>
      </w:r>
      <w:r w:rsidRPr="00577574">
        <w:rPr>
          <w:rFonts w:ascii="Calibri" w:hAnsi="Calibri" w:cs="Calibri"/>
          <w:color w:val="000000"/>
          <w:sz w:val="21"/>
          <w:szCs w:val="21"/>
          <w:lang w:eastAsia="en-AU"/>
        </w:rPr>
        <w:t>eport</w:t>
      </w:r>
      <w:r w:rsidR="00AD3A9C">
        <w:rPr>
          <w:rFonts w:ascii="Calibri" w:hAnsi="Calibri" w:cs="Calibri"/>
          <w:color w:val="000000"/>
          <w:sz w:val="21"/>
          <w:szCs w:val="21"/>
          <w:lang w:eastAsia="en-AU"/>
        </w:rPr>
        <w:t>.</w:t>
      </w:r>
      <w:r w:rsidRPr="00577574">
        <w:rPr>
          <w:rFonts w:ascii="Calibri" w:hAnsi="Calibri" w:cs="Calibri"/>
          <w:color w:val="000000"/>
          <w:sz w:val="21"/>
          <w:szCs w:val="21"/>
          <w:lang w:eastAsia="en-AU"/>
        </w:rPr>
        <w:t xml:space="preserve"> </w:t>
      </w:r>
      <w:r w:rsidR="00AD3A9C">
        <w:rPr>
          <w:rFonts w:ascii="Calibri" w:hAnsi="Calibri" w:cs="Calibri"/>
          <w:color w:val="000000"/>
          <w:sz w:val="21"/>
          <w:szCs w:val="21"/>
          <w:lang w:eastAsia="en-AU"/>
        </w:rPr>
        <w:t>A</w:t>
      </w:r>
      <w:r w:rsidRPr="00577574">
        <w:rPr>
          <w:rFonts w:ascii="Calibri" w:hAnsi="Calibri" w:cs="Calibri"/>
          <w:color w:val="000000"/>
          <w:sz w:val="21"/>
          <w:szCs w:val="21"/>
          <w:lang w:eastAsia="en-AU"/>
        </w:rPr>
        <w:t xml:space="preserve">vailable from: </w:t>
      </w:r>
      <w:hyperlink r:id="rId20" w:history="1">
        <w:r w:rsidR="00AD3A9C">
          <w:rPr>
            <w:rStyle w:val="Hyperlink"/>
            <w:rFonts w:ascii="Calibri" w:hAnsi="Calibri" w:cs="Calibri"/>
            <w:sz w:val="21"/>
            <w:szCs w:val="21"/>
            <w:lang w:eastAsia="en-AU"/>
          </w:rPr>
          <w:t>https://frackinginquiry.nt.gov.au/inquiry-reports</w:t>
        </w:r>
      </w:hyperlink>
      <w:r w:rsidR="00AD3A9C" w:rsidRPr="00AD3A9C">
        <w:rPr>
          <w:rFonts w:ascii="Calibri" w:hAnsi="Calibri" w:cs="Calibri"/>
          <w:color w:val="000000"/>
          <w:sz w:val="21"/>
          <w:szCs w:val="21"/>
          <w:lang w:eastAsia="en-AU"/>
        </w:rPr>
        <w:t xml:space="preserve"> (</w:t>
      </w:r>
      <w:r w:rsidR="00AD3A9C">
        <w:rPr>
          <w:rFonts w:ascii="Calibri" w:hAnsi="Calibri" w:cs="Calibri"/>
          <w:color w:val="000000"/>
          <w:sz w:val="21"/>
          <w:szCs w:val="21"/>
          <w:lang w:eastAsia="en-AU"/>
        </w:rPr>
        <w:t>12/07/2018</w:t>
      </w:r>
      <w:r w:rsidR="00AD3A9C" w:rsidRPr="00AD3A9C">
        <w:rPr>
          <w:rFonts w:ascii="Calibri" w:hAnsi="Calibri" w:cs="Calibri"/>
          <w:color w:val="000000"/>
          <w:sz w:val="21"/>
          <w:szCs w:val="21"/>
          <w:lang w:eastAsia="en-AU"/>
        </w:rPr>
        <w:t>)</w:t>
      </w:r>
    </w:p>
    <w:sectPr w:rsidR="00577574" w:rsidRPr="00BC1010" w:rsidSect="00837719">
      <w:footerReference w:type="default" r:id="rId21"/>
      <w:pgSz w:w="11906" w:h="16838"/>
      <w:pgMar w:top="851" w:right="851" w:bottom="851" w:left="851"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04AA61" w14:textId="77777777" w:rsidR="00577574" w:rsidRDefault="00577574" w:rsidP="00A60185">
      <w:pPr>
        <w:spacing w:after="0" w:line="240" w:lineRule="auto"/>
      </w:pPr>
      <w:r>
        <w:separator/>
      </w:r>
    </w:p>
  </w:endnote>
  <w:endnote w:type="continuationSeparator" w:id="0">
    <w:p w14:paraId="7BB57AE5" w14:textId="77777777" w:rsidR="00577574" w:rsidRDefault="00577574"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 New Roman PS MT">
    <w:altName w:val="Times New Roman PS MT"/>
    <w:panose1 w:val="00000000000000000000"/>
    <w:charset w:val="00"/>
    <w:family w:val="roman"/>
    <w:notTrueType/>
    <w:pitch w:val="default"/>
    <w:sig w:usb0="00000003" w:usb1="00000000" w:usb2="00000000" w:usb3="00000000" w:csb0="00000001" w:csb1="00000000"/>
  </w:font>
  <w:font w:name="Garamond">
    <w:altName w:val="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43830"/>
      <w:docPartObj>
        <w:docPartGallery w:val="Page Numbers (Bottom of Page)"/>
        <w:docPartUnique/>
      </w:docPartObj>
    </w:sdtPr>
    <w:sdtEndPr/>
    <w:sdtContent>
      <w:p w14:paraId="45BF0B00" w14:textId="77777777" w:rsidR="00100BEF" w:rsidRDefault="00BE5AC4">
        <w:pPr>
          <w:pStyle w:val="Footer"/>
          <w:jc w:val="center"/>
        </w:pPr>
        <w:r>
          <w:fldChar w:fldCharType="begin"/>
        </w:r>
        <w:r>
          <w:instrText xml:space="preserve"> PAGE   \* MERGEFORMAT </w:instrText>
        </w:r>
        <w:r>
          <w:fldChar w:fldCharType="separate"/>
        </w:r>
        <w:r w:rsidR="00DA0079">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ED4B44" w14:textId="77777777" w:rsidR="00577574" w:rsidRDefault="00577574" w:rsidP="00A60185">
      <w:pPr>
        <w:spacing w:after="0" w:line="240" w:lineRule="auto"/>
      </w:pPr>
      <w:r>
        <w:separator/>
      </w:r>
    </w:p>
  </w:footnote>
  <w:footnote w:type="continuationSeparator" w:id="0">
    <w:p w14:paraId="7AEFFC8D" w14:textId="77777777" w:rsidR="00577574" w:rsidRDefault="00577574" w:rsidP="00A601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4C2B959"/>
    <w:multiLevelType w:val="hybridMultilevel"/>
    <w:tmpl w:val="D502E60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1F745BC2"/>
    <w:multiLevelType w:val="multilevel"/>
    <w:tmpl w:val="E5E89F92"/>
    <w:numStyleLink w:val="BulletList"/>
  </w:abstractNum>
  <w:abstractNum w:abstractNumId="3" w15:restartNumberingAfterBreak="0">
    <w:nsid w:val="21A9D500"/>
    <w:multiLevelType w:val="hybridMultilevel"/>
    <w:tmpl w:val="0D5C027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A57345F"/>
    <w:multiLevelType w:val="hybridMultilevel"/>
    <w:tmpl w:val="43E4E8A8"/>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65456429"/>
    <w:multiLevelType w:val="multilevel"/>
    <w:tmpl w:val="E898CC72"/>
    <w:numStyleLink w:val="KeyPoints"/>
  </w:abstractNum>
  <w:abstractNum w:abstractNumId="8" w15:restartNumberingAfterBreak="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num w:numId="1">
    <w:abstractNumId w:val="8"/>
  </w:num>
  <w:num w:numId="2">
    <w:abstractNumId w:val="1"/>
  </w:num>
  <w:num w:numId="3">
    <w:abstractNumId w:val="6"/>
  </w:num>
  <w:num w:numId="4">
    <w:abstractNumId w:val="5"/>
  </w:num>
  <w:num w:numId="5">
    <w:abstractNumId w:val="7"/>
  </w:num>
  <w:num w:numId="6">
    <w:abstractNumId w:val="2"/>
  </w:num>
  <w:num w:numId="7">
    <w:abstractNumId w:val="0"/>
  </w:num>
  <w:num w:numId="8">
    <w:abstractNumId w:val="3"/>
  </w:num>
  <w:num w:numId="9">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574"/>
    <w:rsid w:val="00004AEE"/>
    <w:rsid w:val="00005CAA"/>
    <w:rsid w:val="00010210"/>
    <w:rsid w:val="00012D66"/>
    <w:rsid w:val="00015ADA"/>
    <w:rsid w:val="00020C99"/>
    <w:rsid w:val="000230D8"/>
    <w:rsid w:val="0002707B"/>
    <w:rsid w:val="0005148E"/>
    <w:rsid w:val="000613CD"/>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CF2"/>
    <w:rsid w:val="00100BEF"/>
    <w:rsid w:val="00111326"/>
    <w:rsid w:val="0011498E"/>
    <w:rsid w:val="00117A45"/>
    <w:rsid w:val="001224AE"/>
    <w:rsid w:val="00124B8E"/>
    <w:rsid w:val="001337D4"/>
    <w:rsid w:val="00147C12"/>
    <w:rsid w:val="001527A1"/>
    <w:rsid w:val="001530DC"/>
    <w:rsid w:val="00154989"/>
    <w:rsid w:val="00155A9F"/>
    <w:rsid w:val="00160262"/>
    <w:rsid w:val="0016780A"/>
    <w:rsid w:val="001713FA"/>
    <w:rsid w:val="00173EBF"/>
    <w:rsid w:val="00175ED3"/>
    <w:rsid w:val="001842A2"/>
    <w:rsid w:val="00187FA8"/>
    <w:rsid w:val="00192F5E"/>
    <w:rsid w:val="00197772"/>
    <w:rsid w:val="001A51C8"/>
    <w:rsid w:val="001B4CA8"/>
    <w:rsid w:val="001B5EA1"/>
    <w:rsid w:val="001B7A07"/>
    <w:rsid w:val="001C4F3D"/>
    <w:rsid w:val="001D0CDC"/>
    <w:rsid w:val="001D1D82"/>
    <w:rsid w:val="001D7F95"/>
    <w:rsid w:val="001E1182"/>
    <w:rsid w:val="00202C90"/>
    <w:rsid w:val="00213DE8"/>
    <w:rsid w:val="00216118"/>
    <w:rsid w:val="002209AB"/>
    <w:rsid w:val="002251E3"/>
    <w:rsid w:val="00227A95"/>
    <w:rsid w:val="002316BD"/>
    <w:rsid w:val="00241D5F"/>
    <w:rsid w:val="002473FC"/>
    <w:rsid w:val="00252E3C"/>
    <w:rsid w:val="00262198"/>
    <w:rsid w:val="00285F1B"/>
    <w:rsid w:val="00292B81"/>
    <w:rsid w:val="002B18AE"/>
    <w:rsid w:val="002C1C93"/>
    <w:rsid w:val="002C5066"/>
    <w:rsid w:val="002C5813"/>
    <w:rsid w:val="002D4AAC"/>
    <w:rsid w:val="002F045A"/>
    <w:rsid w:val="0030039D"/>
    <w:rsid w:val="0030326F"/>
    <w:rsid w:val="00305FDC"/>
    <w:rsid w:val="00310701"/>
    <w:rsid w:val="00315980"/>
    <w:rsid w:val="00316F7F"/>
    <w:rsid w:val="003218E8"/>
    <w:rsid w:val="00325E34"/>
    <w:rsid w:val="00330DCE"/>
    <w:rsid w:val="00331E11"/>
    <w:rsid w:val="00334761"/>
    <w:rsid w:val="00337EBC"/>
    <w:rsid w:val="00341DCD"/>
    <w:rsid w:val="00343A3C"/>
    <w:rsid w:val="0034563E"/>
    <w:rsid w:val="003518D6"/>
    <w:rsid w:val="0035460C"/>
    <w:rsid w:val="003556BD"/>
    <w:rsid w:val="00365147"/>
    <w:rsid w:val="0037016E"/>
    <w:rsid w:val="00372908"/>
    <w:rsid w:val="00383020"/>
    <w:rsid w:val="00394D7E"/>
    <w:rsid w:val="003975FD"/>
    <w:rsid w:val="003B057D"/>
    <w:rsid w:val="003B60CC"/>
    <w:rsid w:val="003B6945"/>
    <w:rsid w:val="003C1B25"/>
    <w:rsid w:val="003C2443"/>
    <w:rsid w:val="003C5DA3"/>
    <w:rsid w:val="003D4BCD"/>
    <w:rsid w:val="003D6C2B"/>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7169"/>
    <w:rsid w:val="00500D66"/>
    <w:rsid w:val="00514C8E"/>
    <w:rsid w:val="00520DDE"/>
    <w:rsid w:val="00531248"/>
    <w:rsid w:val="00531DBF"/>
    <w:rsid w:val="0054489F"/>
    <w:rsid w:val="00545759"/>
    <w:rsid w:val="00545BE0"/>
    <w:rsid w:val="00546930"/>
    <w:rsid w:val="00554C6A"/>
    <w:rsid w:val="00562E85"/>
    <w:rsid w:val="0056332F"/>
    <w:rsid w:val="005719B3"/>
    <w:rsid w:val="0057295E"/>
    <w:rsid w:val="00577574"/>
    <w:rsid w:val="00581C39"/>
    <w:rsid w:val="005903B6"/>
    <w:rsid w:val="005A0247"/>
    <w:rsid w:val="005A126E"/>
    <w:rsid w:val="005A452F"/>
    <w:rsid w:val="005B140D"/>
    <w:rsid w:val="005C1FEA"/>
    <w:rsid w:val="005C3495"/>
    <w:rsid w:val="005E3DFC"/>
    <w:rsid w:val="005E5942"/>
    <w:rsid w:val="005E60AF"/>
    <w:rsid w:val="005F1DEA"/>
    <w:rsid w:val="00607ED8"/>
    <w:rsid w:val="00607FC9"/>
    <w:rsid w:val="00611663"/>
    <w:rsid w:val="00622FE1"/>
    <w:rsid w:val="0062521C"/>
    <w:rsid w:val="00630A2B"/>
    <w:rsid w:val="00632DC7"/>
    <w:rsid w:val="006357FB"/>
    <w:rsid w:val="006406FC"/>
    <w:rsid w:val="00640E57"/>
    <w:rsid w:val="00646122"/>
    <w:rsid w:val="00653E16"/>
    <w:rsid w:val="00657220"/>
    <w:rsid w:val="00657362"/>
    <w:rsid w:val="0066104B"/>
    <w:rsid w:val="006655EE"/>
    <w:rsid w:val="00667C10"/>
    <w:rsid w:val="00667EF4"/>
    <w:rsid w:val="00676FCA"/>
    <w:rsid w:val="00677177"/>
    <w:rsid w:val="0068612E"/>
    <w:rsid w:val="00687C92"/>
    <w:rsid w:val="0069534E"/>
    <w:rsid w:val="0069669C"/>
    <w:rsid w:val="006A1200"/>
    <w:rsid w:val="006A4F4E"/>
    <w:rsid w:val="006A6C23"/>
    <w:rsid w:val="006B14DB"/>
    <w:rsid w:val="006B21C4"/>
    <w:rsid w:val="006C4A1A"/>
    <w:rsid w:val="006D0393"/>
    <w:rsid w:val="006D1A83"/>
    <w:rsid w:val="006E1CFE"/>
    <w:rsid w:val="006F10C4"/>
    <w:rsid w:val="006F40E9"/>
    <w:rsid w:val="006F5603"/>
    <w:rsid w:val="006F7B87"/>
    <w:rsid w:val="00701400"/>
    <w:rsid w:val="007037CF"/>
    <w:rsid w:val="007167C0"/>
    <w:rsid w:val="00720481"/>
    <w:rsid w:val="00733193"/>
    <w:rsid w:val="00744DDA"/>
    <w:rsid w:val="00745E03"/>
    <w:rsid w:val="0075732A"/>
    <w:rsid w:val="007600F8"/>
    <w:rsid w:val="00760262"/>
    <w:rsid w:val="0076310C"/>
    <w:rsid w:val="0076744F"/>
    <w:rsid w:val="00767BCE"/>
    <w:rsid w:val="00767EFC"/>
    <w:rsid w:val="007707DE"/>
    <w:rsid w:val="00770B5D"/>
    <w:rsid w:val="007752F1"/>
    <w:rsid w:val="00776768"/>
    <w:rsid w:val="0078187A"/>
    <w:rsid w:val="00794ED8"/>
    <w:rsid w:val="007A2573"/>
    <w:rsid w:val="007B106C"/>
    <w:rsid w:val="007B1A4E"/>
    <w:rsid w:val="007B3D05"/>
    <w:rsid w:val="007B5503"/>
    <w:rsid w:val="007C179C"/>
    <w:rsid w:val="007C6BB3"/>
    <w:rsid w:val="007D14B4"/>
    <w:rsid w:val="007D3AD7"/>
    <w:rsid w:val="007E24F6"/>
    <w:rsid w:val="008005BA"/>
    <w:rsid w:val="00800F64"/>
    <w:rsid w:val="00801050"/>
    <w:rsid w:val="00802F0B"/>
    <w:rsid w:val="00810A67"/>
    <w:rsid w:val="00813DDE"/>
    <w:rsid w:val="00833CF7"/>
    <w:rsid w:val="00834CDE"/>
    <w:rsid w:val="00837719"/>
    <w:rsid w:val="00842464"/>
    <w:rsid w:val="00845601"/>
    <w:rsid w:val="00855C5C"/>
    <w:rsid w:val="008A3C96"/>
    <w:rsid w:val="008B4019"/>
    <w:rsid w:val="008B65C9"/>
    <w:rsid w:val="008C2D4A"/>
    <w:rsid w:val="008D1E36"/>
    <w:rsid w:val="008D3900"/>
    <w:rsid w:val="008D6E1D"/>
    <w:rsid w:val="008F39B4"/>
    <w:rsid w:val="008F4162"/>
    <w:rsid w:val="00903E02"/>
    <w:rsid w:val="00905644"/>
    <w:rsid w:val="00906997"/>
    <w:rsid w:val="00913175"/>
    <w:rsid w:val="00916EDB"/>
    <w:rsid w:val="00920861"/>
    <w:rsid w:val="00922B13"/>
    <w:rsid w:val="009242EF"/>
    <w:rsid w:val="00932291"/>
    <w:rsid w:val="00932861"/>
    <w:rsid w:val="0093408E"/>
    <w:rsid w:val="00952DDF"/>
    <w:rsid w:val="009610A3"/>
    <w:rsid w:val="00963B6A"/>
    <w:rsid w:val="00970950"/>
    <w:rsid w:val="009812D4"/>
    <w:rsid w:val="009920D8"/>
    <w:rsid w:val="009952F5"/>
    <w:rsid w:val="009A6DB7"/>
    <w:rsid w:val="009B38BE"/>
    <w:rsid w:val="009C3D0F"/>
    <w:rsid w:val="009E1B19"/>
    <w:rsid w:val="009F35E2"/>
    <w:rsid w:val="009F65F9"/>
    <w:rsid w:val="009F68BA"/>
    <w:rsid w:val="00A0340B"/>
    <w:rsid w:val="00A06277"/>
    <w:rsid w:val="00A079DC"/>
    <w:rsid w:val="00A111C2"/>
    <w:rsid w:val="00A338E7"/>
    <w:rsid w:val="00A35CAA"/>
    <w:rsid w:val="00A35F9A"/>
    <w:rsid w:val="00A36E7F"/>
    <w:rsid w:val="00A41E65"/>
    <w:rsid w:val="00A43E0A"/>
    <w:rsid w:val="00A530C7"/>
    <w:rsid w:val="00A53593"/>
    <w:rsid w:val="00A55F5B"/>
    <w:rsid w:val="00A60185"/>
    <w:rsid w:val="00A661EA"/>
    <w:rsid w:val="00A830E5"/>
    <w:rsid w:val="00A87135"/>
    <w:rsid w:val="00A93280"/>
    <w:rsid w:val="00A951EA"/>
    <w:rsid w:val="00AA0C34"/>
    <w:rsid w:val="00AA2548"/>
    <w:rsid w:val="00AA58C4"/>
    <w:rsid w:val="00AA7003"/>
    <w:rsid w:val="00AB11C8"/>
    <w:rsid w:val="00AC08A8"/>
    <w:rsid w:val="00AD3A9C"/>
    <w:rsid w:val="00AD56C8"/>
    <w:rsid w:val="00AD58F2"/>
    <w:rsid w:val="00B0512A"/>
    <w:rsid w:val="00B0529F"/>
    <w:rsid w:val="00B1418B"/>
    <w:rsid w:val="00B21195"/>
    <w:rsid w:val="00B24B22"/>
    <w:rsid w:val="00B25310"/>
    <w:rsid w:val="00B32F8F"/>
    <w:rsid w:val="00B34679"/>
    <w:rsid w:val="00B3492A"/>
    <w:rsid w:val="00B54DE9"/>
    <w:rsid w:val="00B553EC"/>
    <w:rsid w:val="00B55E3F"/>
    <w:rsid w:val="00B63C1E"/>
    <w:rsid w:val="00B93DD0"/>
    <w:rsid w:val="00B97732"/>
    <w:rsid w:val="00BA65A8"/>
    <w:rsid w:val="00BA6D19"/>
    <w:rsid w:val="00BA7461"/>
    <w:rsid w:val="00BA7DA9"/>
    <w:rsid w:val="00BC1010"/>
    <w:rsid w:val="00BC4215"/>
    <w:rsid w:val="00BD1A6F"/>
    <w:rsid w:val="00BE03E6"/>
    <w:rsid w:val="00BE5AC4"/>
    <w:rsid w:val="00BE6D3C"/>
    <w:rsid w:val="00BE7852"/>
    <w:rsid w:val="00BF7CEE"/>
    <w:rsid w:val="00C02739"/>
    <w:rsid w:val="00C03880"/>
    <w:rsid w:val="00C135CF"/>
    <w:rsid w:val="00C2683F"/>
    <w:rsid w:val="00C3184D"/>
    <w:rsid w:val="00C4714E"/>
    <w:rsid w:val="00C51CCA"/>
    <w:rsid w:val="00C5504F"/>
    <w:rsid w:val="00C57B55"/>
    <w:rsid w:val="00C63376"/>
    <w:rsid w:val="00C74F97"/>
    <w:rsid w:val="00C8276E"/>
    <w:rsid w:val="00C842AC"/>
    <w:rsid w:val="00C96688"/>
    <w:rsid w:val="00CA0723"/>
    <w:rsid w:val="00CB0001"/>
    <w:rsid w:val="00CB1690"/>
    <w:rsid w:val="00CC4365"/>
    <w:rsid w:val="00CD11B0"/>
    <w:rsid w:val="00CE1B8A"/>
    <w:rsid w:val="00CE71C2"/>
    <w:rsid w:val="00CF34E9"/>
    <w:rsid w:val="00CF42D5"/>
    <w:rsid w:val="00CF4EDA"/>
    <w:rsid w:val="00D021CB"/>
    <w:rsid w:val="00D10F1A"/>
    <w:rsid w:val="00D116F8"/>
    <w:rsid w:val="00D17596"/>
    <w:rsid w:val="00D21D54"/>
    <w:rsid w:val="00D22640"/>
    <w:rsid w:val="00D26D3A"/>
    <w:rsid w:val="00D45EE3"/>
    <w:rsid w:val="00D50618"/>
    <w:rsid w:val="00D509E9"/>
    <w:rsid w:val="00D53B1C"/>
    <w:rsid w:val="00D7065E"/>
    <w:rsid w:val="00DA0079"/>
    <w:rsid w:val="00DA1B12"/>
    <w:rsid w:val="00DA54C9"/>
    <w:rsid w:val="00DA6739"/>
    <w:rsid w:val="00DA6CAE"/>
    <w:rsid w:val="00DB1A9E"/>
    <w:rsid w:val="00DB31D6"/>
    <w:rsid w:val="00DB4005"/>
    <w:rsid w:val="00DC34EB"/>
    <w:rsid w:val="00DE2C9E"/>
    <w:rsid w:val="00DF1E5B"/>
    <w:rsid w:val="00DF2275"/>
    <w:rsid w:val="00DF2CEE"/>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3F3A"/>
    <w:rsid w:val="00EA416C"/>
    <w:rsid w:val="00EA5941"/>
    <w:rsid w:val="00EB60CE"/>
    <w:rsid w:val="00EB7D53"/>
    <w:rsid w:val="00EE3146"/>
    <w:rsid w:val="00EF50BB"/>
    <w:rsid w:val="00EF53FF"/>
    <w:rsid w:val="00F00192"/>
    <w:rsid w:val="00F01DF6"/>
    <w:rsid w:val="00F0340D"/>
    <w:rsid w:val="00F059A6"/>
    <w:rsid w:val="00F23756"/>
    <w:rsid w:val="00F2523A"/>
    <w:rsid w:val="00F25FFA"/>
    <w:rsid w:val="00F310D2"/>
    <w:rsid w:val="00F36F3D"/>
    <w:rsid w:val="00F45B15"/>
    <w:rsid w:val="00F477BD"/>
    <w:rsid w:val="00F52FAE"/>
    <w:rsid w:val="00F53491"/>
    <w:rsid w:val="00F65A1C"/>
    <w:rsid w:val="00F66F50"/>
    <w:rsid w:val="00F82FF8"/>
    <w:rsid w:val="00F8330D"/>
    <w:rsid w:val="00F84305"/>
    <w:rsid w:val="00F8485C"/>
    <w:rsid w:val="00F87149"/>
    <w:rsid w:val="00F87FFE"/>
    <w:rsid w:val="00F954C9"/>
    <w:rsid w:val="00FA4CF0"/>
    <w:rsid w:val="00FA4E0A"/>
    <w:rsid w:val="00FA61AA"/>
    <w:rsid w:val="00FA69A4"/>
    <w:rsid w:val="00FB1279"/>
    <w:rsid w:val="00FB1495"/>
    <w:rsid w:val="00FC5EEB"/>
    <w:rsid w:val="00FD1694"/>
    <w:rsid w:val="00FD540D"/>
    <w:rsid w:val="00FD7636"/>
    <w:rsid w:val="00FE3229"/>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B9979"/>
  <w15:chartTrackingRefBased/>
  <w15:docId w15:val="{52C39F80-DF8B-4ECD-B333-082035600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B8E"/>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6"/>
      </w:numPr>
    </w:pPr>
  </w:style>
  <w:style w:type="paragraph" w:styleId="ListBullet2">
    <w:name w:val="List Bullet 2"/>
    <w:basedOn w:val="Normal"/>
    <w:uiPriority w:val="99"/>
    <w:unhideWhenUsed/>
    <w:rsid w:val="00091608"/>
    <w:pPr>
      <w:numPr>
        <w:ilvl w:val="1"/>
        <w:numId w:val="6"/>
      </w:numPr>
    </w:pPr>
  </w:style>
  <w:style w:type="paragraph" w:styleId="ListBullet3">
    <w:name w:val="List Bullet 3"/>
    <w:basedOn w:val="Normal"/>
    <w:uiPriority w:val="99"/>
    <w:unhideWhenUsed/>
    <w:rsid w:val="00091608"/>
    <w:pPr>
      <w:numPr>
        <w:ilvl w:val="2"/>
        <w:numId w:val="6"/>
      </w:numPr>
    </w:pPr>
  </w:style>
  <w:style w:type="paragraph" w:styleId="ListBullet4">
    <w:name w:val="List Bullet 4"/>
    <w:basedOn w:val="Normal"/>
    <w:uiPriority w:val="99"/>
    <w:unhideWhenUsed/>
    <w:rsid w:val="00091608"/>
    <w:pPr>
      <w:numPr>
        <w:ilvl w:val="3"/>
        <w:numId w:val="6"/>
      </w:numPr>
    </w:pPr>
  </w:style>
  <w:style w:type="paragraph" w:styleId="ListBullet5">
    <w:name w:val="List Bullet 5"/>
    <w:basedOn w:val="Normal"/>
    <w:uiPriority w:val="99"/>
    <w:unhideWhenUsed/>
    <w:rsid w:val="00091608"/>
    <w:pPr>
      <w:numPr>
        <w:ilvl w:val="4"/>
        <w:numId w:val="6"/>
      </w:numPr>
    </w:pPr>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5"/>
      </w:numPr>
    </w:pPr>
  </w:style>
  <w:style w:type="paragraph" w:styleId="ListNumber2">
    <w:name w:val="List Number 2"/>
    <w:basedOn w:val="Normal"/>
    <w:uiPriority w:val="99"/>
    <w:rsid w:val="00005CAA"/>
    <w:pPr>
      <w:numPr>
        <w:ilvl w:val="1"/>
        <w:numId w:val="5"/>
      </w:numPr>
    </w:pPr>
  </w:style>
  <w:style w:type="paragraph" w:styleId="ListNumber3">
    <w:name w:val="List Number 3"/>
    <w:basedOn w:val="Normal"/>
    <w:uiPriority w:val="99"/>
    <w:rsid w:val="00005CAA"/>
    <w:pPr>
      <w:numPr>
        <w:ilvl w:val="2"/>
        <w:numId w:val="5"/>
      </w:numPr>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paragraph" w:customStyle="1" w:styleId="Default">
    <w:name w:val="Default"/>
    <w:rsid w:val="00577574"/>
    <w:pPr>
      <w:autoSpaceDE w:val="0"/>
      <w:autoSpaceDN w:val="0"/>
      <w:adjustRightInd w:val="0"/>
    </w:pPr>
    <w:rPr>
      <w:rFonts w:ascii="Times New Roman PS MT" w:hAnsi="Times New Roman PS MT" w:cs="Times New Roman PS MT"/>
      <w:color w:val="000000"/>
      <w:sz w:val="24"/>
      <w:szCs w:val="24"/>
    </w:rPr>
  </w:style>
  <w:style w:type="paragraph" w:customStyle="1" w:styleId="Pa0">
    <w:name w:val="Pa0"/>
    <w:basedOn w:val="Default"/>
    <w:next w:val="Default"/>
    <w:uiPriority w:val="99"/>
    <w:rsid w:val="00577574"/>
    <w:pPr>
      <w:spacing w:line="321" w:lineRule="atLeast"/>
    </w:pPr>
    <w:rPr>
      <w:rFonts w:cs="Times New Roman"/>
      <w:color w:val="auto"/>
    </w:rPr>
  </w:style>
  <w:style w:type="paragraph" w:customStyle="1" w:styleId="Pa1">
    <w:name w:val="Pa1"/>
    <w:basedOn w:val="Default"/>
    <w:next w:val="Default"/>
    <w:uiPriority w:val="99"/>
    <w:rsid w:val="00577574"/>
    <w:pPr>
      <w:spacing w:line="211" w:lineRule="atLeast"/>
    </w:pPr>
    <w:rPr>
      <w:rFonts w:cs="Times New Roman"/>
      <w:color w:val="auto"/>
    </w:rPr>
  </w:style>
  <w:style w:type="character" w:customStyle="1" w:styleId="A6">
    <w:name w:val="A6"/>
    <w:uiPriority w:val="99"/>
    <w:rsid w:val="00577574"/>
    <w:rPr>
      <w:rFonts w:ascii="Garamond" w:hAnsi="Garamond" w:cs="Garamond"/>
      <w:b/>
      <w:bCs/>
      <w:color w:val="000000"/>
    </w:rPr>
  </w:style>
  <w:style w:type="paragraph" w:customStyle="1" w:styleId="Pa2">
    <w:name w:val="Pa2"/>
    <w:basedOn w:val="Default"/>
    <w:next w:val="Default"/>
    <w:uiPriority w:val="99"/>
    <w:rsid w:val="00577574"/>
    <w:pPr>
      <w:spacing w:line="201" w:lineRule="atLeast"/>
    </w:pPr>
    <w:rPr>
      <w:rFonts w:cs="Times New Roman"/>
      <w:color w:val="auto"/>
    </w:rPr>
  </w:style>
  <w:style w:type="character" w:customStyle="1" w:styleId="A3">
    <w:name w:val="A3"/>
    <w:uiPriority w:val="99"/>
    <w:rsid w:val="00577574"/>
    <w:rPr>
      <w:rFonts w:ascii="Calibri" w:hAnsi="Calibri" w:cs="Calibri"/>
      <w:b/>
      <w:bCs/>
      <w:color w:val="000000"/>
      <w:sz w:val="27"/>
      <w:szCs w:val="27"/>
    </w:rPr>
  </w:style>
  <w:style w:type="paragraph" w:customStyle="1" w:styleId="Pa3">
    <w:name w:val="Pa3"/>
    <w:basedOn w:val="Default"/>
    <w:next w:val="Default"/>
    <w:uiPriority w:val="99"/>
    <w:rsid w:val="00577574"/>
    <w:pPr>
      <w:spacing w:line="181" w:lineRule="atLeast"/>
    </w:pPr>
    <w:rPr>
      <w:rFonts w:cs="Times New Roman"/>
      <w:color w:val="auto"/>
    </w:rPr>
  </w:style>
  <w:style w:type="character" w:customStyle="1" w:styleId="A9">
    <w:name w:val="A9"/>
    <w:uiPriority w:val="99"/>
    <w:rsid w:val="00577574"/>
    <w:rPr>
      <w:rFonts w:cs="Calibri"/>
      <w:color w:val="000000"/>
      <w:sz w:val="12"/>
      <w:szCs w:val="12"/>
    </w:rPr>
  </w:style>
  <w:style w:type="character" w:customStyle="1" w:styleId="A8">
    <w:name w:val="A8"/>
    <w:uiPriority w:val="99"/>
    <w:rsid w:val="00577574"/>
    <w:rPr>
      <w:rFonts w:cs="Calibri"/>
      <w:color w:val="000000"/>
      <w:sz w:val="21"/>
      <w:szCs w:val="21"/>
    </w:rPr>
  </w:style>
  <w:style w:type="character" w:styleId="CommentReference">
    <w:name w:val="annotation reference"/>
    <w:basedOn w:val="DefaultParagraphFont"/>
    <w:uiPriority w:val="99"/>
    <w:semiHidden/>
    <w:unhideWhenUsed/>
    <w:rsid w:val="00F52FAE"/>
    <w:rPr>
      <w:sz w:val="16"/>
      <w:szCs w:val="16"/>
    </w:rPr>
  </w:style>
  <w:style w:type="paragraph" w:styleId="CommentText">
    <w:name w:val="annotation text"/>
    <w:basedOn w:val="Normal"/>
    <w:link w:val="CommentTextChar"/>
    <w:uiPriority w:val="99"/>
    <w:semiHidden/>
    <w:unhideWhenUsed/>
    <w:rsid w:val="00F52FAE"/>
    <w:pPr>
      <w:spacing w:line="240" w:lineRule="auto"/>
    </w:pPr>
    <w:rPr>
      <w:sz w:val="20"/>
      <w:szCs w:val="20"/>
    </w:rPr>
  </w:style>
  <w:style w:type="character" w:customStyle="1" w:styleId="CommentTextChar">
    <w:name w:val="Comment Text Char"/>
    <w:basedOn w:val="DefaultParagraphFont"/>
    <w:link w:val="CommentText"/>
    <w:uiPriority w:val="99"/>
    <w:semiHidden/>
    <w:rsid w:val="00F52FAE"/>
    <w:rPr>
      <w:lang w:eastAsia="en-US"/>
    </w:rPr>
  </w:style>
  <w:style w:type="paragraph" w:styleId="CommentSubject">
    <w:name w:val="annotation subject"/>
    <w:basedOn w:val="CommentText"/>
    <w:next w:val="CommentText"/>
    <w:link w:val="CommentSubjectChar"/>
    <w:uiPriority w:val="99"/>
    <w:semiHidden/>
    <w:unhideWhenUsed/>
    <w:rsid w:val="00F52FAE"/>
    <w:rPr>
      <w:b/>
      <w:bCs/>
    </w:rPr>
  </w:style>
  <w:style w:type="character" w:customStyle="1" w:styleId="CommentSubjectChar">
    <w:name w:val="Comment Subject Char"/>
    <w:basedOn w:val="CommentTextChar"/>
    <w:link w:val="CommentSubject"/>
    <w:uiPriority w:val="99"/>
    <w:semiHidden/>
    <w:rsid w:val="00F52FAE"/>
    <w:rPr>
      <w:b/>
      <w:bCs/>
      <w:lang w:eastAsia="en-US"/>
    </w:rPr>
  </w:style>
  <w:style w:type="character" w:styleId="Hyperlink">
    <w:name w:val="Hyperlink"/>
    <w:basedOn w:val="DefaultParagraphFont"/>
    <w:uiPriority w:val="99"/>
    <w:unhideWhenUsed/>
    <w:rsid w:val="00AD3A9C"/>
    <w:rPr>
      <w:color w:val="0000FF" w:themeColor="hyperlink"/>
      <w:u w:val="single"/>
    </w:rPr>
  </w:style>
  <w:style w:type="character" w:styleId="FollowedHyperlink">
    <w:name w:val="FollowedHyperlink"/>
    <w:basedOn w:val="DefaultParagraphFont"/>
    <w:uiPriority w:val="99"/>
    <w:semiHidden/>
    <w:unhideWhenUsed/>
    <w:rsid w:val="00AD3A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445942">
      <w:bodyDiv w:val="1"/>
      <w:marLeft w:val="0"/>
      <w:marRight w:val="0"/>
      <w:marTop w:val="0"/>
      <w:marBottom w:val="0"/>
      <w:divBdr>
        <w:top w:val="none" w:sz="0" w:space="0" w:color="auto"/>
        <w:left w:val="none" w:sz="0" w:space="0" w:color="auto"/>
        <w:bottom w:val="none" w:sz="0" w:space="0" w:color="auto"/>
        <w:right w:val="none" w:sz="0" w:space="0" w:color="auto"/>
      </w:divBdr>
    </w:div>
    <w:div w:id="835077672">
      <w:bodyDiv w:val="1"/>
      <w:marLeft w:val="0"/>
      <w:marRight w:val="0"/>
      <w:marTop w:val="0"/>
      <w:marBottom w:val="0"/>
      <w:divBdr>
        <w:top w:val="none" w:sz="0" w:space="0" w:color="auto"/>
        <w:left w:val="none" w:sz="0" w:space="0" w:color="auto"/>
        <w:bottom w:val="none" w:sz="0" w:space="0" w:color="auto"/>
        <w:right w:val="none" w:sz="0" w:space="0" w:color="auto"/>
      </w:divBdr>
    </w:div>
    <w:div w:id="206205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image" Target="media/image1.emf" Id="rId13" /><Relationship Type="http://schemas.openxmlformats.org/officeDocument/2006/relationships/image" Target="media/image5.emf" Id="rId18" /><Relationship Type="http://schemas.openxmlformats.org/officeDocument/2006/relationships/footer" Target="footer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image" Target="media/image4.emf" Id="rId17" /><Relationship Type="http://schemas.openxmlformats.org/officeDocument/2006/relationships/hyperlink" Target="http://www.environment.gov.au/protection/environment-assessments" TargetMode="External" Id="rId16" /><Relationship Type="http://schemas.openxmlformats.org/officeDocument/2006/relationships/hyperlink" Target="https://frackinginquiry.nt.gov.au/inquiry-reports" TargetMode="External" Id="rId20" /><Relationship Type="http://schemas.openxmlformats.org/officeDocument/2006/relationships/footnotes" Target="footnotes.xml" Id="rId11" /><Relationship Type="http://schemas.openxmlformats.org/officeDocument/2006/relationships/image" Target="media/image3.emf" Id="rId15" /><Relationship Type="http://schemas.openxmlformats.org/officeDocument/2006/relationships/theme" Target="theme/theme1.xml" Id="rId23" /><Relationship Type="http://schemas.openxmlformats.org/officeDocument/2006/relationships/webSettings" Target="webSettings.xml" Id="rId10" /><Relationship Type="http://schemas.openxmlformats.org/officeDocument/2006/relationships/hyperlink" Target="https://industry.gov.au/resource/UpstreamPetroleum/Pages/UnconventionalGas.aspx" TargetMode="External" Id="rId19" /><Relationship Type="http://schemas.openxmlformats.org/officeDocument/2006/relationships/settings" Target="settings.xml" Id="rId9" /><Relationship Type="http://schemas.openxmlformats.org/officeDocument/2006/relationships/image" Target="media/image2.emf" Id="rId14" /><Relationship Type="http://schemas.openxmlformats.org/officeDocument/2006/relationships/fontTable" Target="fontTable.xml" Id="rId2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1702</Words>
  <Characters>9702</Characters>
  <Application>Microsoft Office Word</Application>
  <DocSecurity>0</DocSecurity>
  <Lines>80</Lines>
  <Paragraphs>22</Paragraphs>
  <ScaleCrop>false</ScaleCrop>
  <HeadingPairs>
    <vt:vector size="2" baseType="variant">
      <vt:variant>
        <vt:lpstr>Title</vt:lpstr>
      </vt:variant>
      <vt:variant>
        <vt:i4>1</vt:i4>
      </vt:variant>
    </vt:vector>
  </HeadingPairs>
  <Company/>
  <LinksUpToDate>false</LinksUpToDate>
  <CharactersWithSpaces>11382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2018-10-23T05:19:00Z</dcterms:created>
  <dcterms:modified xsi:type="dcterms:W3CDTF">2018-10-23T05:19:00Z</dcterms:modified>
</cp:coreProperties>
</file>

<file path=docProps/custom2.xml><?xml version="1.0" encoding="utf-8"?>
<op:Properties xmlns:op="http://schemas.openxmlformats.org/officeDocument/2006/custom-properties">
  <op:property fmtid="{D5CDD505-2E9C-101B-9397-08002B2CF9AE}" pid="3" name="_MarkAsFinal">
    <vt:bool xmlns:vt="http://schemas.openxmlformats.org/officeDocument/2006/docPropsVTypes">true</vt:bool>
  </op:property>
</op:Properties>
</file>