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F3462" w14:textId="77D49BFA" w:rsidR="00E55999" w:rsidRDefault="00430D3A" w:rsidP="54DBA0B8">
      <w:pPr>
        <w:pStyle w:val="GBAProgramtitle"/>
        <w:jc w:val="right"/>
      </w:pPr>
      <w:bookmarkStart w:id="0" w:name="_Toc367791208"/>
      <w:r w:rsidRPr="002C17EB">
        <w:rPr>
          <w:noProof/>
        </w:rPr>
        <w:drawing>
          <wp:anchor distT="0" distB="0" distL="114300" distR="114300" simplePos="0" relativeHeight="251658752" behindDoc="0" locked="0" layoutInCell="1" allowOverlap="1" wp14:anchorId="62DF0669" wp14:editId="6A7FD29F">
            <wp:simplePos x="0" y="0"/>
            <wp:positionH relativeFrom="page">
              <wp:posOffset>-40640</wp:posOffset>
            </wp:positionH>
            <wp:positionV relativeFrom="page">
              <wp:posOffset>-1036319</wp:posOffset>
            </wp:positionV>
            <wp:extent cx="7595870" cy="1905000"/>
            <wp:effectExtent l="0" t="0" r="5080" b="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9776" behindDoc="0" locked="0" layoutInCell="1" allowOverlap="1" wp14:anchorId="31750AEE" wp14:editId="7231282C">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 xml:space="preserve">Geological and Bioregional </w:t>
      </w:r>
      <w:r w:rsidR="00CB6891">
        <w:br/>
      </w:r>
      <w:r w:rsidR="00CB6891" w:rsidRPr="00075C49">
        <w:t>Assessment Program</w:t>
      </w:r>
    </w:p>
    <w:p w14:paraId="75B72A55" w14:textId="6C97460E" w:rsidR="00B36080" w:rsidRDefault="00B36080" w:rsidP="3EEF69CC">
      <w:pPr>
        <w:pStyle w:val="Factsheetsubtitle"/>
      </w:pPr>
      <w:r>
        <w:t>Fact sheet 9</w:t>
      </w:r>
    </w:p>
    <w:p w14:paraId="3EE70A05" w14:textId="514AFC6B" w:rsidR="00874597" w:rsidRPr="00696D3E" w:rsidRDefault="00915B79" w:rsidP="00B36080">
      <w:pPr>
        <w:pStyle w:val="Factsheetsubtitle"/>
      </w:pPr>
      <w:r>
        <w:rPr>
          <w:noProof/>
        </w:rPr>
        <mc:AlternateContent>
          <mc:Choice Requires="wps">
            <w:drawing>
              <wp:anchor distT="0" distB="0" distL="114300" distR="114300" simplePos="0" relativeHeight="251660800" behindDoc="0" locked="0" layoutInCell="1" allowOverlap="1" wp14:anchorId="76FCD80A" wp14:editId="6BF722EC">
                <wp:simplePos x="0" y="0"/>
                <wp:positionH relativeFrom="margin">
                  <wp:posOffset>3133090</wp:posOffset>
                </wp:positionH>
                <wp:positionV relativeFrom="paragraph">
                  <wp:posOffset>344644</wp:posOffset>
                </wp:positionV>
                <wp:extent cx="3711575" cy="2909570"/>
                <wp:effectExtent l="0" t="0" r="22225" b="24130"/>
                <wp:wrapSquare wrapText="bothSides"/>
                <wp:docPr id="3" name="Text Box 3" descr="Contaminant pathways and dilution factors vertically through the unsaturated zone and laterally through the saturated zone"/>
                <wp:cNvGraphicFramePr/>
                <a:graphic xmlns:a="http://schemas.openxmlformats.org/drawingml/2006/main">
                  <a:graphicData uri="http://schemas.microsoft.com/office/word/2010/wordprocessingShape">
                    <wps:wsp>
                      <wps:cNvSpPr txBox="1"/>
                      <wps:spPr>
                        <a:xfrm>
                          <a:off x="0" y="0"/>
                          <a:ext cx="3711575" cy="2909570"/>
                        </a:xfrm>
                        <a:prstGeom prst="rect">
                          <a:avLst/>
                        </a:prstGeom>
                        <a:solidFill>
                          <a:schemeClr val="lt1"/>
                        </a:solidFill>
                        <a:ln w="6350">
                          <a:solidFill>
                            <a:schemeClr val="bg1"/>
                          </a:solidFill>
                        </a:ln>
                      </wps:spPr>
                      <wps:txbx>
                        <w:txbxContent>
                          <w:p w14:paraId="450D8B1E" w14:textId="3A191675" w:rsidR="007767D8" w:rsidRDefault="006121CA" w:rsidP="006121CA">
                            <w:pPr>
                              <w:pStyle w:val="Caption"/>
                              <w:spacing w:before="0"/>
                            </w:pPr>
                            <w:bookmarkStart w:id="1" w:name="_Ref65748981"/>
                            <w:r>
                              <w:t xml:space="preserve">Figure </w:t>
                            </w:r>
                            <w:r>
                              <w:fldChar w:fldCharType="begin"/>
                            </w:r>
                            <w:r>
                              <w:instrText>SEQ Figure \* ARABIC</w:instrText>
                            </w:r>
                            <w:r>
                              <w:fldChar w:fldCharType="separate"/>
                            </w:r>
                            <w:r w:rsidR="00FB4BB2">
                              <w:rPr>
                                <w:noProof/>
                              </w:rPr>
                              <w:t>1</w:t>
                            </w:r>
                            <w:r>
                              <w:fldChar w:fldCharType="end"/>
                            </w:r>
                            <w:bookmarkEnd w:id="1"/>
                            <w:r>
                              <w:t xml:space="preserve"> </w:t>
                            </w:r>
                            <w:r w:rsidRPr="007767D8">
                              <w:t xml:space="preserve">Contaminant pathways and dilution factors </w:t>
                            </w:r>
                            <w:r w:rsidR="00EF4531">
                              <w:t xml:space="preserve">for solute transport </w:t>
                            </w:r>
                            <w:r w:rsidRPr="007767D8">
                              <w:t>vertically through the unsaturated zone and laterally through the saturated zone</w:t>
                            </w:r>
                            <w:r w:rsidR="008F0947" w:rsidRPr="008F0947">
                              <w:rPr>
                                <w:noProof/>
                              </w:rPr>
                              <w:drawing>
                                <wp:inline distT="0" distB="0" distL="0" distR="0" wp14:anchorId="78DDA8E3" wp14:editId="221397CD">
                                  <wp:extent cx="3580563" cy="2238346"/>
                                  <wp:effectExtent l="0" t="0" r="0" b="3810"/>
                                  <wp:docPr id="13" name="Picture 13" descr="A diagram that shows contaminant pathways and dilution factors through soil layers. For more detailed description of this image contact bioregionalassessment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that shows contaminant pathways and dilution factors through soil layers. For more detailed description of this image contact bioregionalassessments@awe.gov.au."/>
                                          <pic:cNvPicPr>
                                            <a:picLocks noChangeAspect="1" noChangeArrowheads="1"/>
                                          </pic:cNvPicPr>
                                        </pic:nvPicPr>
                                        <pic:blipFill>
                                          <a:blip r:embed="rId15"/>
                                          <a:stretch>
                                            <a:fillRect/>
                                          </a:stretch>
                                        </pic:blipFill>
                                        <pic:spPr bwMode="auto">
                                          <a:xfrm>
                                            <a:off x="0" y="0"/>
                                            <a:ext cx="3580563" cy="22383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CD80A" id="_x0000_t202" coordsize="21600,21600" o:spt="202" path="m,l,21600r21600,l21600,xe">
                <v:stroke joinstyle="miter"/>
                <v:path gradientshapeok="t" o:connecttype="rect"/>
              </v:shapetype>
              <v:shape id="Text Box 3" o:spid="_x0000_s1026" type="#_x0000_t202" alt="Contaminant pathways and dilution factors vertically through the unsaturated zone and laterally through the saturated zone" style="position:absolute;margin-left:246.7pt;margin-top:27.15pt;width:292.25pt;height:229.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" fillcolor="white [3201]" strokecolor="white [3212]" strokeweight=".5pt">
                <v:textbox>
                  <w:txbxContent>
                    <w:p w14:paraId="450D8B1E" w14:textId="3A191675" w:rsidR="007767D8" w:rsidRDefault="006121CA" w:rsidP="006121CA">
                      <w:pPr>
                        <w:pStyle w:val="Caption"/>
                        <w:spacing w:before="0"/>
                      </w:pPr>
                      <w:bookmarkStart w:id="2" w:name="_Ref65748981"/>
                      <w:r>
                        <w:t xml:space="preserve">Figure </w:t>
                      </w:r>
                      <w:r>
                        <w:fldChar w:fldCharType="begin"/>
                      </w:r>
                      <w:r>
                        <w:instrText>SEQ Figure \* ARABIC</w:instrText>
                      </w:r>
                      <w:r>
                        <w:fldChar w:fldCharType="separate"/>
                      </w:r>
                      <w:r w:rsidR="00FB4BB2">
                        <w:rPr>
                          <w:noProof/>
                        </w:rPr>
                        <w:t>1</w:t>
                      </w:r>
                      <w:r>
                        <w:fldChar w:fldCharType="end"/>
                      </w:r>
                      <w:bookmarkEnd w:id="2"/>
                      <w:r>
                        <w:t xml:space="preserve"> </w:t>
                      </w:r>
                      <w:r w:rsidRPr="007767D8">
                        <w:t xml:space="preserve">Contaminant pathways and dilution factors </w:t>
                      </w:r>
                      <w:r w:rsidR="00EF4531">
                        <w:t xml:space="preserve">for solute transport </w:t>
                      </w:r>
                      <w:r w:rsidRPr="007767D8">
                        <w:t>vertically through the unsaturated zone and laterally through the saturated zone</w:t>
                      </w:r>
                      <w:r w:rsidR="008F0947" w:rsidRPr="008F0947">
                        <w:rPr>
                          <w:noProof/>
                        </w:rPr>
                        <w:drawing>
                          <wp:inline distT="0" distB="0" distL="0" distR="0" wp14:anchorId="78DDA8E3" wp14:editId="221397CD">
                            <wp:extent cx="3580563" cy="2238346"/>
                            <wp:effectExtent l="0" t="0" r="0" b="3810"/>
                            <wp:docPr id="13" name="Picture 13" descr="A diagram that shows contaminant pathways and dilution factors through soil layers. For more detailed description of this image contact bioregionalassessment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that shows contaminant pathways and dilution factors through soil layers. For more detailed description of this image contact bioregionalassessments@awe.gov.au."/>
                                    <pic:cNvPicPr>
                                      <a:picLocks noChangeAspect="1" noChangeArrowheads="1"/>
                                    </pic:cNvPicPr>
                                  </pic:nvPicPr>
                                  <pic:blipFill>
                                    <a:blip r:embed="rId15"/>
                                    <a:stretch>
                                      <a:fillRect/>
                                    </a:stretch>
                                  </pic:blipFill>
                                  <pic:spPr bwMode="auto">
                                    <a:xfrm>
                                      <a:off x="0" y="0"/>
                                      <a:ext cx="3580563" cy="2238346"/>
                                    </a:xfrm>
                                    <a:prstGeom prst="rect">
                                      <a:avLst/>
                                    </a:prstGeom>
                                    <a:noFill/>
                                    <a:ln>
                                      <a:noFill/>
                                    </a:ln>
                                  </pic:spPr>
                                </pic:pic>
                              </a:graphicData>
                            </a:graphic>
                          </wp:inline>
                        </w:drawing>
                      </w:r>
                    </w:p>
                  </w:txbxContent>
                </v:textbox>
                <w10:wrap type="square" anchorx="margin"/>
              </v:shape>
            </w:pict>
          </mc:Fallback>
        </mc:AlternateContent>
      </w:r>
      <w:r w:rsidR="00B36080">
        <w:t>Application of the chemical screening framework</w:t>
      </w:r>
    </w:p>
    <w:p w14:paraId="5FF7294E" w14:textId="288A6898" w:rsidR="00360522" w:rsidRDefault="00EF0DB9" w:rsidP="3EEF69CC">
      <w:pPr>
        <w:pStyle w:val="BodyText"/>
        <w:rPr>
          <w:rStyle w:val="SubtleEmphasis"/>
          <w:i w:val="0"/>
          <w:iCs w:val="0"/>
          <w:color w:val="000000"/>
        </w:rPr>
      </w:pPr>
      <w:r w:rsidRPr="3EEF69CC">
        <w:rPr>
          <w:rStyle w:val="SubtleEmphasis"/>
          <w:i w:val="0"/>
          <w:iCs w:val="0"/>
          <w:color w:val="000000"/>
        </w:rPr>
        <w:t xml:space="preserve">A chemical screening </w:t>
      </w:r>
      <w:r w:rsidR="00B3469A" w:rsidRPr="3EEF69CC">
        <w:rPr>
          <w:rStyle w:val="SubtleEmphasis"/>
          <w:i w:val="0"/>
          <w:iCs w:val="0"/>
          <w:color w:val="000000"/>
        </w:rPr>
        <w:t>framework</w:t>
      </w:r>
      <w:r w:rsidRPr="3EEF69CC">
        <w:rPr>
          <w:rStyle w:val="SubtleEmphasis"/>
          <w:i w:val="0"/>
          <w:iCs w:val="0"/>
          <w:color w:val="000000"/>
        </w:rPr>
        <w:t xml:space="preserve"> was developed </w:t>
      </w:r>
      <w:r w:rsidR="00B3469A" w:rsidRPr="3EEF69CC">
        <w:rPr>
          <w:rStyle w:val="SubtleEmphasis"/>
          <w:i w:val="0"/>
          <w:iCs w:val="0"/>
          <w:color w:val="000000"/>
        </w:rPr>
        <w:t>based on unsaturated and saturated zone transport modelling</w:t>
      </w:r>
      <w:r w:rsidR="008F0947" w:rsidRPr="3EEF69CC">
        <w:rPr>
          <w:rStyle w:val="SubtleEmphasis"/>
          <w:i w:val="0"/>
          <w:iCs w:val="0"/>
          <w:color w:val="000000"/>
        </w:rPr>
        <w:t xml:space="preserve"> (</w:t>
      </w:r>
      <w:r w:rsidR="008F0947" w:rsidRPr="3EEF69CC">
        <w:rPr>
          <w:rStyle w:val="SubtleEmphasis"/>
          <w:i w:val="0"/>
          <w:iCs w:val="0"/>
          <w:color w:val="000000"/>
        </w:rPr>
        <w:fldChar w:fldCharType="begin"/>
      </w:r>
      <w:r w:rsidR="008F0947" w:rsidRPr="3EEF69CC">
        <w:rPr>
          <w:rStyle w:val="SubtleEmphasis"/>
          <w:i w:val="0"/>
          <w:iCs w:val="0"/>
          <w:color w:val="000000"/>
        </w:rPr>
        <w:instrText xml:space="preserve"> REF _Ref65748981 \h </w:instrText>
      </w:r>
      <w:r w:rsidR="008F0947" w:rsidRPr="3EEF69CC">
        <w:rPr>
          <w:rStyle w:val="SubtleEmphasis"/>
          <w:i w:val="0"/>
          <w:iCs w:val="0"/>
          <w:color w:val="000000"/>
        </w:rPr>
      </w:r>
      <w:r w:rsidR="008F0947" w:rsidRPr="3EEF69CC">
        <w:rPr>
          <w:rStyle w:val="SubtleEmphasis"/>
          <w:i w:val="0"/>
          <w:iCs w:val="0"/>
          <w:color w:val="000000"/>
        </w:rPr>
        <w:fldChar w:fldCharType="separate"/>
      </w:r>
      <w:r w:rsidR="00FB4BB2">
        <w:t xml:space="preserve">Figure </w:t>
      </w:r>
      <w:r w:rsidR="00FB4BB2">
        <w:rPr>
          <w:noProof/>
        </w:rPr>
        <w:t>1</w:t>
      </w:r>
      <w:r w:rsidR="008F0947" w:rsidRPr="3EEF69CC">
        <w:rPr>
          <w:rStyle w:val="SubtleEmphasis"/>
          <w:i w:val="0"/>
          <w:iCs w:val="0"/>
          <w:color w:val="000000"/>
        </w:rPr>
        <w:fldChar w:fldCharType="end"/>
      </w:r>
      <w:r w:rsidR="008F0947" w:rsidRPr="3EEF69CC">
        <w:rPr>
          <w:rStyle w:val="SubtleEmphasis"/>
          <w:i w:val="0"/>
          <w:iCs w:val="0"/>
          <w:color w:val="000000"/>
        </w:rPr>
        <w:t>)</w:t>
      </w:r>
      <w:r w:rsidR="0021636A">
        <w:rPr>
          <w:rStyle w:val="SubtleEmphasis"/>
          <w:i w:val="0"/>
          <w:iCs w:val="0"/>
          <w:color w:val="000000"/>
        </w:rPr>
        <w:t xml:space="preserve">. </w:t>
      </w:r>
      <w:r w:rsidR="00CC168A">
        <w:rPr>
          <w:rStyle w:val="SubtleEmphasis"/>
          <w:i w:val="0"/>
          <w:iCs w:val="0"/>
          <w:color w:val="000000"/>
        </w:rPr>
        <w:t>T</w:t>
      </w:r>
      <w:r w:rsidR="00B3469A" w:rsidRPr="3EEF69CC">
        <w:rPr>
          <w:rStyle w:val="SubtleEmphasis"/>
          <w:i w:val="0"/>
          <w:iCs w:val="0"/>
          <w:color w:val="000000"/>
        </w:rPr>
        <w:t>he likelihood that accidental chemical releases at the soil surface would reach groundwater in concentrations that exceeded predicted no-effect concentrations (PNECs)</w:t>
      </w:r>
      <w:r w:rsidR="00CC168A">
        <w:rPr>
          <w:rStyle w:val="SubtleEmphasis"/>
          <w:i w:val="0"/>
          <w:iCs w:val="0"/>
          <w:color w:val="000000"/>
        </w:rPr>
        <w:t xml:space="preserve"> was assessed</w:t>
      </w:r>
      <w:r w:rsidR="00B3469A" w:rsidRPr="3EEF69CC">
        <w:rPr>
          <w:rStyle w:val="SubtleEmphasis"/>
          <w:i w:val="0"/>
          <w:iCs w:val="0"/>
          <w:color w:val="000000"/>
        </w:rPr>
        <w:t xml:space="preserve">, and </w:t>
      </w:r>
      <w:r w:rsidR="002A4B89">
        <w:rPr>
          <w:rStyle w:val="SubtleEmphasis"/>
          <w:i w:val="0"/>
          <w:iCs w:val="0"/>
          <w:color w:val="000000"/>
        </w:rPr>
        <w:t>the</w:t>
      </w:r>
      <w:r w:rsidR="00B3469A" w:rsidRPr="3EEF69CC">
        <w:rPr>
          <w:rStyle w:val="SubtleEmphasis"/>
          <w:i w:val="0"/>
          <w:iCs w:val="0"/>
          <w:color w:val="000000"/>
        </w:rPr>
        <w:t xml:space="preserve"> framework </w:t>
      </w:r>
      <w:r w:rsidR="002A4B89">
        <w:rPr>
          <w:rStyle w:val="SubtleEmphasis"/>
          <w:i w:val="0"/>
          <w:iCs w:val="0"/>
          <w:color w:val="000000"/>
        </w:rPr>
        <w:t xml:space="preserve">was applied </w:t>
      </w:r>
      <w:r w:rsidR="00B3469A" w:rsidRPr="3EEF69CC">
        <w:rPr>
          <w:rStyle w:val="SubtleEmphasis"/>
          <w:i w:val="0"/>
          <w:iCs w:val="0"/>
          <w:color w:val="000000"/>
        </w:rPr>
        <w:t>over large geological basins (tens to hundreds of thousands of square kilometres). Th</w:t>
      </w:r>
      <w:r w:rsidR="00D368F1" w:rsidRPr="3EEF69CC">
        <w:rPr>
          <w:rStyle w:val="SubtleEmphasis"/>
          <w:i w:val="0"/>
          <w:iCs w:val="0"/>
          <w:color w:val="000000"/>
        </w:rPr>
        <w:t>is</w:t>
      </w:r>
      <w:r w:rsidR="00B3469A" w:rsidRPr="3EEF69CC">
        <w:rPr>
          <w:rStyle w:val="SubtleEmphasis"/>
          <w:i w:val="0"/>
          <w:iCs w:val="0"/>
          <w:color w:val="000000"/>
        </w:rPr>
        <w:t xml:space="preserve"> approach used chemical dilution and attenuation </w:t>
      </w:r>
      <w:r w:rsidR="00D368F1" w:rsidRPr="3EEF69CC">
        <w:rPr>
          <w:rStyle w:val="SubtleEmphasis"/>
          <w:i w:val="0"/>
          <w:iCs w:val="0"/>
          <w:color w:val="000000"/>
        </w:rPr>
        <w:t>modelling as a conservative conceptualisation of chemical transport</w:t>
      </w:r>
      <w:r w:rsidR="006971A2">
        <w:rPr>
          <w:rStyle w:val="SubtleEmphasis"/>
          <w:i w:val="0"/>
          <w:iCs w:val="0"/>
          <w:color w:val="000000"/>
        </w:rPr>
        <w:t>. E</w:t>
      </w:r>
      <w:r w:rsidR="00116CDA" w:rsidRPr="3EEF69CC">
        <w:rPr>
          <w:rStyle w:val="SubtleEmphasis"/>
          <w:i w:val="0"/>
          <w:iCs w:val="0"/>
          <w:color w:val="000000"/>
        </w:rPr>
        <w:t>mpirical equations for dilution factors</w:t>
      </w:r>
      <w:r w:rsidR="006971A2">
        <w:rPr>
          <w:rStyle w:val="SubtleEmphasis"/>
          <w:i w:val="0"/>
          <w:iCs w:val="0"/>
          <w:color w:val="000000"/>
        </w:rPr>
        <w:t xml:space="preserve"> were developed</w:t>
      </w:r>
      <w:r w:rsidR="00116CDA" w:rsidRPr="3EEF69CC">
        <w:rPr>
          <w:rStyle w:val="SubtleEmphasis"/>
          <w:i w:val="0"/>
          <w:iCs w:val="0"/>
          <w:color w:val="000000"/>
        </w:rPr>
        <w:t>: the ratio of chemical concentration in the aquifer compared with that at the release site</w:t>
      </w:r>
      <w:r w:rsidR="00D368F1" w:rsidRPr="3EEF69CC">
        <w:rPr>
          <w:rStyle w:val="SubtleEmphasis"/>
          <w:i w:val="0"/>
          <w:iCs w:val="0"/>
          <w:color w:val="000000"/>
        </w:rPr>
        <w:t xml:space="preserve">. </w:t>
      </w:r>
      <w:r w:rsidR="00116CDA" w:rsidRPr="3EEF69CC">
        <w:rPr>
          <w:rStyle w:val="SubtleEmphasis"/>
          <w:i w:val="0"/>
          <w:iCs w:val="0"/>
          <w:color w:val="000000"/>
        </w:rPr>
        <w:t>These equations were applied spatially</w:t>
      </w:r>
      <w:r w:rsidR="004F0684" w:rsidRPr="3EEF69CC">
        <w:rPr>
          <w:rStyle w:val="SubtleEmphasis"/>
          <w:i w:val="0"/>
          <w:iCs w:val="0"/>
          <w:color w:val="000000"/>
        </w:rPr>
        <w:t>, based on soil characteristics, depth to watertable and groundwater flow velocities</w:t>
      </w:r>
      <w:r w:rsidR="0030436D">
        <w:rPr>
          <w:rStyle w:val="SubtleEmphasis"/>
          <w:i w:val="0"/>
          <w:iCs w:val="0"/>
          <w:color w:val="000000"/>
        </w:rPr>
        <w:t xml:space="preserve">. Areas </w:t>
      </w:r>
      <w:r w:rsidR="004F0684" w:rsidRPr="3EEF69CC">
        <w:rPr>
          <w:rStyle w:val="SubtleEmphasis"/>
          <w:i w:val="0"/>
          <w:iCs w:val="0"/>
          <w:color w:val="000000"/>
        </w:rPr>
        <w:t xml:space="preserve">that may require more detailed investigation </w:t>
      </w:r>
      <w:r w:rsidR="008B17C0" w:rsidRPr="3EEF69CC">
        <w:rPr>
          <w:rStyle w:val="SubtleEmphasis"/>
          <w:i w:val="0"/>
          <w:iCs w:val="0"/>
          <w:color w:val="000000"/>
        </w:rPr>
        <w:t xml:space="preserve">using reactive chemical </w:t>
      </w:r>
      <w:r w:rsidR="00EF4531">
        <w:rPr>
          <w:rStyle w:val="SubtleEmphasis"/>
          <w:i w:val="0"/>
          <w:iCs w:val="0"/>
          <w:color w:val="000000"/>
        </w:rPr>
        <w:t xml:space="preserve">transport </w:t>
      </w:r>
      <w:r w:rsidR="008B17C0" w:rsidRPr="3EEF69CC">
        <w:rPr>
          <w:rStyle w:val="SubtleEmphasis"/>
          <w:i w:val="0"/>
          <w:iCs w:val="0"/>
          <w:color w:val="000000"/>
        </w:rPr>
        <w:t xml:space="preserve">modelling </w:t>
      </w:r>
      <w:r w:rsidR="00561F1A" w:rsidRPr="3EEF69CC">
        <w:rPr>
          <w:rStyle w:val="SubtleEmphasis"/>
          <w:i w:val="0"/>
          <w:iCs w:val="0"/>
          <w:color w:val="000000"/>
        </w:rPr>
        <w:t xml:space="preserve">to estimate </w:t>
      </w:r>
      <w:r w:rsidR="008B17C0" w:rsidRPr="3EEF69CC">
        <w:rPr>
          <w:rStyle w:val="SubtleEmphasis"/>
          <w:i w:val="0"/>
          <w:iCs w:val="0"/>
          <w:color w:val="000000"/>
        </w:rPr>
        <w:t>the</w:t>
      </w:r>
      <w:r w:rsidR="004F0684" w:rsidRPr="3EEF69CC">
        <w:rPr>
          <w:rStyle w:val="SubtleEmphasis"/>
          <w:i w:val="0"/>
          <w:iCs w:val="0"/>
          <w:color w:val="000000"/>
        </w:rPr>
        <w:t xml:space="preserve"> potential </w:t>
      </w:r>
      <w:r w:rsidR="008B17C0" w:rsidRPr="3EEF69CC">
        <w:rPr>
          <w:rStyle w:val="SubtleEmphasis"/>
          <w:i w:val="0"/>
          <w:iCs w:val="0"/>
          <w:color w:val="000000"/>
        </w:rPr>
        <w:t>for aquifer or groundwater</w:t>
      </w:r>
      <w:r w:rsidR="00EF4531">
        <w:rPr>
          <w:rStyle w:val="SubtleEmphasis"/>
          <w:i w:val="0"/>
          <w:iCs w:val="0"/>
          <w:color w:val="000000"/>
        </w:rPr>
        <w:t>-</w:t>
      </w:r>
      <w:r w:rsidR="008B17C0" w:rsidRPr="3EEF69CC">
        <w:rPr>
          <w:rStyle w:val="SubtleEmphasis"/>
          <w:i w:val="0"/>
          <w:iCs w:val="0"/>
          <w:color w:val="000000"/>
        </w:rPr>
        <w:t>dependent asset contamination from accidental chemical release</w:t>
      </w:r>
      <w:r w:rsidR="00EF4531">
        <w:rPr>
          <w:rStyle w:val="SubtleEmphasis"/>
          <w:i w:val="0"/>
          <w:iCs w:val="0"/>
          <w:color w:val="000000"/>
        </w:rPr>
        <w:t xml:space="preserve"> were</w:t>
      </w:r>
      <w:r w:rsidR="00EF4531" w:rsidRPr="3EEF69CC">
        <w:rPr>
          <w:rStyle w:val="SubtleEmphasis"/>
          <w:i w:val="0"/>
          <w:iCs w:val="0"/>
          <w:color w:val="000000"/>
        </w:rPr>
        <w:t xml:space="preserve"> identif</w:t>
      </w:r>
      <w:r w:rsidR="00EF4531">
        <w:rPr>
          <w:rStyle w:val="SubtleEmphasis"/>
          <w:i w:val="0"/>
          <w:iCs w:val="0"/>
          <w:color w:val="000000"/>
        </w:rPr>
        <w:t>ied</w:t>
      </w:r>
      <w:r w:rsidR="008B17C0" w:rsidRPr="3EEF69CC">
        <w:rPr>
          <w:rStyle w:val="SubtleEmphasis"/>
          <w:i w:val="0"/>
          <w:iCs w:val="0"/>
          <w:color w:val="000000"/>
        </w:rPr>
        <w:t xml:space="preserve">. </w:t>
      </w:r>
    </w:p>
    <w:p w14:paraId="43744F59" w14:textId="436C4D5B" w:rsidR="00127D5F" w:rsidRDefault="00360522" w:rsidP="00911E0C">
      <w:pPr>
        <w:pStyle w:val="BodyText"/>
        <w:rPr>
          <w:rStyle w:val="SubtleEmphasis"/>
          <w:i w:val="0"/>
          <w:iCs w:val="0"/>
          <w:color w:val="000000"/>
        </w:rPr>
      </w:pPr>
      <w:r w:rsidRPr="00360522">
        <w:rPr>
          <w:rStyle w:val="SubtleEmphasis"/>
          <w:i w:val="0"/>
          <w:iCs w:val="0"/>
          <w:color w:val="000000"/>
        </w:rPr>
        <w:t xml:space="preserve">With many areas in the Cooper </w:t>
      </w:r>
      <w:r w:rsidR="00D20649">
        <w:rPr>
          <w:rStyle w:val="SubtleEmphasis"/>
          <w:i w:val="0"/>
          <w:iCs w:val="0"/>
          <w:color w:val="000000"/>
        </w:rPr>
        <w:t>GBA region</w:t>
      </w:r>
      <w:r w:rsidRPr="00360522">
        <w:rPr>
          <w:rStyle w:val="SubtleEmphasis"/>
          <w:i w:val="0"/>
          <w:iCs w:val="0"/>
          <w:color w:val="000000"/>
        </w:rPr>
        <w:t xml:space="preserve"> having a shallower watertable compared with the </w:t>
      </w:r>
      <w:proofErr w:type="spellStart"/>
      <w:r w:rsidRPr="00360522">
        <w:rPr>
          <w:rStyle w:val="SubtleEmphasis"/>
          <w:i w:val="0"/>
          <w:iCs w:val="0"/>
          <w:color w:val="000000"/>
        </w:rPr>
        <w:t>Beetaloo</w:t>
      </w:r>
      <w:proofErr w:type="spellEnd"/>
      <w:r w:rsidR="002B17E8" w:rsidRPr="002B17E8">
        <w:rPr>
          <w:rStyle w:val="SubtleEmphasis"/>
          <w:i w:val="0"/>
          <w:iCs w:val="0"/>
          <w:color w:val="000000"/>
        </w:rPr>
        <w:t xml:space="preserve"> </w:t>
      </w:r>
      <w:r w:rsidR="002B17E8">
        <w:rPr>
          <w:rStyle w:val="SubtleEmphasis"/>
          <w:i w:val="0"/>
          <w:iCs w:val="0"/>
          <w:color w:val="000000"/>
        </w:rPr>
        <w:t>GBA region</w:t>
      </w:r>
      <w:r w:rsidRPr="00360522">
        <w:rPr>
          <w:rStyle w:val="SubtleEmphasis"/>
          <w:i w:val="0"/>
          <w:iCs w:val="0"/>
          <w:color w:val="000000"/>
        </w:rPr>
        <w:t>, there are more areas that are potentially susceptible to a contaminant plume arriving at the watertable if remediation does not occur within 10 years</w:t>
      </w:r>
      <w:r w:rsidR="00EF4531">
        <w:rPr>
          <w:rStyle w:val="SubtleEmphasis"/>
          <w:i w:val="0"/>
          <w:iCs w:val="0"/>
          <w:color w:val="000000"/>
        </w:rPr>
        <w:t xml:space="preserve">, shown as green and blue areas in </w:t>
      </w:r>
      <w:r>
        <w:rPr>
          <w:rStyle w:val="SubtleEmphasis"/>
          <w:i w:val="0"/>
          <w:iCs w:val="0"/>
          <w:color w:val="000000"/>
        </w:rPr>
        <w:fldChar w:fldCharType="begin"/>
      </w:r>
      <w:r>
        <w:rPr>
          <w:rStyle w:val="SubtleEmphasis"/>
          <w:i w:val="0"/>
          <w:iCs w:val="0"/>
          <w:color w:val="000000"/>
        </w:rPr>
        <w:instrText xml:space="preserve"> REF _Ref65749197 \h </w:instrText>
      </w:r>
      <w:r>
        <w:rPr>
          <w:rStyle w:val="SubtleEmphasis"/>
          <w:i w:val="0"/>
          <w:iCs w:val="0"/>
          <w:color w:val="000000"/>
        </w:rPr>
      </w:r>
      <w:r>
        <w:rPr>
          <w:rStyle w:val="SubtleEmphasis"/>
          <w:i w:val="0"/>
          <w:iCs w:val="0"/>
          <w:color w:val="000000"/>
        </w:rPr>
        <w:fldChar w:fldCharType="separate"/>
      </w:r>
      <w:r w:rsidR="00FB4BB2">
        <w:t xml:space="preserve">Figure </w:t>
      </w:r>
      <w:r w:rsidR="00FB4BB2">
        <w:rPr>
          <w:noProof/>
        </w:rPr>
        <w:t>2</w:t>
      </w:r>
      <w:r>
        <w:rPr>
          <w:rStyle w:val="SubtleEmphasis"/>
          <w:i w:val="0"/>
          <w:iCs w:val="0"/>
          <w:color w:val="000000"/>
        </w:rPr>
        <w:fldChar w:fldCharType="end"/>
      </w:r>
      <w:r w:rsidRPr="00360522">
        <w:rPr>
          <w:rStyle w:val="SubtleEmphasis"/>
          <w:i w:val="0"/>
          <w:iCs w:val="0"/>
          <w:color w:val="000000"/>
        </w:rPr>
        <w:t xml:space="preserve">. </w:t>
      </w:r>
    </w:p>
    <w:bookmarkStart w:id="3" w:name="_Ref65749197"/>
    <w:p w14:paraId="05685509" w14:textId="581DDA28" w:rsidR="00C44B5B" w:rsidRDefault="000E588B" w:rsidP="00070449">
      <w:pPr>
        <w:pStyle w:val="Caption"/>
      </w:pPr>
      <w:r>
        <w:rPr>
          <w:noProof/>
        </w:rPr>
        <mc:AlternateContent>
          <mc:Choice Requires="wps">
            <w:drawing>
              <wp:anchor distT="0" distB="0" distL="114300" distR="114300" simplePos="0" relativeHeight="251663872" behindDoc="0" locked="0" layoutInCell="1" allowOverlap="1" wp14:anchorId="20808A52" wp14:editId="4EDD6476">
                <wp:simplePos x="0" y="0"/>
                <wp:positionH relativeFrom="column">
                  <wp:posOffset>2649192</wp:posOffset>
                </wp:positionH>
                <wp:positionV relativeFrom="paragraph">
                  <wp:posOffset>332823</wp:posOffset>
                </wp:positionV>
                <wp:extent cx="294198" cy="357808"/>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94198" cy="357808"/>
                        </a:xfrm>
                        <a:prstGeom prst="rect">
                          <a:avLst/>
                        </a:prstGeom>
                        <a:noFill/>
                        <a:ln w="6350">
                          <a:noFill/>
                        </a:ln>
                      </wps:spPr>
                      <wps:txbx>
                        <w:txbxContent>
                          <w:p w14:paraId="3FA568B2" w14:textId="17722625" w:rsidR="000E588B" w:rsidRPr="000E588B" w:rsidRDefault="000E588B" w:rsidP="000E588B">
                            <w:pPr>
                              <w:pStyle w:val="BodyText"/>
                              <w:spacing w:before="0" w:after="0"/>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808A52" id="Text Box 6" o:spid="_x0000_s1027" type="#_x0000_t202" style="position:absolute;margin-left:208.6pt;margin-top:26.2pt;width:23.15pt;height: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" filled="f" stroked="f" strokeweight=".5pt">
                <v:textbox>
                  <w:txbxContent>
                    <w:p w14:paraId="3FA568B2" w14:textId="17722625" w:rsidR="000E588B" w:rsidRPr="000E588B" w:rsidRDefault="000E588B" w:rsidP="000E588B">
                      <w:pPr>
                        <w:pStyle w:val="BodyText"/>
                        <w:spacing w:before="0" w:after="0"/>
                        <w:rPr>
                          <w:b/>
                          <w:bCs/>
                        </w:rPr>
                      </w:pPr>
                      <w:r>
                        <w:rPr>
                          <w:b/>
                          <w:bCs/>
                        </w:rPr>
                        <w:t>b</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A98E1EF" wp14:editId="36AEBCD2">
                <wp:simplePos x="0" y="0"/>
                <wp:positionH relativeFrom="column">
                  <wp:posOffset>-47956</wp:posOffset>
                </wp:positionH>
                <wp:positionV relativeFrom="paragraph">
                  <wp:posOffset>315678</wp:posOffset>
                </wp:positionV>
                <wp:extent cx="294198" cy="357808"/>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94198" cy="357808"/>
                        </a:xfrm>
                        <a:prstGeom prst="rect">
                          <a:avLst/>
                        </a:prstGeom>
                        <a:noFill/>
                        <a:ln w="6350">
                          <a:noFill/>
                        </a:ln>
                      </wps:spPr>
                      <wps:txbx>
                        <w:txbxContent>
                          <w:p w14:paraId="1FDEA31D" w14:textId="7569C2D3" w:rsidR="000E588B" w:rsidRPr="000E588B" w:rsidRDefault="000E588B" w:rsidP="000E588B">
                            <w:pPr>
                              <w:pStyle w:val="BodyText"/>
                              <w:spacing w:before="0" w:after="0"/>
                              <w:rPr>
                                <w:b/>
                                <w:bCs/>
                              </w:rPr>
                            </w:pPr>
                            <w:r w:rsidRPr="000E588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A98E1EF" id="Text Box 5" o:spid="_x0000_s1028" type="#_x0000_t202" style="position:absolute;margin-left:-3.8pt;margin-top:24.85pt;width:23.15pt;height:2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" filled="f" stroked="f" strokeweight=".5pt">
                <v:textbox>
                  <w:txbxContent>
                    <w:p w14:paraId="1FDEA31D" w14:textId="7569C2D3" w:rsidR="000E588B" w:rsidRPr="000E588B" w:rsidRDefault="000E588B" w:rsidP="000E588B">
                      <w:pPr>
                        <w:pStyle w:val="BodyText"/>
                        <w:spacing w:before="0" w:after="0"/>
                        <w:rPr>
                          <w:b/>
                          <w:bCs/>
                        </w:rPr>
                      </w:pPr>
                      <w:r w:rsidRPr="000E588B">
                        <w:rPr>
                          <w:b/>
                          <w:bCs/>
                        </w:rPr>
                        <w:t>a</w:t>
                      </w:r>
                    </w:p>
                  </w:txbxContent>
                </v:textbox>
              </v:shape>
            </w:pict>
          </mc:Fallback>
        </mc:AlternateContent>
      </w:r>
      <w:r w:rsidR="00127D5F">
        <w:t xml:space="preserve">Figure </w:t>
      </w:r>
      <w:r w:rsidR="00127D5F">
        <w:fldChar w:fldCharType="begin"/>
      </w:r>
      <w:r w:rsidR="00127D5F">
        <w:instrText>SEQ Figure \* ARABIC</w:instrText>
      </w:r>
      <w:r w:rsidR="00127D5F">
        <w:fldChar w:fldCharType="separate"/>
      </w:r>
      <w:r w:rsidR="00FB4BB2">
        <w:rPr>
          <w:noProof/>
        </w:rPr>
        <w:t>2</w:t>
      </w:r>
      <w:r w:rsidR="00127D5F">
        <w:fldChar w:fldCharType="end"/>
      </w:r>
      <w:bookmarkEnd w:id="3"/>
      <w:r w:rsidR="00127D5F" w:rsidRPr="008F0947">
        <w:t xml:space="preserve"> </w:t>
      </w:r>
      <w:r w:rsidR="00127D5F">
        <w:t>Potential susceptibility to groundwater contamination (plume reaching groundwater table) from offsite surface spills if soil remediation does not occur within 10 years of a spill</w:t>
      </w:r>
      <w:r w:rsidR="00CA0CA3">
        <w:t xml:space="preserve"> in the</w:t>
      </w:r>
      <w:r w:rsidR="00127D5F">
        <w:t xml:space="preserve"> </w:t>
      </w:r>
      <w:r w:rsidR="00127D5F" w:rsidRPr="00CE7BC8">
        <w:t xml:space="preserve">(a) Cooper </w:t>
      </w:r>
      <w:r w:rsidR="00127D5F" w:rsidRPr="002B17E8">
        <w:t>GBA region</w:t>
      </w:r>
      <w:r w:rsidR="00127D5F">
        <w:t>;</w:t>
      </w:r>
      <w:r w:rsidR="00127D5F" w:rsidRPr="00CE7BC8">
        <w:t xml:space="preserve"> (b) </w:t>
      </w:r>
      <w:proofErr w:type="spellStart"/>
      <w:r w:rsidR="00127D5F" w:rsidRPr="00CE7BC8">
        <w:t>Beetaloo</w:t>
      </w:r>
      <w:proofErr w:type="spellEnd"/>
      <w:r w:rsidR="00127D5F" w:rsidRPr="00CE7BC8">
        <w:t xml:space="preserve"> </w:t>
      </w:r>
      <w:r w:rsidR="00127D5F" w:rsidRPr="002B17E8">
        <w:t>GBA region</w:t>
      </w:r>
    </w:p>
    <w:p w14:paraId="50A2D5B8" w14:textId="4B06EF86" w:rsidR="00DC3BA0" w:rsidRPr="00DC3BA0" w:rsidRDefault="00C44B5B" w:rsidP="003F25C8">
      <w:pPr>
        <w:pStyle w:val="BodyText"/>
        <w:rPr>
          <w:lang w:eastAsia="en-US"/>
        </w:rPr>
      </w:pPr>
      <w:r>
        <w:rPr>
          <w:noProof/>
        </w:rPr>
        <w:drawing>
          <wp:inline distT="0" distB="0" distL="0" distR="0" wp14:anchorId="338901E4" wp14:editId="6962203B">
            <wp:extent cx="5364926" cy="2520000"/>
            <wp:effectExtent l="0" t="0" r="7620" b="0"/>
            <wp:docPr id="1" name="Picture 1" descr="Two maps that show the potential susceptibility to groundwater contamination in the Cooper and Beetaloo GBA regions. For more detailed description of this image contact bioregionalassessment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maps that show the potential susceptibility to groundwater contamination in the Cooper and Beetaloo GBA regions. For more detailed description of this image contact bioregionalassessments@awe.gov.au."/>
                    <pic:cNvPicPr/>
                  </pic:nvPicPr>
                  <pic:blipFill>
                    <a:blip r:embed="rId16">
                      <a:extLst>
                        <a:ext uri="{28A0092B-C50C-407E-A947-70E740481C1C}">
                          <a14:useLocalDpi xmlns:a14="http://schemas.microsoft.com/office/drawing/2010/main" val="0"/>
                        </a:ext>
                      </a:extLst>
                    </a:blip>
                    <a:stretch>
                      <a:fillRect/>
                    </a:stretch>
                  </pic:blipFill>
                  <pic:spPr>
                    <a:xfrm>
                      <a:off x="0" y="0"/>
                      <a:ext cx="5364926" cy="2520000"/>
                    </a:xfrm>
                    <a:prstGeom prst="rect">
                      <a:avLst/>
                    </a:prstGeom>
                  </pic:spPr>
                </pic:pic>
              </a:graphicData>
            </a:graphic>
          </wp:inline>
        </w:drawing>
      </w:r>
      <w:bookmarkStart w:id="4" w:name="_Ref63524146"/>
      <w:bookmarkEnd w:id="0"/>
    </w:p>
    <w:p w14:paraId="6E574A54" w14:textId="73D7D37B" w:rsidR="00EF4531" w:rsidRDefault="00EF4531" w:rsidP="00EF4531">
      <w:pPr>
        <w:pStyle w:val="BodyText"/>
        <w:rPr>
          <w:rStyle w:val="SubtleEmphasis"/>
          <w:i w:val="0"/>
          <w:iCs w:val="0"/>
          <w:color w:val="000000"/>
        </w:rPr>
      </w:pPr>
      <w:bookmarkStart w:id="5" w:name="_Ref65749210"/>
      <w:r>
        <w:rPr>
          <w:rStyle w:val="SubtleEmphasis"/>
          <w:i w:val="0"/>
          <w:iCs w:val="0"/>
          <w:color w:val="000000"/>
        </w:rPr>
        <w:lastRenderedPageBreak/>
        <w:t>T</w:t>
      </w:r>
      <w:r w:rsidRPr="00360522">
        <w:rPr>
          <w:rStyle w:val="SubtleEmphasis"/>
          <w:i w:val="0"/>
          <w:iCs w:val="0"/>
          <w:color w:val="000000"/>
        </w:rPr>
        <w:t xml:space="preserve">he </w:t>
      </w:r>
      <w:proofErr w:type="spellStart"/>
      <w:r w:rsidRPr="00360522">
        <w:rPr>
          <w:rStyle w:val="SubtleEmphasis"/>
          <w:i w:val="0"/>
          <w:iCs w:val="0"/>
          <w:color w:val="000000"/>
        </w:rPr>
        <w:t>Beetaloo</w:t>
      </w:r>
      <w:proofErr w:type="spellEnd"/>
      <w:r w:rsidRPr="00360522">
        <w:rPr>
          <w:rStyle w:val="SubtleEmphasis"/>
          <w:i w:val="0"/>
          <w:iCs w:val="0"/>
          <w:color w:val="000000"/>
        </w:rPr>
        <w:t xml:space="preserve"> </w:t>
      </w:r>
      <w:r>
        <w:rPr>
          <w:rStyle w:val="SubtleEmphasis"/>
          <w:i w:val="0"/>
          <w:iCs w:val="0"/>
          <w:color w:val="000000"/>
        </w:rPr>
        <w:t>GBA region</w:t>
      </w:r>
      <w:r w:rsidRPr="00360522">
        <w:rPr>
          <w:rStyle w:val="SubtleEmphasis"/>
          <w:i w:val="0"/>
          <w:iCs w:val="0"/>
          <w:color w:val="000000"/>
        </w:rPr>
        <w:t xml:space="preserve"> showed only a small area that is potentially susceptible to a contaminant plume reaching the groundwater</w:t>
      </w:r>
      <w:r>
        <w:rPr>
          <w:rStyle w:val="SubtleEmphasis"/>
          <w:i w:val="0"/>
          <w:iCs w:val="0"/>
          <w:color w:val="000000"/>
        </w:rPr>
        <w:t xml:space="preserve">. However, </w:t>
      </w:r>
      <w:r w:rsidRPr="00360522">
        <w:rPr>
          <w:rStyle w:val="SubtleEmphasis"/>
          <w:i w:val="0"/>
          <w:iCs w:val="0"/>
          <w:color w:val="000000"/>
        </w:rPr>
        <w:t xml:space="preserve">the high groundwater velocity (therefore low groundwater dilution) meant that </w:t>
      </w:r>
      <w:r>
        <w:rPr>
          <w:rStyle w:val="SubtleEmphasis"/>
          <w:i w:val="0"/>
          <w:iCs w:val="0"/>
          <w:color w:val="000000"/>
        </w:rPr>
        <w:t xml:space="preserve">there were areas with potential long-term impacts on groundwater-dependent receptors (dilution factor (DF) &lt;1,000), which </w:t>
      </w:r>
      <w:r w:rsidRPr="00360522">
        <w:rPr>
          <w:rStyle w:val="SubtleEmphasis"/>
          <w:i w:val="0"/>
          <w:iCs w:val="0"/>
          <w:color w:val="000000"/>
        </w:rPr>
        <w:t xml:space="preserve">may require additional </w:t>
      </w:r>
      <w:r>
        <w:rPr>
          <w:rStyle w:val="SubtleEmphasis"/>
          <w:i w:val="0"/>
          <w:iCs w:val="0"/>
          <w:color w:val="000000"/>
        </w:rPr>
        <w:t xml:space="preserve">data, </w:t>
      </w:r>
      <w:r w:rsidRPr="00360522">
        <w:rPr>
          <w:rStyle w:val="SubtleEmphasis"/>
          <w:i w:val="0"/>
          <w:iCs w:val="0"/>
          <w:color w:val="000000"/>
        </w:rPr>
        <w:t xml:space="preserve">analysis and/or </w:t>
      </w:r>
      <w:r>
        <w:rPr>
          <w:rStyle w:val="SubtleEmphasis"/>
          <w:i w:val="0"/>
          <w:iCs w:val="0"/>
          <w:color w:val="000000"/>
        </w:rPr>
        <w:t xml:space="preserve">avoidance </w:t>
      </w:r>
      <w:r w:rsidRPr="00360522">
        <w:rPr>
          <w:rStyle w:val="SubtleEmphasis"/>
          <w:i w:val="0"/>
          <w:iCs w:val="0"/>
          <w:color w:val="000000"/>
        </w:rPr>
        <w:t>measures</w:t>
      </w:r>
      <w:r>
        <w:rPr>
          <w:rStyle w:val="SubtleEmphasis"/>
          <w:i w:val="0"/>
          <w:iCs w:val="0"/>
          <w:color w:val="000000"/>
        </w:rPr>
        <w:t xml:space="preserve"> (</w:t>
      </w:r>
      <w:r w:rsidR="00E92F79">
        <w:rPr>
          <w:rStyle w:val="SubtleEmphasis"/>
          <w:i w:val="0"/>
          <w:iCs w:val="0"/>
          <w:color w:val="000000"/>
        </w:rPr>
        <w:fldChar w:fldCharType="begin"/>
      </w:r>
      <w:r w:rsidR="00E92F79">
        <w:rPr>
          <w:rStyle w:val="SubtleEmphasis"/>
          <w:i w:val="0"/>
          <w:iCs w:val="0"/>
          <w:color w:val="000000"/>
        </w:rPr>
        <w:instrText xml:space="preserve"> REF _Ref80275719 \h </w:instrText>
      </w:r>
      <w:r w:rsidR="00E92F79">
        <w:rPr>
          <w:rStyle w:val="SubtleEmphasis"/>
          <w:i w:val="0"/>
          <w:iCs w:val="0"/>
          <w:color w:val="000000"/>
        </w:rPr>
      </w:r>
      <w:r w:rsidR="00E92F79">
        <w:rPr>
          <w:rStyle w:val="SubtleEmphasis"/>
          <w:i w:val="0"/>
          <w:iCs w:val="0"/>
          <w:color w:val="000000"/>
        </w:rPr>
        <w:fldChar w:fldCharType="separate"/>
      </w:r>
      <w:r w:rsidR="00FB4BB2">
        <w:t xml:space="preserve">Figure </w:t>
      </w:r>
      <w:r w:rsidR="00FB4BB2">
        <w:rPr>
          <w:noProof/>
        </w:rPr>
        <w:t>3</w:t>
      </w:r>
      <w:r w:rsidR="00E92F79">
        <w:rPr>
          <w:rStyle w:val="SubtleEmphasis"/>
          <w:i w:val="0"/>
          <w:iCs w:val="0"/>
          <w:color w:val="000000"/>
        </w:rPr>
        <w:fldChar w:fldCharType="end"/>
      </w:r>
      <w:r>
        <w:rPr>
          <w:rStyle w:val="SubtleEmphasis"/>
          <w:i w:val="0"/>
          <w:iCs w:val="0"/>
          <w:color w:val="000000"/>
        </w:rPr>
        <w:t>).</w:t>
      </w:r>
    </w:p>
    <w:p w14:paraId="25CB689C" w14:textId="77777777" w:rsidR="00EF4531" w:rsidRPr="007676B4" w:rsidRDefault="00EF4531" w:rsidP="00EF4531">
      <w:pPr>
        <w:pStyle w:val="BodyText"/>
        <w:rPr>
          <w:rStyle w:val="SubtleEmphasis"/>
          <w:i w:val="0"/>
          <w:iCs w:val="0"/>
          <w:color w:val="000000"/>
        </w:rPr>
      </w:pPr>
      <w:r w:rsidRPr="007676B4">
        <w:t>The GBA assessment determined with high confidence that all potential impacts on aquifers and groundwater dependent receptors from unconventional gas resource development can be mitigated through ongoing compliance with existing regulatory and management controls</w:t>
      </w:r>
      <w:r w:rsidRPr="007676B4">
        <w:rPr>
          <w:rStyle w:val="SubtleEmphasis"/>
          <w:i w:val="0"/>
          <w:iCs w:val="0"/>
          <w:color w:val="000000"/>
        </w:rPr>
        <w:t>.</w:t>
      </w:r>
    </w:p>
    <w:p w14:paraId="4F59CA4E" w14:textId="12DCD733" w:rsidR="00DC3BA0" w:rsidRDefault="00DC3BA0" w:rsidP="00DC3BA0">
      <w:pPr>
        <w:pStyle w:val="Caption"/>
      </w:pPr>
      <w:bookmarkStart w:id="6" w:name="_Ref80275719"/>
      <w:r>
        <w:t xml:space="preserve">Figure </w:t>
      </w:r>
      <w:r w:rsidRPr="3EEF69CC">
        <w:fldChar w:fldCharType="begin"/>
      </w:r>
      <w:r>
        <w:instrText xml:space="preserve"> SEQ Figure \* ARABIC </w:instrText>
      </w:r>
      <w:r w:rsidRPr="3EEF69CC">
        <w:fldChar w:fldCharType="separate"/>
      </w:r>
      <w:r w:rsidR="00FB4BB2">
        <w:rPr>
          <w:noProof/>
        </w:rPr>
        <w:t>3</w:t>
      </w:r>
      <w:r w:rsidRPr="3EEF69CC">
        <w:rPr>
          <w:noProof/>
        </w:rPr>
        <w:fldChar w:fldCharType="end"/>
      </w:r>
      <w:bookmarkEnd w:id="5"/>
      <w:bookmarkEnd w:id="6"/>
      <w:r>
        <w:t xml:space="preserve"> Combined groundwater and unsaturated zone dilution factors (DF) for offsite spills in the (a) Cooper GBA region and (b) </w:t>
      </w:r>
      <w:proofErr w:type="spellStart"/>
      <w:r>
        <w:t>Beetaloo</w:t>
      </w:r>
      <w:proofErr w:type="spellEnd"/>
      <w:r>
        <w:t xml:space="preserve"> GBA region</w:t>
      </w:r>
    </w:p>
    <w:p w14:paraId="32432038" w14:textId="4405A828" w:rsidR="0035192E" w:rsidRPr="007D0861" w:rsidRDefault="0035192E" w:rsidP="0035192E">
      <w:pPr>
        <w:pStyle w:val="SourceornoteforTableorFigure"/>
      </w:pPr>
      <w:r>
        <w:rPr>
          <w:noProof/>
        </w:rPr>
        <mc:AlternateContent>
          <mc:Choice Requires="wps">
            <w:drawing>
              <wp:anchor distT="0" distB="0" distL="114300" distR="114300" simplePos="0" relativeHeight="251667968" behindDoc="0" locked="0" layoutInCell="1" allowOverlap="1" wp14:anchorId="759D35C9" wp14:editId="4CABEDAB">
                <wp:simplePos x="0" y="0"/>
                <wp:positionH relativeFrom="column">
                  <wp:posOffset>2664460</wp:posOffset>
                </wp:positionH>
                <wp:positionV relativeFrom="paragraph">
                  <wp:posOffset>59690</wp:posOffset>
                </wp:positionV>
                <wp:extent cx="294005" cy="3575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94005" cy="357505"/>
                        </a:xfrm>
                        <a:prstGeom prst="rect">
                          <a:avLst/>
                        </a:prstGeom>
                        <a:noFill/>
                        <a:ln w="6350">
                          <a:noFill/>
                        </a:ln>
                      </wps:spPr>
                      <wps:txbx>
                        <w:txbxContent>
                          <w:p w14:paraId="65A28E38" w14:textId="1C236BA5" w:rsidR="00DC5A52" w:rsidRPr="000E588B" w:rsidRDefault="00DC5A52" w:rsidP="00DC5A52">
                            <w:pPr>
                              <w:pStyle w:val="BodyText"/>
                              <w:spacing w:before="0" w:after="0"/>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59D35C9" id="_x0000_t202" coordsize="21600,21600" o:spt="202" path="m,l,21600r21600,l21600,xe">
                <v:stroke joinstyle="miter"/>
                <v:path gradientshapeok="t" o:connecttype="rect"/>
              </v:shapetype>
              <v:shape id="Text Box 9" o:spid="_x0000_s1029" type="#_x0000_t202" style="position:absolute;margin-left:209.8pt;margin-top:4.7pt;width:23.15pt;height:2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" filled="f" stroked="f" strokeweight=".5pt">
                <v:textbox>
                  <w:txbxContent>
                    <w:p w14:paraId="65A28E38" w14:textId="1C236BA5" w:rsidR="00DC5A52" w:rsidRPr="000E588B" w:rsidRDefault="00DC5A52" w:rsidP="00DC5A52">
                      <w:pPr>
                        <w:pStyle w:val="BodyText"/>
                        <w:spacing w:before="0" w:after="0"/>
                        <w:rPr>
                          <w:b/>
                          <w:bCs/>
                        </w:rPr>
                      </w:pPr>
                      <w:r>
                        <w:rPr>
                          <w:b/>
                          <w:bCs/>
                        </w:rPr>
                        <w:t>b</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0ED7617" wp14:editId="15BDB8C6">
                <wp:simplePos x="0" y="0"/>
                <wp:positionH relativeFrom="column">
                  <wp:posOffset>-47625</wp:posOffset>
                </wp:positionH>
                <wp:positionV relativeFrom="paragraph">
                  <wp:posOffset>57701</wp:posOffset>
                </wp:positionV>
                <wp:extent cx="294198" cy="357808"/>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4198" cy="357808"/>
                        </a:xfrm>
                        <a:prstGeom prst="rect">
                          <a:avLst/>
                        </a:prstGeom>
                        <a:noFill/>
                        <a:ln w="6350">
                          <a:noFill/>
                        </a:ln>
                      </wps:spPr>
                      <wps:txbx>
                        <w:txbxContent>
                          <w:p w14:paraId="7576A1F2" w14:textId="77777777" w:rsidR="00DC5A52" w:rsidRPr="000E588B" w:rsidRDefault="00DC5A52" w:rsidP="00DC5A52">
                            <w:pPr>
                              <w:pStyle w:val="BodyText"/>
                              <w:spacing w:before="0" w:after="0"/>
                              <w:rPr>
                                <w:b/>
                                <w:bCs/>
                              </w:rPr>
                            </w:pPr>
                            <w:r w:rsidRPr="000E588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ED7617" id="Text Box 8" o:spid="_x0000_s1030" type="#_x0000_t202" style="position:absolute;margin-left:-3.75pt;margin-top:4.55pt;width:23.15pt;height:2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" filled="f" stroked="f" strokeweight=".5pt">
                <v:textbox>
                  <w:txbxContent>
                    <w:p w14:paraId="7576A1F2" w14:textId="77777777" w:rsidR="00DC5A52" w:rsidRPr="000E588B" w:rsidRDefault="00DC5A52" w:rsidP="00DC5A52">
                      <w:pPr>
                        <w:pStyle w:val="BodyText"/>
                        <w:spacing w:before="0" w:after="0"/>
                        <w:rPr>
                          <w:b/>
                          <w:bCs/>
                        </w:rPr>
                      </w:pPr>
                      <w:r w:rsidRPr="000E588B">
                        <w:rPr>
                          <w:b/>
                          <w:bCs/>
                        </w:rPr>
                        <w:t>a</w:t>
                      </w:r>
                    </w:p>
                  </w:txbxContent>
                </v:textbox>
              </v:shape>
            </w:pict>
          </mc:Fallback>
        </mc:AlternateContent>
      </w:r>
      <w:r w:rsidRPr="007D0861">
        <w:t>DF &lt;1</w:t>
      </w:r>
      <w:r>
        <w:t>,</w:t>
      </w:r>
      <w:r w:rsidRPr="007D0861">
        <w:t>000 indicates potential for risk to groundwater-dependent receptor</w:t>
      </w:r>
    </w:p>
    <w:p w14:paraId="5F12F7E5" w14:textId="1B0BA253" w:rsidR="00621810" w:rsidRPr="007D0861" w:rsidRDefault="007D0861" w:rsidP="007D0861">
      <w:pPr>
        <w:rPr>
          <w:lang w:eastAsia="en-AU"/>
        </w:rPr>
      </w:pPr>
      <w:r>
        <w:rPr>
          <w:noProof/>
        </w:rPr>
        <w:drawing>
          <wp:inline distT="0" distB="0" distL="0" distR="0" wp14:anchorId="07F9F287" wp14:editId="296E3C82">
            <wp:extent cx="5393058" cy="2520000"/>
            <wp:effectExtent l="0" t="0" r="0" b="0"/>
            <wp:docPr id="4" name="Picture 4" descr="Two maps that show combined grounwater and unsaturated zone dilution factors for offsite spills in the Cooper and Beetaloo GBA regions. For more detailed description of this image contact bioregionalassessment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maps that show combined grounwater and unsaturated zone dilution factors for offsite spills in the Cooper and Beetaloo GBA regions. For more detailed description of this image contact bioregionalassessments@awe.gov.au."/>
                    <pic:cNvPicPr/>
                  </pic:nvPicPr>
                  <pic:blipFill>
                    <a:blip r:embed="rId17">
                      <a:extLst>
                        <a:ext uri="{28A0092B-C50C-407E-A947-70E740481C1C}">
                          <a14:useLocalDpi xmlns:a14="http://schemas.microsoft.com/office/drawing/2010/main" val="0"/>
                        </a:ext>
                      </a:extLst>
                    </a:blip>
                    <a:stretch>
                      <a:fillRect/>
                    </a:stretch>
                  </pic:blipFill>
                  <pic:spPr>
                    <a:xfrm>
                      <a:off x="0" y="0"/>
                      <a:ext cx="5393058" cy="2520000"/>
                    </a:xfrm>
                    <a:prstGeom prst="rect">
                      <a:avLst/>
                    </a:prstGeom>
                  </pic:spPr>
                </pic:pic>
              </a:graphicData>
            </a:graphic>
          </wp:inline>
        </w:drawing>
      </w:r>
      <w:bookmarkEnd w:id="4"/>
    </w:p>
    <w:p w14:paraId="09C11C83" w14:textId="77777777" w:rsidR="00EF4531" w:rsidRDefault="00EF4531" w:rsidP="00EF4531">
      <w:pPr>
        <w:pStyle w:val="Heading1factsheet"/>
      </w:pPr>
      <w:r>
        <w:t>The GBA Program</w:t>
      </w:r>
    </w:p>
    <w:p w14:paraId="506F8D5A" w14:textId="77777777" w:rsidR="00EF4531" w:rsidRPr="00056DB7" w:rsidRDefault="00EF4531" w:rsidP="00EF4531">
      <w:pPr>
        <w:pStyle w:val="BodyText"/>
      </w:pPr>
      <w:r>
        <w:t>The $35.4 million Geological and Bioregional Assessment (GBA) Program is assessing the potential impacts of shale and tight gas development on water and the environment to inform regulatory frameworks and appropriate management approaches. The geological and environmental knowledge, data and tools produced by the GBA Program will assist governments, industry, land users and the community by informing decision-making and enabling the coordinated management of potential impacts.</w:t>
      </w:r>
    </w:p>
    <w:p w14:paraId="7C63A6B8" w14:textId="08AC340B" w:rsidR="00E55999" w:rsidRPr="002B17E8" w:rsidRDefault="00E55999" w:rsidP="00F0065D">
      <w:pPr>
        <w:pStyle w:val="Heading1factsheet"/>
        <w:spacing w:before="120" w:after="60"/>
      </w:pPr>
      <w:r w:rsidRPr="002B17E8">
        <w:t>How to cite</w:t>
      </w:r>
    </w:p>
    <w:p w14:paraId="44763F93" w14:textId="4398F00B" w:rsidR="002B17E8" w:rsidRPr="004F0CB5" w:rsidRDefault="00E55999" w:rsidP="00F0065D">
      <w:pPr>
        <w:pStyle w:val="BodyText"/>
        <w:spacing w:before="60"/>
      </w:pPr>
      <w:r w:rsidRPr="004F0CB5">
        <w:t xml:space="preserve">Geological and Bioregional Assessment Program (2021) </w:t>
      </w:r>
      <w:r w:rsidR="00056DB7" w:rsidRPr="004F0CB5">
        <w:t xml:space="preserve">Fact sheet 9: </w:t>
      </w:r>
      <w:r w:rsidRPr="004F0CB5">
        <w:t>Chemical screening framework [online document]. Fact sheet</w:t>
      </w:r>
      <w:r w:rsidR="002B17E8" w:rsidRPr="004F0CB5">
        <w:t xml:space="preserve"> </w:t>
      </w:r>
      <w:r w:rsidRPr="004F0CB5">
        <w:t>for the Geological and Bioregional Assessment Program.</w:t>
      </w:r>
    </w:p>
    <w:p w14:paraId="164F252E" w14:textId="15C1DD34" w:rsidR="00697227" w:rsidRDefault="00697227" w:rsidP="00F0065D">
      <w:pPr>
        <w:pStyle w:val="Heading1factsheet"/>
        <w:spacing w:after="60"/>
      </w:pPr>
      <w:r w:rsidRPr="002B17E8">
        <w:t>Find out more</w:t>
      </w:r>
    </w:p>
    <w:p w14:paraId="494FC6C4" w14:textId="372C43B1" w:rsidR="00CF5A89" w:rsidRPr="004F0CB5" w:rsidRDefault="00CF5A89" w:rsidP="005D2B9B">
      <w:pPr>
        <w:pStyle w:val="ListBullet"/>
      </w:pPr>
      <w:r w:rsidRPr="004F0CB5">
        <w:t xml:space="preserve">Mallants D, Bekele E, Schmid W, </w:t>
      </w:r>
      <w:proofErr w:type="spellStart"/>
      <w:r w:rsidRPr="004F0CB5">
        <w:t>Miotlinski</w:t>
      </w:r>
      <w:proofErr w:type="spellEnd"/>
      <w:r w:rsidRPr="004F0CB5">
        <w:t xml:space="preserve"> K, Taylor A, </w:t>
      </w:r>
      <w:proofErr w:type="spellStart"/>
      <w:r w:rsidRPr="004F0CB5">
        <w:t>Gerke</w:t>
      </w:r>
      <w:proofErr w:type="spellEnd"/>
      <w:r w:rsidRPr="004F0CB5">
        <w:t xml:space="preserve"> K and Gray B (2020) </w:t>
      </w:r>
      <w:hyperlink r:id="rId18" w:history="1">
        <w:r w:rsidRPr="00801B7E">
          <w:rPr>
            <w:rStyle w:val="Hyperlink"/>
          </w:rPr>
          <w:t>A generic method for predicting environmental concentrations of hydraulic fracturing chemicals in soil and shallow groundwater</w:t>
        </w:r>
      </w:hyperlink>
      <w:r w:rsidRPr="004F0CB5">
        <w:t>. Water 12(4), 941.</w:t>
      </w:r>
    </w:p>
    <w:p w14:paraId="332CB00F" w14:textId="091C50C6" w:rsidR="00715DC3" w:rsidRPr="004F0CB5" w:rsidRDefault="00715DC3" w:rsidP="00715DC3">
      <w:pPr>
        <w:pStyle w:val="BodyText"/>
        <w:rPr>
          <w:szCs w:val="22"/>
        </w:rPr>
      </w:pPr>
      <w:r w:rsidRPr="004F0CB5">
        <w:rPr>
          <w:szCs w:val="22"/>
        </w:rPr>
        <w:t xml:space="preserve">Datasets that support this work are available at </w:t>
      </w:r>
      <w:hyperlink r:id="rId19" w:history="1">
        <w:r w:rsidRPr="001B0905">
          <w:rPr>
            <w:rStyle w:val="Hyperlink"/>
            <w:szCs w:val="22"/>
          </w:rPr>
          <w:t>data.gov.au</w:t>
        </w:r>
      </w:hyperlink>
      <w:r w:rsidRPr="004F0CB5">
        <w:rPr>
          <w:szCs w:val="22"/>
        </w:rPr>
        <w:t>:</w:t>
      </w:r>
    </w:p>
    <w:p w14:paraId="0A07E2C2" w14:textId="6B92EB30" w:rsidR="005F2DE4" w:rsidRPr="004F0CB5" w:rsidRDefault="005F2DE4" w:rsidP="005D2B9B">
      <w:pPr>
        <w:pStyle w:val="ListBullet"/>
      </w:pPr>
      <w:r w:rsidRPr="004F0CB5">
        <w:t xml:space="preserve">Geological and Bioregional Assessment Program (2021) </w:t>
      </w:r>
      <w:hyperlink r:id="rId20" w:history="1">
        <w:r w:rsidRPr="00F96E83">
          <w:rPr>
            <w:rStyle w:val="Hyperlink"/>
          </w:rPr>
          <w:t>Contaminant screening modelling</w:t>
        </w:r>
      </w:hyperlink>
      <w:r w:rsidRPr="004F0CB5">
        <w:t>. [data]</w:t>
      </w:r>
    </w:p>
    <w:p w14:paraId="6642F31A" w14:textId="043EAC06" w:rsidR="00837173" w:rsidRPr="00CA0CA3" w:rsidRDefault="00F0065D" w:rsidP="00F0065D">
      <w:pPr>
        <w:pStyle w:val="BodyText"/>
      </w:pPr>
      <w:r w:rsidRPr="005308EF">
        <w:t xml:space="preserve">More information is available </w:t>
      </w:r>
      <w:r w:rsidRPr="00CD56F7">
        <w:rPr>
          <w:bCs/>
          <w:iCs/>
        </w:rPr>
        <w:t xml:space="preserve">at </w:t>
      </w:r>
      <w:hyperlink r:id="rId21" w:history="1">
        <w:r w:rsidRPr="00197B18">
          <w:rPr>
            <w:rStyle w:val="Hyperlink"/>
          </w:rPr>
          <w:t>bioregionalassessments.gov.au/</w:t>
        </w:r>
        <w:proofErr w:type="spellStart"/>
        <w:r w:rsidRPr="00197B18">
          <w:rPr>
            <w:rStyle w:val="Hyperlink"/>
          </w:rPr>
          <w:t>gba</w:t>
        </w:r>
        <w:proofErr w:type="spellEnd"/>
      </w:hyperlink>
      <w:r w:rsidRPr="005308EF">
        <w:t>.</w:t>
      </w:r>
    </w:p>
    <w:sectPr w:rsidR="00837173" w:rsidRPr="00CA0CA3" w:rsidSect="00EF4531">
      <w:footerReference w:type="default" r:id="rId22"/>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A249F" w14:textId="77777777" w:rsidR="008F54F1" w:rsidRDefault="008F54F1" w:rsidP="009964E7">
      <w:r>
        <w:separator/>
      </w:r>
    </w:p>
    <w:p w14:paraId="030B880F" w14:textId="77777777" w:rsidR="008F54F1" w:rsidRDefault="008F54F1"/>
  </w:endnote>
  <w:endnote w:type="continuationSeparator" w:id="0">
    <w:p w14:paraId="08A6A043" w14:textId="77777777" w:rsidR="008F54F1" w:rsidRDefault="008F54F1" w:rsidP="009964E7">
      <w:r>
        <w:continuationSeparator/>
      </w:r>
    </w:p>
    <w:p w14:paraId="7B5EDD10" w14:textId="77777777" w:rsidR="008F54F1" w:rsidRDefault="008F54F1"/>
  </w:endnote>
  <w:endnote w:type="continuationNotice" w:id="1">
    <w:p w14:paraId="0242E012" w14:textId="77777777" w:rsidR="008F54F1" w:rsidRDefault="008F54F1"/>
    <w:p w14:paraId="5A9AB6A8" w14:textId="77777777" w:rsidR="008F54F1" w:rsidRDefault="008F5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7F514" w14:textId="77777777"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55B507F7" wp14:editId="1CFF6A4C">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5A1D1FB2" w14:textId="77777777" w:rsidR="00CE28F3" w:rsidRDefault="00CE28F3"/>
                        <w:p w14:paraId="2A55D438" w14:textId="77777777" w:rsidR="00CE28F3" w:rsidRDefault="00CE28F3" w:rsidP="00CE28F3">
                          <w:pPr>
                            <w:pStyle w:val="CoverFooter"/>
                          </w:pPr>
                          <w:r>
                            <w:t xml:space="preserve">A scientific collaboration between the Department of </w:t>
                          </w:r>
                          <w:r w:rsidR="003F6F9E">
                            <w:t>Agriculture, Water and the Environment</w:t>
                          </w:r>
                          <w:r>
                            <w:t xml:space="preserve">, </w:t>
                          </w:r>
                        </w:p>
                        <w:p w14:paraId="39BB390B" w14:textId="77777777" w:rsidR="00351669" w:rsidRDefault="00CE28F3" w:rsidP="00CE28F3">
                          <w:pPr>
                            <w:pStyle w:val="CoverFooter"/>
                          </w:pP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type w14:anchorId="55B507F7" id="_x0000_t202" coordsize="21600,21600" o:spt="202" path="m,l,21600r21600,l21600,xe">
              <v:stroke joinstyle="miter"/>
              <v:path gradientshapeok="t" o:connecttype="rect"/>
            </v:shapetype>
            <v:shape id="Text Box 1612190414" o:spid="_x0000_s1031" type="#_x0000_t202" style="position:absolute;margin-left:2.45pt;margin-top:-23.2pt;width:452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filled="f" stroked="f" strokeweight=".5pt">
              <v:textbox>
                <w:txbxContent>
                  <w:p w14:paraId="5A1D1FB2" w14:textId="77777777" w:rsidR="00CE28F3" w:rsidRDefault="00CE28F3"/>
                  <w:p w14:paraId="2A55D438" w14:textId="77777777" w:rsidR="00CE28F3" w:rsidRDefault="00CE28F3" w:rsidP="00CE28F3">
                    <w:pPr>
                      <w:pStyle w:val="CoverFooter"/>
                    </w:pPr>
                    <w:r>
                      <w:t xml:space="preserve">A scientific collaboration between the Department of </w:t>
                    </w:r>
                    <w:r w:rsidR="003F6F9E">
                      <w:t>Agriculture, Water and the Environment</w:t>
                    </w:r>
                    <w:r>
                      <w:t xml:space="preserve">, </w:t>
                    </w:r>
                  </w:p>
                  <w:p w14:paraId="39BB390B" w14:textId="77777777" w:rsidR="00351669" w:rsidRDefault="00CE28F3" w:rsidP="00CE28F3">
                    <w:pPr>
                      <w:pStyle w:val="CoverFooter"/>
                    </w:pPr>
                    <w:r>
                      <w:t>Bureau of Meteorology, CSIRO and Geoscience Australia</w:t>
                    </w:r>
                  </w:p>
                </w:txbxContent>
              </v:textbox>
            </v:shape>
          </w:pict>
        </mc:Fallback>
      </mc:AlternateContent>
    </w:r>
    <w:r>
      <w:rPr>
        <w:noProof/>
      </w:rPr>
      <w:drawing>
        <wp:anchor distT="0" distB="0" distL="114300" distR="114300" simplePos="0" relativeHeight="251657216" behindDoc="0" locked="0" layoutInCell="1" allowOverlap="1" wp14:anchorId="0D9D97BD" wp14:editId="71D2F4FD">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CF38C" w14:textId="77777777" w:rsidR="008F54F1" w:rsidRDefault="008F54F1">
      <w:r>
        <w:separator/>
      </w:r>
    </w:p>
    <w:p w14:paraId="1F883819" w14:textId="77777777" w:rsidR="008F54F1" w:rsidRDefault="008F54F1"/>
  </w:footnote>
  <w:footnote w:type="continuationSeparator" w:id="0">
    <w:p w14:paraId="7FF137F9" w14:textId="77777777" w:rsidR="008F54F1" w:rsidRDefault="008F54F1">
      <w:r>
        <w:continuationSeparator/>
      </w:r>
    </w:p>
    <w:p w14:paraId="63FD5AF1" w14:textId="77777777" w:rsidR="008F54F1" w:rsidRDefault="008F54F1"/>
  </w:footnote>
  <w:footnote w:type="continuationNotice" w:id="1">
    <w:p w14:paraId="78C6FB21" w14:textId="77777777" w:rsidR="008F54F1" w:rsidRDefault="008F54F1"/>
    <w:p w14:paraId="049D1129" w14:textId="77777777" w:rsidR="008F54F1" w:rsidRDefault="008F54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25pt;height:28.5pt;visibility:visible;mso-wrap-style:square" o:bullet="t">
        <v:imagedata r:id="rId1" o:title=""/>
      </v:shape>
    </w:pict>
  </w:numPicBullet>
  <w:abstractNum w:abstractNumId="0" w15:restartNumberingAfterBreak="0">
    <w:nsid w:val="FFFFFF83"/>
    <w:multiLevelType w:val="singleLevel"/>
    <w:tmpl w:val="A936F440"/>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E2BA8960">
      <w:start w:val="1"/>
      <w:numFmt w:val="bullet"/>
      <w:lvlText w:val="o"/>
      <w:lvlJc w:val="left"/>
      <w:pPr>
        <w:tabs>
          <w:tab w:val="num" w:pos="720"/>
        </w:tabs>
        <w:ind w:left="720" w:hanging="360"/>
      </w:pPr>
      <w:rPr>
        <w:rFonts w:ascii="Courier New" w:hAnsi="Courier New" w:hint="default"/>
        <w:sz w:val="20"/>
      </w:rPr>
    </w:lvl>
    <w:lvl w:ilvl="1" w:tplc="AB964B6E" w:tentative="1">
      <w:start w:val="1"/>
      <w:numFmt w:val="bullet"/>
      <w:lvlText w:val="o"/>
      <w:lvlJc w:val="left"/>
      <w:pPr>
        <w:tabs>
          <w:tab w:val="num" w:pos="1440"/>
        </w:tabs>
        <w:ind w:left="1440" w:hanging="360"/>
      </w:pPr>
      <w:rPr>
        <w:rFonts w:ascii="Courier New" w:hAnsi="Courier New" w:hint="default"/>
        <w:sz w:val="20"/>
      </w:rPr>
    </w:lvl>
    <w:lvl w:ilvl="2" w:tplc="53FEA7B8" w:tentative="1">
      <w:start w:val="1"/>
      <w:numFmt w:val="bullet"/>
      <w:lvlText w:val="o"/>
      <w:lvlJc w:val="left"/>
      <w:pPr>
        <w:tabs>
          <w:tab w:val="num" w:pos="2160"/>
        </w:tabs>
        <w:ind w:left="2160" w:hanging="360"/>
      </w:pPr>
      <w:rPr>
        <w:rFonts w:ascii="Courier New" w:hAnsi="Courier New" w:hint="default"/>
        <w:sz w:val="20"/>
      </w:rPr>
    </w:lvl>
    <w:lvl w:ilvl="3" w:tplc="D57EF094" w:tentative="1">
      <w:start w:val="1"/>
      <w:numFmt w:val="bullet"/>
      <w:lvlText w:val="o"/>
      <w:lvlJc w:val="left"/>
      <w:pPr>
        <w:tabs>
          <w:tab w:val="num" w:pos="2880"/>
        </w:tabs>
        <w:ind w:left="2880" w:hanging="360"/>
      </w:pPr>
      <w:rPr>
        <w:rFonts w:ascii="Courier New" w:hAnsi="Courier New" w:hint="default"/>
        <w:sz w:val="20"/>
      </w:rPr>
    </w:lvl>
    <w:lvl w:ilvl="4" w:tplc="EB828876" w:tentative="1">
      <w:start w:val="1"/>
      <w:numFmt w:val="bullet"/>
      <w:lvlText w:val="o"/>
      <w:lvlJc w:val="left"/>
      <w:pPr>
        <w:tabs>
          <w:tab w:val="num" w:pos="3600"/>
        </w:tabs>
        <w:ind w:left="3600" w:hanging="360"/>
      </w:pPr>
      <w:rPr>
        <w:rFonts w:ascii="Courier New" w:hAnsi="Courier New" w:hint="default"/>
        <w:sz w:val="20"/>
      </w:rPr>
    </w:lvl>
    <w:lvl w:ilvl="5" w:tplc="BBD66F8C" w:tentative="1">
      <w:start w:val="1"/>
      <w:numFmt w:val="bullet"/>
      <w:lvlText w:val="o"/>
      <w:lvlJc w:val="left"/>
      <w:pPr>
        <w:tabs>
          <w:tab w:val="num" w:pos="4320"/>
        </w:tabs>
        <w:ind w:left="4320" w:hanging="360"/>
      </w:pPr>
      <w:rPr>
        <w:rFonts w:ascii="Courier New" w:hAnsi="Courier New" w:hint="default"/>
        <w:sz w:val="20"/>
      </w:rPr>
    </w:lvl>
    <w:lvl w:ilvl="6" w:tplc="A96040E2" w:tentative="1">
      <w:start w:val="1"/>
      <w:numFmt w:val="bullet"/>
      <w:lvlText w:val="o"/>
      <w:lvlJc w:val="left"/>
      <w:pPr>
        <w:tabs>
          <w:tab w:val="num" w:pos="5040"/>
        </w:tabs>
        <w:ind w:left="5040" w:hanging="360"/>
      </w:pPr>
      <w:rPr>
        <w:rFonts w:ascii="Courier New" w:hAnsi="Courier New" w:hint="default"/>
        <w:sz w:val="20"/>
      </w:rPr>
    </w:lvl>
    <w:lvl w:ilvl="7" w:tplc="92D0B120" w:tentative="1">
      <w:start w:val="1"/>
      <w:numFmt w:val="bullet"/>
      <w:lvlText w:val="o"/>
      <w:lvlJc w:val="left"/>
      <w:pPr>
        <w:tabs>
          <w:tab w:val="num" w:pos="5760"/>
        </w:tabs>
        <w:ind w:left="5760" w:hanging="360"/>
      </w:pPr>
      <w:rPr>
        <w:rFonts w:ascii="Courier New" w:hAnsi="Courier New" w:hint="default"/>
        <w:sz w:val="20"/>
      </w:rPr>
    </w:lvl>
    <w:lvl w:ilvl="8" w:tplc="A8C41AF6"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multilevel"/>
    <w:tmpl w:val="34B69DEC"/>
    <w:styleLink w:val="TableBullets"/>
    <w:lvl w:ilvl="0">
      <w:start w:val="1"/>
      <w:numFmt w:val="decimal"/>
      <w:lvlText w:val="%1."/>
      <w:lvlJc w:val="left"/>
      <w:pPr>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hybridMultilevel"/>
    <w:tmpl w:val="F6D4E97C"/>
    <w:lvl w:ilvl="0" w:tplc="B90C925C">
      <w:start w:val="1"/>
      <w:numFmt w:val="bullet"/>
      <w:lvlText w:val=""/>
      <w:lvlJc w:val="left"/>
      <w:pPr>
        <w:ind w:left="720" w:hanging="360"/>
      </w:pPr>
      <w:rPr>
        <w:rFonts w:ascii="Symbol" w:hAnsi="Symbol" w:hint="default"/>
        <w:color w:val="auto"/>
      </w:rPr>
    </w:lvl>
    <w:lvl w:ilvl="1" w:tplc="45ECBBBE">
      <w:start w:val="1"/>
      <w:numFmt w:val="bullet"/>
      <w:lvlText w:val=""/>
      <w:lvlJc w:val="left"/>
      <w:pPr>
        <w:tabs>
          <w:tab w:val="num" w:pos="851"/>
        </w:tabs>
        <w:ind w:left="851" w:hanging="284"/>
      </w:pPr>
      <w:rPr>
        <w:rFonts w:ascii="Symbol" w:hAnsi="Symbol" w:hint="default"/>
        <w:color w:val="auto"/>
      </w:rPr>
    </w:lvl>
    <w:lvl w:ilvl="2" w:tplc="EEE0D160">
      <w:start w:val="1"/>
      <w:numFmt w:val="none"/>
      <w:lvlText w:val=""/>
      <w:lvlJc w:val="left"/>
      <w:pPr>
        <w:ind w:left="1080" w:hanging="360"/>
      </w:pPr>
      <w:rPr>
        <w:rFonts w:hint="default"/>
      </w:rPr>
    </w:lvl>
    <w:lvl w:ilvl="3" w:tplc="0E02AAE8">
      <w:start w:val="1"/>
      <w:numFmt w:val="none"/>
      <w:lvlText w:val=""/>
      <w:lvlJc w:val="left"/>
      <w:pPr>
        <w:ind w:left="1440" w:hanging="360"/>
      </w:pPr>
      <w:rPr>
        <w:rFonts w:hint="default"/>
      </w:rPr>
    </w:lvl>
    <w:lvl w:ilvl="4" w:tplc="1694757A">
      <w:start w:val="1"/>
      <w:numFmt w:val="none"/>
      <w:lvlText w:val=""/>
      <w:lvlJc w:val="left"/>
      <w:pPr>
        <w:ind w:left="1800" w:hanging="360"/>
      </w:pPr>
      <w:rPr>
        <w:rFonts w:hint="default"/>
      </w:rPr>
    </w:lvl>
    <w:lvl w:ilvl="5" w:tplc="6398199E">
      <w:start w:val="1"/>
      <w:numFmt w:val="none"/>
      <w:lvlText w:val=""/>
      <w:lvlJc w:val="left"/>
      <w:pPr>
        <w:ind w:left="2160" w:hanging="360"/>
      </w:pPr>
      <w:rPr>
        <w:rFonts w:hint="default"/>
      </w:rPr>
    </w:lvl>
    <w:lvl w:ilvl="6" w:tplc="239A4386">
      <w:start w:val="1"/>
      <w:numFmt w:val="none"/>
      <w:lvlText w:val=""/>
      <w:lvlJc w:val="left"/>
      <w:pPr>
        <w:ind w:left="2520" w:hanging="360"/>
      </w:pPr>
      <w:rPr>
        <w:rFonts w:hint="default"/>
      </w:rPr>
    </w:lvl>
    <w:lvl w:ilvl="7" w:tplc="F26CA9D4">
      <w:start w:val="1"/>
      <w:numFmt w:val="none"/>
      <w:lvlText w:val=""/>
      <w:lvlJc w:val="left"/>
      <w:pPr>
        <w:ind w:left="2880" w:hanging="360"/>
      </w:pPr>
      <w:rPr>
        <w:rFonts w:hint="default"/>
      </w:rPr>
    </w:lvl>
    <w:lvl w:ilvl="8" w:tplc="A196A56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ewrtav2t0ttxe5avdx59wv5dss95p5ts2a&quot;&gt;sally.tetreault-campbell@csiro.au&lt;record-ids&gt;&lt;item&gt;3525&lt;/item&gt;&lt;/record-ids&gt;&lt;/item&gt;&lt;/Libraries&gt;"/>
  </w:docVars>
  <w:rsids>
    <w:rsidRoot w:val="002B17E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693"/>
    <w:rsid w:val="000067EB"/>
    <w:rsid w:val="00006C14"/>
    <w:rsid w:val="000070F6"/>
    <w:rsid w:val="0000710B"/>
    <w:rsid w:val="000072C5"/>
    <w:rsid w:val="00007460"/>
    <w:rsid w:val="00007533"/>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DB7"/>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449"/>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1E"/>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C3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B3F"/>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88B"/>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CDA"/>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D5F"/>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709"/>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38"/>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793"/>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905"/>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3EA3"/>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25"/>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6A"/>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BB6"/>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42"/>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B89"/>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BF0"/>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7E8"/>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12D"/>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36D"/>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92E"/>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522"/>
    <w:rsid w:val="0036081C"/>
    <w:rsid w:val="00360AC5"/>
    <w:rsid w:val="00360D18"/>
    <w:rsid w:val="00360F72"/>
    <w:rsid w:val="00361371"/>
    <w:rsid w:val="00361420"/>
    <w:rsid w:val="00361606"/>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5C8"/>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86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004"/>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484"/>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5AC"/>
    <w:rsid w:val="0043063B"/>
    <w:rsid w:val="004307B0"/>
    <w:rsid w:val="0043088F"/>
    <w:rsid w:val="00430987"/>
    <w:rsid w:val="00430CAC"/>
    <w:rsid w:val="00430D3A"/>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304"/>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316"/>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3A"/>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251"/>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684"/>
    <w:rsid w:val="004F0BCA"/>
    <w:rsid w:val="004F0CB5"/>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4DF"/>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A"/>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3D6"/>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B9B"/>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375"/>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DE4"/>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A5F"/>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A"/>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10"/>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06"/>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3A38"/>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0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00C"/>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B6"/>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1A2"/>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B06"/>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AD9"/>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07"/>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49"/>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5DC3"/>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00"/>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6B4"/>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001"/>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7D8"/>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0F09"/>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861"/>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1B7E"/>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AA1"/>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5B78"/>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0"/>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035"/>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947"/>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4F1"/>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3F28"/>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58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79"/>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12C"/>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9AC"/>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BA"/>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ACE"/>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9A"/>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E76"/>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854"/>
    <w:rsid w:val="00B33956"/>
    <w:rsid w:val="00B33A5E"/>
    <w:rsid w:val="00B33B9A"/>
    <w:rsid w:val="00B33CA9"/>
    <w:rsid w:val="00B3439A"/>
    <w:rsid w:val="00B34418"/>
    <w:rsid w:val="00B34419"/>
    <w:rsid w:val="00B34513"/>
    <w:rsid w:val="00B3452A"/>
    <w:rsid w:val="00B3464D"/>
    <w:rsid w:val="00B3469A"/>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080"/>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58B"/>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923"/>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4DA"/>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31F"/>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5B"/>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CA3"/>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68A"/>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5A89"/>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49"/>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8F1"/>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7DD"/>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4F"/>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A0"/>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A52"/>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9FB"/>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69A"/>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5D2"/>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03D"/>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4FC"/>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9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2F7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07"/>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0DB9"/>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31"/>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65D"/>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207"/>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4D"/>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4F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E83"/>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BB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44"/>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92531A1"/>
    <w:rsid w:val="0AE9C665"/>
    <w:rsid w:val="10423575"/>
    <w:rsid w:val="132D64F9"/>
    <w:rsid w:val="191952A6"/>
    <w:rsid w:val="1960DDE0"/>
    <w:rsid w:val="1E46B9BD"/>
    <w:rsid w:val="1F3FCDE9"/>
    <w:rsid w:val="1FBB2545"/>
    <w:rsid w:val="1FE57496"/>
    <w:rsid w:val="23A8FDD2"/>
    <w:rsid w:val="244938C1"/>
    <w:rsid w:val="245BE672"/>
    <w:rsid w:val="256F98D9"/>
    <w:rsid w:val="2C9FC0E0"/>
    <w:rsid w:val="2D127FAB"/>
    <w:rsid w:val="34999F35"/>
    <w:rsid w:val="35CAA73B"/>
    <w:rsid w:val="3602EB96"/>
    <w:rsid w:val="38CDF563"/>
    <w:rsid w:val="39A891A4"/>
    <w:rsid w:val="39F8D2F7"/>
    <w:rsid w:val="3CC690A2"/>
    <w:rsid w:val="3CEF4142"/>
    <w:rsid w:val="3EEF69CC"/>
    <w:rsid w:val="3EFCF03E"/>
    <w:rsid w:val="46E518FB"/>
    <w:rsid w:val="47B6FB9D"/>
    <w:rsid w:val="4810F767"/>
    <w:rsid w:val="498FD081"/>
    <w:rsid w:val="49E08251"/>
    <w:rsid w:val="4A8AE887"/>
    <w:rsid w:val="4AB43E57"/>
    <w:rsid w:val="4B58BA57"/>
    <w:rsid w:val="52FA0771"/>
    <w:rsid w:val="54BDACDF"/>
    <w:rsid w:val="54DBA0B8"/>
    <w:rsid w:val="5808EE4F"/>
    <w:rsid w:val="586623CB"/>
    <w:rsid w:val="5E5BC96D"/>
    <w:rsid w:val="5EBA5D21"/>
    <w:rsid w:val="60698414"/>
    <w:rsid w:val="6165C075"/>
    <w:rsid w:val="6322D929"/>
    <w:rsid w:val="6385EB8B"/>
    <w:rsid w:val="64070552"/>
    <w:rsid w:val="65431716"/>
    <w:rsid w:val="65C8A375"/>
    <w:rsid w:val="6988689C"/>
    <w:rsid w:val="6FAB5192"/>
    <w:rsid w:val="7844B55F"/>
    <w:rsid w:val="79462555"/>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368F9D0D"/>
  <w15:docId w15:val="{C66EE756-441E-0C40-977F-18603CA8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sz w:val="24"/>
      <w:szCs w:val="24"/>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cs="Calibri"/>
      <w:noProof/>
      <w:color w:val="000000"/>
      <w:sz w:val="24"/>
      <w:szCs w:val="24"/>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paragraph" w:customStyle="1" w:styleId="Keywords">
    <w:name w:val="Keywords"/>
    <w:basedOn w:val="Normal"/>
    <w:link w:val="KeywordsChar"/>
    <w:rsid w:val="00621810"/>
    <w:pPr>
      <w:spacing w:before="240" w:line="360" w:lineRule="auto"/>
      <w:ind w:firstLine="230"/>
    </w:pPr>
    <w:rPr>
      <w:sz w:val="20"/>
      <w:szCs w:val="20"/>
    </w:rPr>
  </w:style>
  <w:style w:type="character" w:customStyle="1" w:styleId="KeywordsChar">
    <w:name w:val="Keywords Char"/>
    <w:basedOn w:val="DefaultParagraphFont"/>
    <w:link w:val="Keywords"/>
    <w:rsid w:val="00621810"/>
    <w:rPr>
      <w:rFonts w:ascii="Times New Roman" w:eastAsia="Times New Roman" w:hAnsi="Times New Roman"/>
      <w:lang w:eastAsia="en-US"/>
    </w:rPr>
  </w:style>
  <w:style w:type="paragraph" w:customStyle="1" w:styleId="AbsparaFirst">
    <w:name w:val="AbsparaFirst"/>
    <w:basedOn w:val="Normal"/>
    <w:rsid w:val="008C5035"/>
    <w:pPr>
      <w:spacing w:before="120" w:line="36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41567384">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312651">
      <w:bodyDiv w:val="1"/>
      <w:marLeft w:val="0"/>
      <w:marRight w:val="0"/>
      <w:marTop w:val="0"/>
      <w:marBottom w:val="0"/>
      <w:divBdr>
        <w:top w:val="none" w:sz="0" w:space="0" w:color="auto"/>
        <w:left w:val="none" w:sz="0" w:space="0" w:color="auto"/>
        <w:bottom w:val="none" w:sz="0" w:space="0" w:color="auto"/>
        <w:right w:val="none" w:sz="0" w:space="0" w:color="auto"/>
      </w:divBdr>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73688584">
      <w:bodyDiv w:val="1"/>
      <w:marLeft w:val="0"/>
      <w:marRight w:val="0"/>
      <w:marTop w:val="0"/>
      <w:marBottom w:val="0"/>
      <w:divBdr>
        <w:top w:val="none" w:sz="0" w:space="0" w:color="auto"/>
        <w:left w:val="none" w:sz="0" w:space="0" w:color="auto"/>
        <w:bottom w:val="none" w:sz="0" w:space="0" w:color="auto"/>
        <w:right w:val="none" w:sz="0" w:space="0" w:color="auto"/>
      </w:divBdr>
    </w:div>
    <w:div w:id="87584682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38625942">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71046620">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5979820">
      <w:bodyDiv w:val="1"/>
      <w:marLeft w:val="0"/>
      <w:marRight w:val="0"/>
      <w:marTop w:val="0"/>
      <w:marBottom w:val="0"/>
      <w:divBdr>
        <w:top w:val="none" w:sz="0" w:space="0" w:color="auto"/>
        <w:left w:val="none" w:sz="0" w:space="0" w:color="auto"/>
        <w:bottom w:val="none" w:sz="0" w:space="0" w:color="auto"/>
        <w:right w:val="none" w:sz="0" w:space="0" w:color="auto"/>
      </w:divBdr>
      <w:divsChild>
        <w:div w:id="1230458128">
          <w:marLeft w:val="0"/>
          <w:marRight w:val="0"/>
          <w:marTop w:val="0"/>
          <w:marBottom w:val="0"/>
          <w:divBdr>
            <w:top w:val="none" w:sz="0" w:space="0" w:color="auto"/>
            <w:left w:val="none" w:sz="0" w:space="0" w:color="auto"/>
            <w:bottom w:val="none" w:sz="0" w:space="0" w:color="auto"/>
            <w:right w:val="none" w:sz="0" w:space="0" w:color="auto"/>
          </w:divBdr>
        </w:div>
      </w:divsChild>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eg"/><Relationship Id="rId18" Type="http://schemas.openxmlformats.org/officeDocument/2006/relationships/hyperlink" Target="https://doi.org/10.3390/w12040941" TargetMode="External"/><Relationship Id="rId3" Type="http://schemas.openxmlformats.org/officeDocument/2006/relationships/customXml" Target="../customXml/item3.xml"/><Relationship Id="rId21" Type="http://schemas.openxmlformats.org/officeDocument/2006/relationships/hyperlink" Target="https://www.bioregionalassessments.gov.au/gb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ata.gov.au/data/dataset/D5BD13F6-BEEA-4FD5-8289-62AE9408CA1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data.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csiroau.sharepoint.com/sites/GeologicalBio-regionalAssessment/Shared%20Documents/GBA%20products/Communication%20and%20synthesis/Fact%20sheets/Archive/GBA-ChemicalScreeninFactSheet_Rebecc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9. Rebecca Doble lead author</Notes0>
    <Metadata xmlns="f6b232a6-7847-4fcd-9f2f-4076cd779963">
      <Url xsi:nil="true"/>
      <Description xsi:nil="true"/>
    </Metadata>
    <_dlc_DocId xmlns="1ce706f3-5237-42b3-876d-cf68da5c0e0a">NN2TW47UTC5W-1349389608-7463</_dlc_DocId>
    <_dlc_DocIdUrl xmlns="1ce706f3-5237-42b3-876d-cf68da5c0e0a">
      <Url>https://csiroau.sharepoint.com/sites/GeologicalBio-regionalAssessment/_layouts/15/DocIdRedir.aspx?ID=NN2TW47UTC5W-1349389608-7463</Url>
      <Description>NN2TW47UTC5W-1349389608-7463</Description>
    </_dlc_DocIdUrl>
    <GBAregion xmlns="f6b232a6-7847-4fcd-9f2f-4076cd7799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5781E82-D441-4C2F-B7EA-50DF8BDB6121}">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2.xml><?xml version="1.0" encoding="utf-8"?>
<ds:datastoreItem xmlns:ds="http://schemas.openxmlformats.org/officeDocument/2006/customXml" ds:itemID="{C5DC7EF5-AF0A-49E9-88F3-BADC037DB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4.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5.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6.xml><?xml version="1.0" encoding="utf-8"?>
<ds:datastoreItem xmlns:ds="http://schemas.openxmlformats.org/officeDocument/2006/customXml" ds:itemID="{83F4E290-A68A-4591-B3CA-C8E366B5BD8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GBA-ChemicalScreeninFactSheet_RebeccaD.dotx</Template>
  <TotalTime>67</TotalTime>
  <Pages>2</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4113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9: Application of the chemical screening framework</dc:title>
  <dc:subject/>
  <dc:creator>Australian Government Bioregional Assessments</dc:creator>
  <cp:keywords/>
  <dc:description/>
  <cp:lastModifiedBy>Merrin, Linda (L&amp;W, Clayton)</cp:lastModifiedBy>
  <cp:revision>87</cp:revision>
  <cp:lastPrinted>2021-08-27T06:59:00Z</cp:lastPrinted>
  <dcterms:created xsi:type="dcterms:W3CDTF">2021-05-25T10:12:00Z</dcterms:created>
  <dcterms:modified xsi:type="dcterms:W3CDTF">2021-08-27T06:59:00Z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821ac36f-cfa6-449c-a525-8f7b30d34dbb</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