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BBA68" w14:textId="4271BE3D" w:rsidR="00A3521C" w:rsidRDefault="00B92921" w:rsidP="00A3521C">
      <w:pPr>
        <w:pStyle w:val="GBAProgramtitle"/>
        <w:jc w:val="right"/>
      </w:pPr>
      <w:bookmarkStart w:id="0" w:name="_Toc367791208"/>
      <w:r w:rsidRPr="002C17EB">
        <w:rPr>
          <w:noProof/>
        </w:rPr>
        <w:drawing>
          <wp:anchor distT="0" distB="0" distL="114300" distR="114300" simplePos="0" relativeHeight="251658241" behindDoc="0" locked="0" layoutInCell="1" allowOverlap="1" wp14:anchorId="65EB87B6" wp14:editId="623B6E91">
            <wp:simplePos x="0" y="0"/>
            <wp:positionH relativeFrom="page">
              <wp:posOffset>-41910</wp:posOffset>
            </wp:positionH>
            <wp:positionV relativeFrom="page">
              <wp:posOffset>-262890</wp:posOffset>
            </wp:positionV>
            <wp:extent cx="7595870" cy="1162715"/>
            <wp:effectExtent l="0" t="0" r="0" b="0"/>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870" cy="116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Pr>
          <w:noProof/>
        </w:rPr>
        <w:drawing>
          <wp:anchor distT="0" distB="0" distL="114300" distR="114300" simplePos="0" relativeHeight="251658240" behindDoc="0" locked="0" layoutInCell="1" allowOverlap="1" wp14:anchorId="667A36C6" wp14:editId="79943958">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 xml:space="preserve">Geological and Bioregional </w:t>
      </w:r>
      <w:r w:rsidR="00CB6891">
        <w:br/>
      </w:r>
      <w:r w:rsidR="00CB6891" w:rsidRPr="00075C49">
        <w:t>Assessment Program</w:t>
      </w:r>
      <w:r w:rsidR="00A3521C">
        <w:t xml:space="preserve"> </w:t>
      </w:r>
    </w:p>
    <w:p w14:paraId="25389E77" w14:textId="4DF24691" w:rsidR="00C51F24" w:rsidRPr="00C33C0F" w:rsidRDefault="00F30B04" w:rsidP="353B1D04">
      <w:pPr>
        <w:pStyle w:val="Factsheetsubtitle"/>
      </w:pPr>
      <w:bookmarkStart w:id="1" w:name="_Hlk49937112"/>
      <w:bookmarkEnd w:id="1"/>
      <w:r>
        <w:t>Fact sheet 6</w:t>
      </w:r>
      <w:r>
        <w:br/>
      </w:r>
      <w:proofErr w:type="spellStart"/>
      <w:r w:rsidR="004715B7">
        <w:t>Beetaloo</w:t>
      </w:r>
      <w:proofErr w:type="spellEnd"/>
      <w:r w:rsidR="004715B7">
        <w:t xml:space="preserve"> GBA</w:t>
      </w:r>
      <w:r w:rsidR="00C27709">
        <w:t xml:space="preserve"> recharge pathways</w:t>
      </w:r>
      <w:r w:rsidR="009801BE">
        <w:t xml:space="preserve"> </w:t>
      </w:r>
      <w:r w:rsidR="004715B7">
        <w:t xml:space="preserve">– </w:t>
      </w:r>
      <w:r w:rsidR="000769FD">
        <w:t xml:space="preserve">Geology </w:t>
      </w:r>
      <w:r w:rsidR="006D5AC6">
        <w:t>of the Carpenta</w:t>
      </w:r>
      <w:r w:rsidR="00C27709">
        <w:t>ria Basin</w:t>
      </w:r>
      <w:r w:rsidR="00CB6656">
        <w:t xml:space="preserve"> and Cenozoic sediments</w:t>
      </w:r>
    </w:p>
    <w:p w14:paraId="0B796936" w14:textId="571258AA" w:rsidR="00E2621C" w:rsidRPr="009903A5" w:rsidRDefault="00F30B04" w:rsidP="1FE27654">
      <w:pPr>
        <w:pStyle w:val="BodyText"/>
        <w:rPr>
          <w:rStyle w:val="SubtleEmphasis"/>
          <w:i w:val="0"/>
          <w:iCs w:val="0"/>
          <w:color w:val="000000"/>
        </w:rPr>
      </w:pPr>
      <w:r>
        <w:rPr>
          <w:rStyle w:val="SubtleEmphasis"/>
          <w:i w:val="0"/>
          <w:iCs w:val="0"/>
          <w:color w:val="000000" w:themeColor="text1"/>
        </w:rPr>
        <w:t xml:space="preserve">The </w:t>
      </w:r>
      <w:proofErr w:type="spellStart"/>
      <w:r>
        <w:rPr>
          <w:rStyle w:val="SubtleEmphasis"/>
          <w:i w:val="0"/>
          <w:iCs w:val="0"/>
          <w:color w:val="000000" w:themeColor="text1"/>
        </w:rPr>
        <w:t>Beetaloo</w:t>
      </w:r>
      <w:proofErr w:type="spellEnd"/>
      <w:r>
        <w:rPr>
          <w:rStyle w:val="SubtleEmphasis"/>
          <w:i w:val="0"/>
          <w:iCs w:val="0"/>
          <w:color w:val="000000" w:themeColor="text1"/>
        </w:rPr>
        <w:t xml:space="preserve"> GBA recharge pathways project aims to improve understanding of the pathways that groundwater can take to reach aquifers in the region. There are three parts to this project: </w:t>
      </w:r>
      <w:r w:rsidR="002517D5" w:rsidRPr="1FE27654">
        <w:rPr>
          <w:rStyle w:val="SubtleEmphasis"/>
          <w:i w:val="0"/>
          <w:iCs w:val="0"/>
          <w:color w:val="000000" w:themeColor="text1"/>
        </w:rPr>
        <w:t>(</w:t>
      </w:r>
      <w:proofErr w:type="spellStart"/>
      <w:r w:rsidR="002517D5" w:rsidRPr="1FE27654">
        <w:rPr>
          <w:rStyle w:val="SubtleEmphasis"/>
          <w:i w:val="0"/>
          <w:iCs w:val="0"/>
          <w:color w:val="000000" w:themeColor="text1"/>
        </w:rPr>
        <w:t>i</w:t>
      </w:r>
      <w:proofErr w:type="spellEnd"/>
      <w:r w:rsidR="002517D5" w:rsidRPr="1FE27654">
        <w:rPr>
          <w:rStyle w:val="SubtleEmphasis"/>
          <w:i w:val="0"/>
          <w:iCs w:val="0"/>
          <w:color w:val="000000" w:themeColor="text1"/>
        </w:rPr>
        <w:t>)</w:t>
      </w:r>
      <w:r w:rsidR="00D27C4B" w:rsidRPr="1FE27654">
        <w:rPr>
          <w:rStyle w:val="SubtleEmphasis"/>
          <w:i w:val="0"/>
          <w:iCs w:val="0"/>
          <w:color w:val="000000" w:themeColor="text1"/>
        </w:rPr>
        <w:t xml:space="preserve"> this fact</w:t>
      </w:r>
      <w:r>
        <w:rPr>
          <w:rStyle w:val="SubtleEmphasis"/>
          <w:i w:val="0"/>
          <w:iCs w:val="0"/>
          <w:color w:val="000000" w:themeColor="text1"/>
        </w:rPr>
        <w:t xml:space="preserve"> </w:t>
      </w:r>
      <w:r w:rsidR="00D27C4B" w:rsidRPr="1FE27654">
        <w:rPr>
          <w:rStyle w:val="SubtleEmphasis"/>
          <w:i w:val="0"/>
          <w:iCs w:val="0"/>
          <w:color w:val="000000" w:themeColor="text1"/>
        </w:rPr>
        <w:t>sheet</w:t>
      </w:r>
      <w:r w:rsidR="002517D5" w:rsidRPr="1FE27654">
        <w:rPr>
          <w:rStyle w:val="SubtleEmphasis"/>
          <w:i w:val="0"/>
          <w:iCs w:val="0"/>
          <w:color w:val="000000" w:themeColor="text1"/>
        </w:rPr>
        <w:t>,</w:t>
      </w:r>
      <w:r>
        <w:rPr>
          <w:rStyle w:val="SubtleEmphasis"/>
          <w:i w:val="0"/>
          <w:iCs w:val="0"/>
          <w:color w:val="auto"/>
        </w:rPr>
        <w:t xml:space="preserve"> (ii) s</w:t>
      </w:r>
      <w:r w:rsidRPr="00096746">
        <w:rPr>
          <w:rStyle w:val="SubtleEmphasis"/>
          <w:i w:val="0"/>
          <w:iCs w:val="0"/>
          <w:color w:val="auto"/>
        </w:rPr>
        <w:t>inkholes and their in</w:t>
      </w:r>
      <w:r>
        <w:rPr>
          <w:rStyle w:val="SubtleEmphasis"/>
          <w:i w:val="0"/>
          <w:iCs w:val="0"/>
          <w:color w:val="auto"/>
        </w:rPr>
        <w:t>fluence on recharge to aquifers</w:t>
      </w:r>
      <w:r w:rsidRPr="00A00F7E">
        <w:t xml:space="preserve"> </w:t>
      </w:r>
      <w:r>
        <w:rPr>
          <w:rStyle w:val="SubtleEmphasis"/>
          <w:i w:val="0"/>
          <w:iCs w:val="0"/>
          <w:noProof/>
          <w:color w:val="auto"/>
        </w:rPr>
        <w:t>(Fact sheet 4)</w:t>
      </w:r>
      <w:r>
        <w:rPr>
          <w:rStyle w:val="SubtleEmphasis"/>
          <w:i w:val="0"/>
          <w:iCs w:val="0"/>
          <w:color w:val="auto"/>
        </w:rPr>
        <w:t xml:space="preserve"> </w:t>
      </w:r>
      <w:r w:rsidR="002517D5" w:rsidRPr="1FE27654">
        <w:rPr>
          <w:rStyle w:val="SubtleEmphasis"/>
          <w:i w:val="0"/>
          <w:iCs w:val="0"/>
          <w:color w:val="000000" w:themeColor="text1"/>
        </w:rPr>
        <w:t>and (iii)</w:t>
      </w:r>
      <w:r w:rsidR="00D27C4B" w:rsidRPr="1FE27654">
        <w:rPr>
          <w:rStyle w:val="SubtleEmphasis"/>
          <w:i w:val="0"/>
          <w:iCs w:val="0"/>
          <w:color w:val="000000" w:themeColor="text1"/>
        </w:rPr>
        <w:t xml:space="preserve"> </w:t>
      </w:r>
      <w:r w:rsidR="002517D5" w:rsidRPr="1FE27654">
        <w:rPr>
          <w:rStyle w:val="SubtleEmphasis"/>
          <w:i w:val="0"/>
          <w:iCs w:val="0"/>
          <w:color w:val="000000" w:themeColor="text1"/>
        </w:rPr>
        <w:t>s</w:t>
      </w:r>
      <w:r w:rsidR="00D27C4B" w:rsidRPr="1FE27654">
        <w:rPr>
          <w:rStyle w:val="SubtleEmphasis"/>
          <w:i w:val="0"/>
          <w:iCs w:val="0"/>
          <w:color w:val="000000" w:themeColor="text1"/>
        </w:rPr>
        <w:t>ummary</w:t>
      </w:r>
      <w:r w:rsidR="00D27C4B">
        <w:t xml:space="preserve"> </w:t>
      </w:r>
      <w:r w:rsidR="00D27C4B" w:rsidRPr="1FE27654">
        <w:rPr>
          <w:rStyle w:val="SubtleEmphasis"/>
          <w:i w:val="0"/>
          <w:iCs w:val="0"/>
          <w:noProof/>
          <w:color w:val="000000" w:themeColor="text1"/>
        </w:rPr>
        <w:t>(</w:t>
      </w:r>
      <w:r>
        <w:rPr>
          <w:rStyle w:val="SubtleEmphasis"/>
          <w:i w:val="0"/>
          <w:iCs w:val="0"/>
          <w:noProof/>
          <w:color w:val="000000" w:themeColor="text1"/>
        </w:rPr>
        <w:t>Fact sheet 5</w:t>
      </w:r>
      <w:r w:rsidR="00D27C4B" w:rsidRPr="1FE27654">
        <w:rPr>
          <w:rStyle w:val="SubtleEmphasis"/>
          <w:i w:val="0"/>
          <w:iCs w:val="0"/>
          <w:noProof/>
          <w:color w:val="000000" w:themeColor="text1"/>
        </w:rPr>
        <w:t>)</w:t>
      </w:r>
      <w:r w:rsidR="00D27C4B" w:rsidRPr="1FE27654">
        <w:rPr>
          <w:rStyle w:val="SubtleEmphasis"/>
          <w:i w:val="0"/>
          <w:iCs w:val="0"/>
          <w:color w:val="000000" w:themeColor="text1"/>
        </w:rPr>
        <w:t>.</w:t>
      </w:r>
      <w:r w:rsidR="002C2E8A" w:rsidRPr="1FE27654">
        <w:rPr>
          <w:rStyle w:val="SubtleEmphasis"/>
          <w:i w:val="0"/>
          <w:iCs w:val="0"/>
          <w:color w:val="000000" w:themeColor="text1"/>
        </w:rPr>
        <w:t xml:space="preserve"> </w:t>
      </w:r>
      <w:r w:rsidR="00476D6F">
        <w:t xml:space="preserve">In the </w:t>
      </w:r>
      <w:proofErr w:type="spellStart"/>
      <w:r w:rsidR="00476D6F">
        <w:t>Beetaloo</w:t>
      </w:r>
      <w:proofErr w:type="spellEnd"/>
      <w:r w:rsidR="00476D6F">
        <w:t xml:space="preserve"> GBA region, </w:t>
      </w:r>
      <w:r w:rsidR="00476D6F" w:rsidRPr="1FE27654">
        <w:rPr>
          <w:rStyle w:val="SubtleEmphasis"/>
          <w:i w:val="0"/>
          <w:iCs w:val="0"/>
          <w:color w:val="000000" w:themeColor="text1"/>
        </w:rPr>
        <w:t xml:space="preserve">the </w:t>
      </w:r>
      <w:r>
        <w:rPr>
          <w:rStyle w:val="SubtleEmphasis"/>
          <w:i w:val="0"/>
          <w:iCs w:val="0"/>
          <w:color w:val="000000" w:themeColor="text1"/>
        </w:rPr>
        <w:t xml:space="preserve">Cambrian Limestone Aquifer (CLA) </w:t>
      </w:r>
      <w:r w:rsidR="00476D6F" w:rsidRPr="1FE27654">
        <w:rPr>
          <w:rStyle w:val="SubtleEmphasis"/>
          <w:i w:val="0"/>
          <w:iCs w:val="0"/>
          <w:color w:val="000000" w:themeColor="text1"/>
        </w:rPr>
        <w:t>is completely covered</w:t>
      </w:r>
      <w:r w:rsidR="00FE352E" w:rsidRPr="1FE27654">
        <w:rPr>
          <w:rStyle w:val="SubtleEmphasis"/>
          <w:i w:val="0"/>
          <w:iCs w:val="0"/>
          <w:color w:val="000000" w:themeColor="text1"/>
        </w:rPr>
        <w:t xml:space="preserve"> by the Carpentaria Ba</w:t>
      </w:r>
      <w:r w:rsidR="00FE352E" w:rsidRPr="1FE27654">
        <w:rPr>
          <w:rStyle w:val="BodyTextChar"/>
        </w:rPr>
        <w:t xml:space="preserve">sin, which in turn </w:t>
      </w:r>
      <w:r w:rsidR="0064424E" w:rsidRPr="1FE27654">
        <w:rPr>
          <w:rStyle w:val="BodyTextChar"/>
        </w:rPr>
        <w:t xml:space="preserve">is </w:t>
      </w:r>
      <w:r w:rsidR="00FE352E" w:rsidRPr="1FE27654">
        <w:rPr>
          <w:rStyle w:val="BodyTextChar"/>
        </w:rPr>
        <w:t>overlain by sediments deposited by rivers and lakes</w:t>
      </w:r>
      <w:r w:rsidR="00313E1C" w:rsidRPr="1FE27654">
        <w:rPr>
          <w:rStyle w:val="BodyTextChar"/>
        </w:rPr>
        <w:t xml:space="preserve"> (Cenozoic sediments)</w:t>
      </w:r>
      <w:r w:rsidR="0064424E" w:rsidRPr="1FE27654">
        <w:rPr>
          <w:rStyle w:val="BodyTextChar"/>
        </w:rPr>
        <w:t xml:space="preserve">. </w:t>
      </w:r>
      <w:r w:rsidR="003B14A6" w:rsidRPr="1FE27654">
        <w:rPr>
          <w:rStyle w:val="SubtleEmphasis"/>
          <w:i w:val="0"/>
          <w:iCs w:val="0"/>
          <w:color w:val="000000" w:themeColor="text1"/>
        </w:rPr>
        <w:t>The type</w:t>
      </w:r>
      <w:r w:rsidR="0064424E" w:rsidRPr="1FE27654">
        <w:rPr>
          <w:rStyle w:val="SubtleEmphasis"/>
          <w:i w:val="0"/>
          <w:iCs w:val="0"/>
          <w:color w:val="000000" w:themeColor="text1"/>
        </w:rPr>
        <w:t>s</w:t>
      </w:r>
      <w:r w:rsidR="003B14A6" w:rsidRPr="1FE27654">
        <w:rPr>
          <w:rStyle w:val="SubtleEmphasis"/>
          <w:i w:val="0"/>
          <w:iCs w:val="0"/>
          <w:color w:val="000000" w:themeColor="text1"/>
        </w:rPr>
        <w:t xml:space="preserve"> and thickness</w:t>
      </w:r>
      <w:r w:rsidR="0064424E" w:rsidRPr="1FE27654">
        <w:rPr>
          <w:rStyle w:val="SubtleEmphasis"/>
          <w:i w:val="0"/>
          <w:iCs w:val="0"/>
          <w:color w:val="000000" w:themeColor="text1"/>
        </w:rPr>
        <w:t>es</w:t>
      </w:r>
      <w:r w:rsidR="003B14A6" w:rsidRPr="1FE27654">
        <w:rPr>
          <w:rStyle w:val="SubtleEmphasis"/>
          <w:i w:val="0"/>
          <w:iCs w:val="0"/>
          <w:color w:val="000000" w:themeColor="text1"/>
        </w:rPr>
        <w:t xml:space="preserve"> of the overlying </w:t>
      </w:r>
      <w:r w:rsidR="00461ECD" w:rsidRPr="1FE27654">
        <w:rPr>
          <w:rStyle w:val="SubtleEmphasis"/>
          <w:i w:val="0"/>
          <w:iCs w:val="0"/>
          <w:color w:val="000000" w:themeColor="text1"/>
        </w:rPr>
        <w:t>rock</w:t>
      </w:r>
      <w:r w:rsidR="0064424E" w:rsidRPr="1FE27654">
        <w:rPr>
          <w:rStyle w:val="SubtleEmphasis"/>
          <w:i w:val="0"/>
          <w:iCs w:val="0"/>
          <w:color w:val="000000" w:themeColor="text1"/>
        </w:rPr>
        <w:t>s</w:t>
      </w:r>
      <w:r w:rsidR="003B14A6" w:rsidRPr="1FE27654">
        <w:rPr>
          <w:rStyle w:val="SubtleEmphasis"/>
          <w:i w:val="0"/>
          <w:iCs w:val="0"/>
          <w:color w:val="000000" w:themeColor="text1"/>
        </w:rPr>
        <w:t xml:space="preserve"> </w:t>
      </w:r>
      <w:r>
        <w:rPr>
          <w:rStyle w:val="SubtleEmphasis"/>
          <w:i w:val="0"/>
          <w:iCs w:val="0"/>
          <w:color w:val="000000" w:themeColor="text1"/>
        </w:rPr>
        <w:t>affect</w:t>
      </w:r>
      <w:r w:rsidR="00461ECD" w:rsidRPr="1FE27654">
        <w:rPr>
          <w:rStyle w:val="SubtleEmphasis"/>
          <w:i w:val="0"/>
          <w:iCs w:val="0"/>
          <w:color w:val="000000" w:themeColor="text1"/>
        </w:rPr>
        <w:t xml:space="preserve"> how </w:t>
      </w:r>
      <w:r w:rsidR="00E2791E" w:rsidRPr="1FE27654">
        <w:rPr>
          <w:rStyle w:val="SubtleEmphasis"/>
          <w:i w:val="0"/>
          <w:iCs w:val="0"/>
          <w:color w:val="000000" w:themeColor="text1"/>
        </w:rPr>
        <w:t xml:space="preserve">much </w:t>
      </w:r>
      <w:r w:rsidR="00461ECD" w:rsidRPr="1FE27654">
        <w:rPr>
          <w:rStyle w:val="SubtleEmphasis"/>
          <w:i w:val="0"/>
          <w:iCs w:val="0"/>
          <w:color w:val="000000" w:themeColor="text1"/>
        </w:rPr>
        <w:t>potential</w:t>
      </w:r>
      <w:r w:rsidR="009A69F3" w:rsidRPr="1FE27654">
        <w:rPr>
          <w:rStyle w:val="SubtleEmphasis"/>
          <w:i w:val="0"/>
          <w:iCs w:val="0"/>
          <w:color w:val="000000" w:themeColor="text1"/>
        </w:rPr>
        <w:t xml:space="preserve"> recharge </w:t>
      </w:r>
      <w:r w:rsidR="00E2791E" w:rsidRPr="1FE27654">
        <w:rPr>
          <w:rStyle w:val="SubtleEmphasis"/>
          <w:i w:val="0"/>
          <w:iCs w:val="0"/>
          <w:color w:val="000000" w:themeColor="text1"/>
        </w:rPr>
        <w:t>can reach</w:t>
      </w:r>
      <w:r w:rsidR="00480FC2" w:rsidRPr="1FE27654">
        <w:rPr>
          <w:rStyle w:val="SubtleEmphasis"/>
          <w:i w:val="0"/>
          <w:iCs w:val="0"/>
          <w:color w:val="000000" w:themeColor="text1"/>
        </w:rPr>
        <w:t xml:space="preserve"> </w:t>
      </w:r>
      <w:r w:rsidR="0064424E" w:rsidRPr="1FE27654">
        <w:rPr>
          <w:rStyle w:val="SubtleEmphasis"/>
          <w:i w:val="0"/>
          <w:iCs w:val="0"/>
          <w:color w:val="000000" w:themeColor="text1"/>
        </w:rPr>
        <w:t>underlying</w:t>
      </w:r>
      <w:r w:rsidR="00B20365" w:rsidRPr="1FE27654">
        <w:rPr>
          <w:rStyle w:val="SubtleEmphasis"/>
          <w:i w:val="0"/>
          <w:iCs w:val="0"/>
          <w:color w:val="000000" w:themeColor="text1"/>
        </w:rPr>
        <w:t xml:space="preserve"> aquifers</w:t>
      </w:r>
      <w:r w:rsidR="00E2791E" w:rsidRPr="1FE27654">
        <w:rPr>
          <w:rStyle w:val="SubtleEmphasis"/>
          <w:i w:val="0"/>
          <w:iCs w:val="0"/>
          <w:color w:val="000000" w:themeColor="text1"/>
        </w:rPr>
        <w:t xml:space="preserve">. For </w:t>
      </w:r>
      <w:r w:rsidR="009801BE" w:rsidRPr="1FE27654">
        <w:rPr>
          <w:rStyle w:val="SubtleEmphasis"/>
          <w:i w:val="0"/>
          <w:iCs w:val="0"/>
          <w:color w:val="000000" w:themeColor="text1"/>
        </w:rPr>
        <w:t>example,</w:t>
      </w:r>
      <w:r w:rsidR="0064424E" w:rsidRPr="1FE27654">
        <w:rPr>
          <w:rStyle w:val="SubtleEmphasis"/>
          <w:i w:val="0"/>
          <w:iCs w:val="0"/>
          <w:color w:val="000000" w:themeColor="text1"/>
        </w:rPr>
        <w:t xml:space="preserve"> thick mudstones </w:t>
      </w:r>
      <w:r w:rsidR="0000061C" w:rsidRPr="1FE27654">
        <w:rPr>
          <w:rStyle w:val="SubtleEmphasis"/>
          <w:i w:val="0"/>
          <w:iCs w:val="0"/>
          <w:color w:val="000000" w:themeColor="text1"/>
        </w:rPr>
        <w:t>are more likely to</w:t>
      </w:r>
      <w:r w:rsidR="00E2791E" w:rsidRPr="1FE27654">
        <w:rPr>
          <w:rStyle w:val="SubtleEmphasis"/>
          <w:i w:val="0"/>
          <w:iCs w:val="0"/>
          <w:color w:val="000000" w:themeColor="text1"/>
        </w:rPr>
        <w:t xml:space="preserve"> </w:t>
      </w:r>
      <w:r w:rsidR="00FB0D0A" w:rsidRPr="1FE27654">
        <w:rPr>
          <w:rStyle w:val="SubtleEmphasis"/>
          <w:i w:val="0"/>
          <w:iCs w:val="0"/>
          <w:color w:val="000000" w:themeColor="text1"/>
        </w:rPr>
        <w:t>impede</w:t>
      </w:r>
      <w:r w:rsidR="009A69F3" w:rsidRPr="1FE27654">
        <w:rPr>
          <w:rStyle w:val="SubtleEmphasis"/>
          <w:i w:val="0"/>
          <w:iCs w:val="0"/>
          <w:color w:val="000000" w:themeColor="text1"/>
        </w:rPr>
        <w:t xml:space="preserve"> </w:t>
      </w:r>
      <w:r w:rsidR="00E2791E" w:rsidRPr="1FE27654">
        <w:rPr>
          <w:rStyle w:val="SubtleEmphasis"/>
          <w:i w:val="0"/>
          <w:iCs w:val="0"/>
          <w:color w:val="000000" w:themeColor="text1"/>
        </w:rPr>
        <w:t>recharge</w:t>
      </w:r>
      <w:r w:rsidR="003B14A6" w:rsidRPr="1FE27654">
        <w:rPr>
          <w:rStyle w:val="SubtleEmphasis"/>
          <w:i w:val="0"/>
          <w:iCs w:val="0"/>
          <w:color w:val="000000" w:themeColor="text1"/>
        </w:rPr>
        <w:t xml:space="preserve"> </w:t>
      </w:r>
      <w:r w:rsidR="00476D6F" w:rsidRPr="1FE27654">
        <w:rPr>
          <w:rStyle w:val="SubtleEmphasis"/>
          <w:i w:val="0"/>
          <w:iCs w:val="0"/>
          <w:color w:val="000000" w:themeColor="text1"/>
        </w:rPr>
        <w:t>than sandstone</w:t>
      </w:r>
      <w:r w:rsidR="0064424E" w:rsidRPr="1FE27654">
        <w:rPr>
          <w:rStyle w:val="SubtleEmphasis"/>
          <w:i w:val="0"/>
          <w:iCs w:val="0"/>
          <w:color w:val="000000" w:themeColor="text1"/>
        </w:rPr>
        <w:t xml:space="preserve"> due to the differences in permeability</w:t>
      </w:r>
      <w:r w:rsidR="00480FC2" w:rsidRPr="1FE27654">
        <w:rPr>
          <w:rStyle w:val="SubtleEmphasis"/>
          <w:i w:val="0"/>
          <w:iCs w:val="0"/>
          <w:color w:val="000000" w:themeColor="text1"/>
        </w:rPr>
        <w:t>.</w:t>
      </w:r>
      <w:r w:rsidR="00245E22" w:rsidRPr="1FE27654">
        <w:rPr>
          <w:rStyle w:val="SubtleEmphasis"/>
          <w:i w:val="0"/>
          <w:iCs w:val="0"/>
          <w:color w:val="000000" w:themeColor="text1"/>
        </w:rPr>
        <w:t xml:space="preserve"> </w:t>
      </w:r>
    </w:p>
    <w:p w14:paraId="5E5E15EC" w14:textId="4386316F" w:rsidR="003D6B4F" w:rsidRDefault="003D6B4F" w:rsidP="009903A5">
      <w:pPr>
        <w:pStyle w:val="BodyText"/>
      </w:pPr>
      <w:r>
        <w:rPr>
          <w:noProof/>
        </w:rPr>
        <mc:AlternateContent>
          <mc:Choice Requires="wps">
            <w:drawing>
              <wp:anchor distT="0" distB="0" distL="114300" distR="114300" simplePos="0" relativeHeight="251662337" behindDoc="0" locked="0" layoutInCell="1" allowOverlap="1" wp14:anchorId="7E1853D2" wp14:editId="39CDFD64">
                <wp:simplePos x="0" y="0"/>
                <wp:positionH relativeFrom="column">
                  <wp:posOffset>-635</wp:posOffset>
                </wp:positionH>
                <wp:positionV relativeFrom="paragraph">
                  <wp:posOffset>1150620</wp:posOffset>
                </wp:positionV>
                <wp:extent cx="5849620" cy="357505"/>
                <wp:effectExtent l="0" t="0" r="5080" b="0"/>
                <wp:wrapSquare wrapText="bothSides"/>
                <wp:docPr id="3" name="Text Box 3"/>
                <wp:cNvGraphicFramePr/>
                <a:graphic xmlns:a="http://schemas.openxmlformats.org/drawingml/2006/main">
                  <a:graphicData uri="http://schemas.microsoft.com/office/word/2010/wordprocessingShape">
                    <wps:wsp>
                      <wps:cNvSpPr txBox="1"/>
                      <wps:spPr>
                        <a:xfrm>
                          <a:off x="0" y="0"/>
                          <a:ext cx="5849620" cy="357505"/>
                        </a:xfrm>
                        <a:prstGeom prst="rect">
                          <a:avLst/>
                        </a:prstGeom>
                        <a:solidFill>
                          <a:prstClr val="white"/>
                        </a:solidFill>
                        <a:ln>
                          <a:noFill/>
                        </a:ln>
                      </wps:spPr>
                      <wps:txbx>
                        <w:txbxContent>
                          <w:p w14:paraId="263B2DFD" w14:textId="6F9802D4" w:rsidR="00950DC9" w:rsidRPr="00C2765E" w:rsidRDefault="00950DC9" w:rsidP="003D6B4F">
                            <w:pPr>
                              <w:pStyle w:val="TableCaption"/>
                              <w:rPr>
                                <w:color w:val="146692"/>
                              </w:rPr>
                            </w:pPr>
                            <w:bookmarkStart w:id="2" w:name="_Ref78380018"/>
                            <w:r>
                              <w:t xml:space="preserve">Figure </w:t>
                            </w:r>
                            <w:r w:rsidR="00DD7D05">
                              <w:fldChar w:fldCharType="begin"/>
                            </w:r>
                            <w:r w:rsidR="00DD7D05">
                              <w:instrText xml:space="preserve"> SEQ Figure \* ARABIC </w:instrText>
                            </w:r>
                            <w:r w:rsidR="00DD7D05">
                              <w:fldChar w:fldCharType="separate"/>
                            </w:r>
                            <w:r w:rsidR="00DD7D05">
                              <w:rPr>
                                <w:noProof/>
                              </w:rPr>
                              <w:t>1</w:t>
                            </w:r>
                            <w:r w:rsidR="00DD7D05">
                              <w:rPr>
                                <w:noProof/>
                              </w:rPr>
                              <w:fldChar w:fldCharType="end"/>
                            </w:r>
                            <w:bookmarkEnd w:id="2"/>
                            <w:r w:rsidR="00C2765E">
                              <w:rPr>
                                <w:noProof/>
                              </w:rPr>
                              <w:t>(a)</w:t>
                            </w:r>
                            <w:r>
                              <w:t xml:space="preserve"> Carpentaria Basin cover thickness as determined from drillhole data and percentage of sandston</w:t>
                            </w:r>
                            <w:r w:rsidR="00C2765E">
                              <w:t>e; (b)</w:t>
                            </w:r>
                            <w:r w:rsidRPr="00EF6E67">
                              <w:rPr>
                                <w:noProof/>
                              </w:rPr>
                              <w:t xml:space="preserve"> </w:t>
                            </w:r>
                            <w:r w:rsidR="00C2765E">
                              <w:t>distribution of Cenozoic sediments and examples of abandoned river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853D2" id="_x0000_t202" coordsize="21600,21600" o:spt="202" path="m,l,21600r21600,l21600,xe">
                <v:stroke joinstyle="miter"/>
                <v:path gradientshapeok="t" o:connecttype="rect"/>
              </v:shapetype>
              <v:shape id="Text Box 3" o:spid="_x0000_s1026" type="#_x0000_t202" style="position:absolute;margin-left:-.05pt;margin-top:90.6pt;width:460.6pt;height:28.1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" stroked="f">
                <v:textbox inset="0,0,0,0">
                  <w:txbxContent>
                    <w:p w14:paraId="263B2DFD" w14:textId="6F9802D4" w:rsidR="00950DC9" w:rsidRPr="00C2765E" w:rsidRDefault="00950DC9" w:rsidP="003D6B4F">
                      <w:pPr>
                        <w:pStyle w:val="TableCaption"/>
                        <w:rPr>
                          <w:color w:val="146692"/>
                        </w:rPr>
                      </w:pPr>
                      <w:bookmarkStart w:id="3" w:name="_Ref78380018"/>
                      <w:r>
                        <w:t xml:space="preserve">Figure </w:t>
                      </w:r>
                      <w:r w:rsidR="00DD7D05">
                        <w:fldChar w:fldCharType="begin"/>
                      </w:r>
                      <w:r w:rsidR="00DD7D05">
                        <w:instrText xml:space="preserve"> SEQ Figure \* ARABIC </w:instrText>
                      </w:r>
                      <w:r w:rsidR="00DD7D05">
                        <w:fldChar w:fldCharType="separate"/>
                      </w:r>
                      <w:r w:rsidR="00DD7D05">
                        <w:rPr>
                          <w:noProof/>
                        </w:rPr>
                        <w:t>1</w:t>
                      </w:r>
                      <w:r w:rsidR="00DD7D05">
                        <w:rPr>
                          <w:noProof/>
                        </w:rPr>
                        <w:fldChar w:fldCharType="end"/>
                      </w:r>
                      <w:bookmarkEnd w:id="3"/>
                      <w:r w:rsidR="00C2765E">
                        <w:rPr>
                          <w:noProof/>
                        </w:rPr>
                        <w:t>(a)</w:t>
                      </w:r>
                      <w:r>
                        <w:t xml:space="preserve"> Carpentaria Basin cover thickness as determined from drillhole data and percentage of sandston</w:t>
                      </w:r>
                      <w:r w:rsidR="00C2765E">
                        <w:t>e; (b)</w:t>
                      </w:r>
                      <w:r w:rsidRPr="00EF6E67">
                        <w:rPr>
                          <w:noProof/>
                        </w:rPr>
                        <w:t xml:space="preserve"> </w:t>
                      </w:r>
                      <w:r w:rsidR="00C2765E">
                        <w:t>distribution of Cenozoic sediments and examples of abandoned river channels</w:t>
                      </w:r>
                    </w:p>
                  </w:txbxContent>
                </v:textbox>
                <w10:wrap type="square"/>
              </v:shape>
            </w:pict>
          </mc:Fallback>
        </mc:AlternateContent>
      </w:r>
      <w:r w:rsidR="00313E1C" w:rsidRPr="009903A5">
        <w:rPr>
          <w:rStyle w:val="SubtleEmphasis"/>
          <w:i w:val="0"/>
          <w:iCs w:val="0"/>
          <w:color w:val="000000"/>
        </w:rPr>
        <w:t>Data</w:t>
      </w:r>
      <w:r w:rsidR="00FF7A0A" w:rsidRPr="009903A5">
        <w:rPr>
          <w:rStyle w:val="SubtleEmphasis"/>
          <w:i w:val="0"/>
          <w:iCs w:val="0"/>
          <w:color w:val="000000"/>
        </w:rPr>
        <w:t xml:space="preserve"> from drillholes</w:t>
      </w:r>
      <w:r w:rsidR="005A426A" w:rsidRPr="009903A5">
        <w:t xml:space="preserve"> </w:t>
      </w:r>
      <w:r w:rsidR="00FF7A0A" w:rsidRPr="009903A5">
        <w:rPr>
          <w:rStyle w:val="SubtleEmphasis"/>
          <w:i w:val="0"/>
          <w:iCs w:val="0"/>
          <w:color w:val="000000"/>
        </w:rPr>
        <w:t>and Airborne electromagnetic (</w:t>
      </w:r>
      <w:proofErr w:type="spellStart"/>
      <w:r w:rsidR="00FF7A0A" w:rsidRPr="009903A5">
        <w:rPr>
          <w:rStyle w:val="SubtleEmphasis"/>
          <w:i w:val="0"/>
          <w:iCs w:val="0"/>
          <w:color w:val="000000"/>
        </w:rPr>
        <w:t>AusAEM</w:t>
      </w:r>
      <w:proofErr w:type="spellEnd"/>
      <w:r w:rsidR="00FF7A0A" w:rsidRPr="009903A5">
        <w:rPr>
          <w:rStyle w:val="SubtleEmphasis"/>
          <w:i w:val="0"/>
          <w:iCs w:val="0"/>
          <w:color w:val="000000"/>
        </w:rPr>
        <w:t xml:space="preserve">) geophysical surveys </w:t>
      </w:r>
      <w:r w:rsidR="00F30B04">
        <w:t>(</w:t>
      </w:r>
      <w:r w:rsidR="00120C09" w:rsidRPr="009903A5">
        <w:rPr>
          <w:noProof/>
        </w:rPr>
        <w:t>Geological and Bioregional Assessment Program (2021</w:t>
      </w:r>
      <w:r w:rsidR="00F30B04">
        <w:rPr>
          <w:noProof/>
        </w:rPr>
        <w:t>a,b</w:t>
      </w:r>
      <w:r w:rsidR="00120C09" w:rsidRPr="009903A5">
        <w:rPr>
          <w:noProof/>
        </w:rPr>
        <w:t>)</w:t>
      </w:r>
      <w:r w:rsidR="005A426A" w:rsidRPr="009903A5">
        <w:rPr>
          <w:rStyle w:val="SubtleEmphasis"/>
          <w:i w:val="0"/>
          <w:iCs w:val="0"/>
          <w:color w:val="000000"/>
        </w:rPr>
        <w:t xml:space="preserve"> </w:t>
      </w:r>
      <w:r w:rsidR="00FF7A0A" w:rsidRPr="009903A5">
        <w:rPr>
          <w:rStyle w:val="SubtleEmphasis"/>
          <w:i w:val="0"/>
          <w:iCs w:val="0"/>
          <w:color w:val="000000"/>
        </w:rPr>
        <w:t xml:space="preserve">were used to determine the thickness and types of rocks present above the CLA in the </w:t>
      </w:r>
      <w:proofErr w:type="spellStart"/>
      <w:r w:rsidR="00FF7A0A" w:rsidRPr="009903A5">
        <w:rPr>
          <w:rStyle w:val="SubtleEmphasis"/>
          <w:i w:val="0"/>
          <w:iCs w:val="0"/>
          <w:color w:val="000000"/>
        </w:rPr>
        <w:t>Beetaloo</w:t>
      </w:r>
      <w:proofErr w:type="spellEnd"/>
      <w:r w:rsidR="00FF7A0A" w:rsidRPr="009903A5">
        <w:rPr>
          <w:rStyle w:val="SubtleEmphasis"/>
          <w:i w:val="0"/>
          <w:iCs w:val="0"/>
          <w:color w:val="000000"/>
        </w:rPr>
        <w:t xml:space="preserve"> GBA region.</w:t>
      </w:r>
      <w:r w:rsidR="007C72E7" w:rsidRPr="009903A5">
        <w:rPr>
          <w:rStyle w:val="SubtleEmphasis"/>
          <w:i w:val="0"/>
          <w:iCs w:val="0"/>
          <w:color w:val="000000"/>
        </w:rPr>
        <w:t xml:space="preserve"> </w:t>
      </w:r>
      <w:r w:rsidR="00F30B04">
        <w:t>T</w:t>
      </w:r>
      <w:r w:rsidR="00F52A4E" w:rsidRPr="009903A5">
        <w:t>he thickness and lithology</w:t>
      </w:r>
      <w:r w:rsidR="002517D5">
        <w:t xml:space="preserve"> </w:t>
      </w:r>
      <w:r w:rsidR="00F30B04">
        <w:t xml:space="preserve">of </w:t>
      </w:r>
      <w:r w:rsidR="00F30B04" w:rsidRPr="009903A5">
        <w:t xml:space="preserve">Carpentaria Basin </w:t>
      </w:r>
      <w:r w:rsidR="00F30B04">
        <w:t xml:space="preserve">sediments is highly variable </w:t>
      </w:r>
      <w:r w:rsidR="002517D5">
        <w:t>(</w:t>
      </w:r>
      <w:r w:rsidR="002517D5">
        <w:fldChar w:fldCharType="begin"/>
      </w:r>
      <w:r w:rsidR="002517D5">
        <w:instrText xml:space="preserve"> REF _Ref78380018 \h </w:instrText>
      </w:r>
      <w:r w:rsidR="002517D5">
        <w:fldChar w:fldCharType="separate"/>
      </w:r>
      <w:r w:rsidR="00DD7D05">
        <w:t xml:space="preserve">Figure </w:t>
      </w:r>
      <w:r w:rsidR="00DD7D05">
        <w:rPr>
          <w:noProof/>
        </w:rPr>
        <w:t>1</w:t>
      </w:r>
      <w:r w:rsidR="002517D5">
        <w:fldChar w:fldCharType="end"/>
      </w:r>
      <w:r w:rsidR="00C2765E">
        <w:t>a</w:t>
      </w:r>
      <w:r w:rsidR="00F52A4E" w:rsidRPr="009903A5">
        <w:t xml:space="preserve">). In some areas the </w:t>
      </w:r>
      <w:r w:rsidR="00DB6A71" w:rsidRPr="009903A5">
        <w:t xml:space="preserve">Carpentaria Basin </w:t>
      </w:r>
      <w:r w:rsidR="00F52A4E" w:rsidRPr="009903A5">
        <w:t xml:space="preserve">consists primarily of mudstone </w:t>
      </w:r>
      <w:r w:rsidR="00DB6A71" w:rsidRPr="009903A5">
        <w:t>that</w:t>
      </w:r>
      <w:r w:rsidR="00F52A4E" w:rsidRPr="009903A5">
        <w:t xml:space="preserve"> can</w:t>
      </w:r>
      <w:r w:rsidR="00DB6A71" w:rsidRPr="009903A5">
        <w:t xml:space="preserve"> be over 100</w:t>
      </w:r>
      <w:r w:rsidR="008554AF">
        <w:t xml:space="preserve"> </w:t>
      </w:r>
      <w:r w:rsidR="00DB6A71" w:rsidRPr="009903A5">
        <w:t>m thick (for example</w:t>
      </w:r>
      <w:r w:rsidR="00F52A4E" w:rsidRPr="009903A5">
        <w:t xml:space="preserve"> </w:t>
      </w:r>
      <w:r w:rsidR="00F30B04">
        <w:t xml:space="preserve">in the </w:t>
      </w:r>
      <w:r w:rsidR="00F52A4E" w:rsidRPr="009903A5">
        <w:t>east</w:t>
      </w:r>
      <w:r w:rsidR="00F30B04">
        <w:t xml:space="preserve"> of the</w:t>
      </w:r>
      <w:r w:rsidR="00F52A4E" w:rsidRPr="009903A5">
        <w:t xml:space="preserve"> </w:t>
      </w:r>
      <w:proofErr w:type="spellStart"/>
      <w:r w:rsidR="00F52A4E" w:rsidRPr="009903A5">
        <w:t>Beetaloo</w:t>
      </w:r>
      <w:proofErr w:type="spellEnd"/>
      <w:r w:rsidR="00F52A4E" w:rsidRPr="009903A5">
        <w:t xml:space="preserve"> GBA</w:t>
      </w:r>
      <w:r w:rsidR="00DB6A71" w:rsidRPr="009903A5">
        <w:t xml:space="preserve"> region). Elsewhere the</w:t>
      </w:r>
      <w:r w:rsidR="00F52A4E" w:rsidRPr="009903A5">
        <w:t xml:space="preserve"> sequence thins to less than</w:t>
      </w:r>
      <w:r w:rsidR="00DB6A71" w:rsidRPr="009903A5">
        <w:t xml:space="preserve"> 4</w:t>
      </w:r>
      <w:r w:rsidR="00F52A4E" w:rsidRPr="009903A5">
        <w:t>0 m thick</w:t>
      </w:r>
      <w:r w:rsidR="00DB6A71" w:rsidRPr="009903A5">
        <w:t xml:space="preserve"> and contains more </w:t>
      </w:r>
      <w:r w:rsidR="00F52A4E" w:rsidRPr="009903A5">
        <w:t>sandstone</w:t>
      </w:r>
      <w:r w:rsidR="00313E1C" w:rsidRPr="009903A5">
        <w:t xml:space="preserve">. </w:t>
      </w:r>
      <w:r w:rsidR="00F30B04">
        <w:t>S</w:t>
      </w:r>
      <w:r w:rsidR="00DB6A71" w:rsidRPr="009903A5">
        <w:t xml:space="preserve">andstone </w:t>
      </w:r>
      <w:r w:rsidR="00F30B04">
        <w:t>layers are</w:t>
      </w:r>
      <w:r w:rsidR="00DB6A71" w:rsidRPr="009903A5">
        <w:t xml:space="preserve"> at thickest in the southern parts of the </w:t>
      </w:r>
      <w:proofErr w:type="spellStart"/>
      <w:r w:rsidR="00F30B04" w:rsidRPr="009903A5">
        <w:t>Beetaloo</w:t>
      </w:r>
      <w:proofErr w:type="spellEnd"/>
      <w:r w:rsidR="00F30B04" w:rsidRPr="009903A5">
        <w:t xml:space="preserve"> GBA </w:t>
      </w:r>
      <w:r w:rsidR="00DB6A71" w:rsidRPr="009903A5">
        <w:t>region.</w:t>
      </w:r>
    </w:p>
    <w:p w14:paraId="0ECF709D" w14:textId="242629C9" w:rsidR="003D6B4F" w:rsidRDefault="003D6B4F" w:rsidP="009903A5">
      <w:pPr>
        <w:pStyle w:val="BodyText"/>
        <w:rPr>
          <w:rStyle w:val="SubtleEmphasis"/>
          <w:i w:val="0"/>
          <w:iCs w:val="0"/>
          <w:color w:val="000000"/>
        </w:rPr>
      </w:pPr>
      <w:r w:rsidRPr="00EF6E67">
        <w:rPr>
          <w:noProof/>
        </w:rPr>
        <w:drawing>
          <wp:inline distT="0" distB="0" distL="0" distR="0" wp14:anchorId="2C0C4223" wp14:editId="428A9344">
            <wp:extent cx="5755780" cy="4136834"/>
            <wp:effectExtent l="0" t="0" r="0" b="3810"/>
            <wp:docPr id="1" name="Picture 1" descr="A: Points show thickness of the Carpentaria A sandstone unit as a percentage of the total thickness of the Carpentaria Basin. Values variy spatially, generally increasing from 40-60% in the north west to 80-100% in the south east.&#10;B: Surface geology shows alluvial sediments are widespread, lake and swamp deposits are less common, occuring in the western part of the Beetaloo GBA region and to the south, east of Elliot. Black soil plains occur in the southern part of the Beetaloo GBA region.&#10;The 'examples of abandoned river channels' landscape class occurs in the western part of the Beetaloo GB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ints show thickness of the Carpentaria A sandstone unit as a percentage of the total thickness of the Carpentaria Basin. Values variy spatially, generally increasing from 40-60% in the north west to 80-100% in the south east.&#10;B: Surface geology shows alluvial sediments are widespread, lake and swamp deposits are less common, occuring in the western part of the Beetaloo GBA region and to the south, east of Elliot. Black soil plains occur in the southern part of the Beetaloo GBA region.&#10;The 'examples of abandoned river channels' landscape class occurs in the western part of the Beetaloo GBA reg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922" cy="4169278"/>
                    </a:xfrm>
                    <a:prstGeom prst="rect">
                      <a:avLst/>
                    </a:prstGeom>
                    <a:noFill/>
                    <a:ln>
                      <a:noFill/>
                    </a:ln>
                  </pic:spPr>
                </pic:pic>
              </a:graphicData>
            </a:graphic>
          </wp:inline>
        </w:drawing>
      </w:r>
    </w:p>
    <w:p w14:paraId="02CFB4C2" w14:textId="6C2D08E8" w:rsidR="00F52A4E" w:rsidRPr="009903A5" w:rsidRDefault="00DB6A71" w:rsidP="009903A5">
      <w:pPr>
        <w:pStyle w:val="BodyText"/>
      </w:pPr>
      <w:r w:rsidRPr="009903A5">
        <w:rPr>
          <w:rStyle w:val="SubtleEmphasis"/>
          <w:i w:val="0"/>
          <w:iCs w:val="0"/>
          <w:color w:val="000000"/>
        </w:rPr>
        <w:lastRenderedPageBreak/>
        <w:t xml:space="preserve">Estimates of Carpentaria Basin thickness derived from </w:t>
      </w:r>
      <w:r w:rsidR="007C72E7" w:rsidRPr="009903A5">
        <w:t xml:space="preserve">drillhole and </w:t>
      </w:r>
      <w:proofErr w:type="spellStart"/>
      <w:r w:rsidR="007C72E7" w:rsidRPr="009903A5">
        <w:t>AusAEM</w:t>
      </w:r>
      <w:proofErr w:type="spellEnd"/>
      <w:r w:rsidR="007C72E7" w:rsidRPr="009903A5">
        <w:t xml:space="preserve"> data </w:t>
      </w:r>
      <w:r w:rsidR="00F30B04">
        <w:t>are</w:t>
      </w:r>
      <w:r w:rsidR="007C72E7" w:rsidRPr="009903A5">
        <w:t xml:space="preserve"> not always </w:t>
      </w:r>
      <w:r w:rsidR="00F30B04">
        <w:t>consistent</w:t>
      </w:r>
      <w:r w:rsidR="003D6B4F">
        <w:t xml:space="preserve"> (</w:t>
      </w:r>
      <w:r w:rsidR="003D6B4F">
        <w:fldChar w:fldCharType="begin"/>
      </w:r>
      <w:r w:rsidR="003D6B4F">
        <w:instrText xml:space="preserve"> REF _Ref78380018 \h </w:instrText>
      </w:r>
      <w:r w:rsidR="003D6B4F">
        <w:fldChar w:fldCharType="separate"/>
      </w:r>
      <w:r w:rsidR="00DD7D05">
        <w:t xml:space="preserve">Figure </w:t>
      </w:r>
      <w:r w:rsidR="00DD7D05">
        <w:rPr>
          <w:noProof/>
        </w:rPr>
        <w:t>1</w:t>
      </w:r>
      <w:r w:rsidR="003D6B4F">
        <w:fldChar w:fldCharType="end"/>
      </w:r>
      <w:r w:rsidR="00C2765E">
        <w:t>a</w:t>
      </w:r>
      <w:r w:rsidR="003D6B4F" w:rsidRPr="009903A5">
        <w:t xml:space="preserve">). </w:t>
      </w:r>
      <w:r w:rsidR="007C72E7" w:rsidRPr="009903A5">
        <w:t xml:space="preserve">This is partly due to </w:t>
      </w:r>
      <w:r w:rsidR="00F30B04">
        <w:t xml:space="preserve">the methods used to estimate thickness </w:t>
      </w:r>
      <w:r w:rsidR="007C72E7" w:rsidRPr="009903A5">
        <w:t>(one from calculated electrical conductivity, the other a downhole measurement from drilling</w:t>
      </w:r>
      <w:r w:rsidR="00F52A4E" w:rsidRPr="009903A5">
        <w:t xml:space="preserve">). For instance, where </w:t>
      </w:r>
      <w:r w:rsidR="003D6B4F">
        <w:t xml:space="preserve">the </w:t>
      </w:r>
      <w:r w:rsidR="007C72E7" w:rsidRPr="009903A5">
        <w:t xml:space="preserve">Carpentaria Basin </w:t>
      </w:r>
      <w:r w:rsidR="00F52A4E" w:rsidRPr="009903A5">
        <w:t>consists primarily of sandstone</w:t>
      </w:r>
      <w:r w:rsidR="003D6B4F">
        <w:t>,</w:t>
      </w:r>
      <w:r w:rsidR="007C72E7" w:rsidRPr="009903A5">
        <w:t xml:space="preserve"> </w:t>
      </w:r>
      <w:r w:rsidR="00F52A4E" w:rsidRPr="009903A5">
        <w:t xml:space="preserve">the Carpentaria Basin </w:t>
      </w:r>
      <w:r w:rsidR="007C72E7" w:rsidRPr="009903A5">
        <w:t xml:space="preserve">will not be highlighted by the </w:t>
      </w:r>
      <w:proofErr w:type="spellStart"/>
      <w:r w:rsidR="007C72E7" w:rsidRPr="009903A5">
        <w:t>AusAEM</w:t>
      </w:r>
      <w:proofErr w:type="spellEnd"/>
      <w:r w:rsidR="004E0673">
        <w:t xml:space="preserve"> data</w:t>
      </w:r>
      <w:r w:rsidR="00F52A4E" w:rsidRPr="009903A5">
        <w:t>. H</w:t>
      </w:r>
      <w:r w:rsidR="00120C09" w:rsidRPr="009903A5">
        <w:t xml:space="preserve">owever, the </w:t>
      </w:r>
      <w:proofErr w:type="spellStart"/>
      <w:r w:rsidR="00120C09" w:rsidRPr="009903A5">
        <w:t>AusAEM</w:t>
      </w:r>
      <w:proofErr w:type="spellEnd"/>
      <w:r w:rsidRPr="009903A5">
        <w:t xml:space="preserve"> </w:t>
      </w:r>
      <w:r w:rsidR="004E0673">
        <w:t xml:space="preserve">data </w:t>
      </w:r>
      <w:r w:rsidRPr="009903A5">
        <w:t>provide</w:t>
      </w:r>
      <w:r w:rsidR="004E0673">
        <w:t>s</w:t>
      </w:r>
      <w:r w:rsidRPr="009903A5">
        <w:t xml:space="preserve"> </w:t>
      </w:r>
      <w:r w:rsidR="00120C09" w:rsidRPr="009903A5">
        <w:t xml:space="preserve">information where there are no drillholes and provides a consistent estimate of the thickness of the mudstone. </w:t>
      </w:r>
    </w:p>
    <w:p w14:paraId="1BB4271A" w14:textId="67E5D4FF" w:rsidR="00FF7A0A" w:rsidRPr="009903A5" w:rsidRDefault="00313E1C" w:rsidP="009903A5">
      <w:pPr>
        <w:pStyle w:val="BodyText"/>
      </w:pPr>
      <w:r w:rsidRPr="009903A5">
        <w:t xml:space="preserve">Cenozoic sediments </w:t>
      </w:r>
      <w:r w:rsidR="00950DC9">
        <w:t>a</w:t>
      </w:r>
      <w:r w:rsidRPr="009903A5">
        <w:t xml:space="preserve">re often difficult to </w:t>
      </w:r>
      <w:r w:rsidR="00B74FF5">
        <w:t>identify from the</w:t>
      </w:r>
      <w:r w:rsidRPr="009903A5">
        <w:t xml:space="preserve"> drill</w:t>
      </w:r>
      <w:r w:rsidR="00B74FF5">
        <w:t>hole data. Infilled river changes and valleys</w:t>
      </w:r>
      <w:r w:rsidRPr="009903A5">
        <w:t xml:space="preserve"> are evident in the surface geology</w:t>
      </w:r>
      <w:r w:rsidR="003D6B4F">
        <w:t xml:space="preserve"> </w:t>
      </w:r>
      <w:r w:rsidR="003D6B4F" w:rsidRPr="009903A5">
        <w:t>(</w:t>
      </w:r>
      <w:r w:rsidR="00C2765E">
        <w:fldChar w:fldCharType="begin"/>
      </w:r>
      <w:r w:rsidR="00C2765E">
        <w:instrText xml:space="preserve"> REF _Ref78380018 \h </w:instrText>
      </w:r>
      <w:r w:rsidR="00C2765E">
        <w:fldChar w:fldCharType="separate"/>
      </w:r>
      <w:r w:rsidR="00DD7D05">
        <w:t xml:space="preserve">Figure </w:t>
      </w:r>
      <w:r w:rsidR="00DD7D05">
        <w:rPr>
          <w:noProof/>
        </w:rPr>
        <w:t>1</w:t>
      </w:r>
      <w:r w:rsidR="00C2765E">
        <w:fldChar w:fldCharType="end"/>
      </w:r>
      <w:r w:rsidR="00C2765E">
        <w:t>b</w:t>
      </w:r>
      <w:r w:rsidR="003D6B4F" w:rsidRPr="009903A5">
        <w:t>)</w:t>
      </w:r>
      <w:r w:rsidR="00B74FF5">
        <w:t xml:space="preserve">. These features </w:t>
      </w:r>
      <w:r w:rsidRPr="009903A5">
        <w:t xml:space="preserve">have potential to locally increase recharge </w:t>
      </w:r>
      <w:r w:rsidR="00B74FF5">
        <w:t>if filled with sand</w:t>
      </w:r>
      <w:r w:rsidRPr="009903A5">
        <w:t xml:space="preserve">, or impede recharge (if filled with clay, as </w:t>
      </w:r>
      <w:r w:rsidR="003D6B4F">
        <w:t>observed</w:t>
      </w:r>
      <w:r w:rsidRPr="009903A5">
        <w:t xml:space="preserve"> in drillhole NDW12-01</w:t>
      </w:r>
      <w:r w:rsidR="00462E87">
        <w:t>) or contain</w:t>
      </w:r>
      <w:r w:rsidR="00B74FF5">
        <w:t xml:space="preserve"> </w:t>
      </w:r>
      <w:r w:rsidR="00C375A4">
        <w:t>small aquifers</w:t>
      </w:r>
      <w:r w:rsidR="00462E87">
        <w:t xml:space="preserve"> perched above the</w:t>
      </w:r>
      <w:r w:rsidRPr="009903A5">
        <w:t xml:space="preserve"> regional </w:t>
      </w:r>
      <w:proofErr w:type="spellStart"/>
      <w:r w:rsidRPr="009903A5">
        <w:t>watertable</w:t>
      </w:r>
      <w:proofErr w:type="spellEnd"/>
      <w:r w:rsidRPr="009903A5">
        <w:t xml:space="preserve">. </w:t>
      </w:r>
    </w:p>
    <w:p w14:paraId="4EDF8A37" w14:textId="320B0DE8" w:rsidR="00F30B04" w:rsidRPr="002C17EB" w:rsidRDefault="00F30B04" w:rsidP="00F30B04">
      <w:pPr>
        <w:pStyle w:val="Factsheetsubtitle"/>
        <w:rPr>
          <w:rStyle w:val="Superscript"/>
          <w:vertAlign w:val="baseline"/>
        </w:rPr>
      </w:pPr>
      <w:bookmarkStart w:id="4" w:name="_Ref65585246"/>
      <w:bookmarkEnd w:id="0"/>
      <w:r w:rsidRPr="002C17EB">
        <w:t>The</w:t>
      </w:r>
      <w:r w:rsidRPr="002C17EB">
        <w:rPr>
          <w:rStyle w:val="Superscript"/>
          <w:vertAlign w:val="baseline"/>
        </w:rPr>
        <w:t xml:space="preserve"> GBA Program</w:t>
      </w:r>
    </w:p>
    <w:p w14:paraId="70C6523E" w14:textId="7A8A3EE4" w:rsidR="00F30B04" w:rsidRDefault="00F30B04" w:rsidP="00F30B04">
      <w:pPr>
        <w:pStyle w:val="BodyText"/>
        <w:rPr>
          <w:rStyle w:val="SubtleEmphasis"/>
          <w:i w:val="0"/>
          <w:iCs w:val="0"/>
          <w:color w:val="000000" w:themeColor="text1"/>
        </w:rPr>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t xml:space="preserve"> users</w:t>
      </w:r>
      <w:r w:rsidRPr="00696D3E">
        <w:t xml:space="preserve"> and the community by informing decision</w:t>
      </w:r>
      <w:r>
        <w:t>-</w:t>
      </w:r>
      <w:r w:rsidRPr="00696D3E">
        <w:t>making and enabling the coordinated management of potential impacts.</w:t>
      </w:r>
    </w:p>
    <w:bookmarkEnd w:id="4"/>
    <w:p w14:paraId="6A9EAFC4" w14:textId="350EA054" w:rsidR="00A3521C" w:rsidRPr="003D6B4F" w:rsidRDefault="00A3521C" w:rsidP="003D6B4F">
      <w:pPr>
        <w:pStyle w:val="Factsheetsubtitle"/>
      </w:pPr>
      <w:r w:rsidRPr="003D6B4F">
        <w:t>How to cite</w:t>
      </w:r>
    </w:p>
    <w:p w14:paraId="64C9E6C8" w14:textId="09E2A28A" w:rsidR="00A3521C" w:rsidRPr="008C0B56" w:rsidRDefault="00A3521C" w:rsidP="008C0B56">
      <w:pPr>
        <w:pStyle w:val="BodyText"/>
      </w:pPr>
      <w:r w:rsidRPr="008C0B56">
        <w:t xml:space="preserve">Geological and Bioregional Assessment Program (2021) Fact sheet 6: </w:t>
      </w:r>
      <w:proofErr w:type="spellStart"/>
      <w:r w:rsidRPr="008C0B56">
        <w:t>Beetaloo</w:t>
      </w:r>
      <w:proofErr w:type="spellEnd"/>
      <w:r w:rsidRPr="008C0B56">
        <w:t xml:space="preserve"> GBA recharge pathways project – geology of the Carpentaria Basin </w:t>
      </w:r>
      <w:r w:rsidR="004E0673" w:rsidRPr="004E6D0C">
        <w:rPr>
          <w:noProof/>
        </w:rPr>
        <w:t xml:space="preserve">and Cenozoic sediments </w:t>
      </w:r>
      <w:r w:rsidRPr="008C0B56">
        <w:t>[online document]. Fact sheet for the Geological and Bioregional Assessment Program.</w:t>
      </w:r>
    </w:p>
    <w:p w14:paraId="20511EBE" w14:textId="5C409A5A" w:rsidR="008C0B56" w:rsidRPr="008C0B56" w:rsidRDefault="00697227" w:rsidP="008C0B56">
      <w:pPr>
        <w:pStyle w:val="Factsheetsubtitle"/>
      </w:pPr>
      <w:r>
        <w:t>Find out more</w:t>
      </w:r>
    </w:p>
    <w:p w14:paraId="15156051" w14:textId="165EDDFC" w:rsidR="008C0B56" w:rsidRDefault="008C0B56" w:rsidP="00C95127">
      <w:pPr>
        <w:pStyle w:val="ListBullet"/>
        <w:rPr>
          <w:noProof/>
        </w:rPr>
      </w:pPr>
      <w:r w:rsidRPr="008C0B56">
        <w:rPr>
          <w:noProof/>
        </w:rPr>
        <w:t>Geological and Bioregional Assessment Program (2021) Fact sheet 4: Beetaloo GBA recharge pathways – Sinkholes and their influence on recharge to aquifers [online document]. Fact sheet for the Geological and Bioregional Assessment Program.</w:t>
      </w:r>
    </w:p>
    <w:p w14:paraId="553F873B" w14:textId="77777777" w:rsidR="00C95127" w:rsidRPr="009F7F4F" w:rsidRDefault="00C95127" w:rsidP="00C95127">
      <w:pPr>
        <w:pStyle w:val="ListBullet"/>
        <w:rPr>
          <w:rFonts w:ascii="Segoe UI" w:hAnsi="Segoe UI" w:cs="Segoe UI"/>
          <w:sz w:val="18"/>
          <w:szCs w:val="18"/>
        </w:rPr>
      </w:pPr>
      <w:r w:rsidRPr="009F7F4F">
        <w:t xml:space="preserve">Geological and Bioregional Assessment Program (2021) Fact sheet 5: </w:t>
      </w:r>
      <w:proofErr w:type="spellStart"/>
      <w:r w:rsidRPr="009F7F4F">
        <w:t>Beetaloo</w:t>
      </w:r>
      <w:proofErr w:type="spellEnd"/>
      <w:r w:rsidRPr="009F7F4F">
        <w:t xml:space="preserve"> GBA groundwater recharge pathways </w:t>
      </w:r>
      <w:r>
        <w:t>–</w:t>
      </w:r>
      <w:r w:rsidRPr="009F7F4F">
        <w:t xml:space="preserve"> Summary</w:t>
      </w:r>
      <w:r>
        <w:t xml:space="preserve"> </w:t>
      </w:r>
      <w:r w:rsidRPr="009F7F4F">
        <w:t>[online document]. Fact sheet for the Geological and Bioregional Assessment Program. </w:t>
      </w:r>
    </w:p>
    <w:p w14:paraId="52CD4298" w14:textId="7D65B655" w:rsidR="00475109" w:rsidRPr="008C0B56" w:rsidRDefault="00475109" w:rsidP="00475109">
      <w:pPr>
        <w:pStyle w:val="BodyText"/>
        <w:spacing w:before="60" w:after="60"/>
      </w:pPr>
      <w:r>
        <w:t xml:space="preserve">Datasets that support this work are available at </w:t>
      </w:r>
      <w:hyperlink r:id="rId16">
        <w:r w:rsidRPr="209382AD">
          <w:rPr>
            <w:rStyle w:val="Hyperlink"/>
          </w:rPr>
          <w:t>data.gov.au</w:t>
        </w:r>
      </w:hyperlink>
      <w:r>
        <w:t>:</w:t>
      </w:r>
    </w:p>
    <w:p w14:paraId="7656780A" w14:textId="4E392413" w:rsidR="00BE5C81" w:rsidRPr="008C0B56" w:rsidRDefault="008C0B56" w:rsidP="00BE5C81">
      <w:pPr>
        <w:pStyle w:val="ListBullet"/>
        <w:rPr>
          <w:noProof/>
        </w:rPr>
      </w:pPr>
      <w:r w:rsidRPr="008C0B56">
        <w:rPr>
          <w:noProof/>
        </w:rPr>
        <w:t>Geological and Bioregional Assessment Program (2021</w:t>
      </w:r>
      <w:r w:rsidR="00C95127">
        <w:rPr>
          <w:noProof/>
        </w:rPr>
        <w:t>a</w:t>
      </w:r>
      <w:r w:rsidRPr="008C0B56">
        <w:rPr>
          <w:noProof/>
        </w:rPr>
        <w:t xml:space="preserve">) </w:t>
      </w:r>
      <w:hyperlink r:id="rId17" w:history="1">
        <w:proofErr w:type="spellStart"/>
        <w:r w:rsidRPr="00BE5C81">
          <w:rPr>
            <w:rStyle w:val="Hyperlink"/>
          </w:rPr>
          <w:t>Beetaloo</w:t>
        </w:r>
        <w:proofErr w:type="spellEnd"/>
        <w:r w:rsidRPr="00BE5C81">
          <w:rPr>
            <w:rStyle w:val="Hyperlink"/>
          </w:rPr>
          <w:t xml:space="preserve"> GBA </w:t>
        </w:r>
        <w:r w:rsidR="00C95127" w:rsidRPr="00BE5C81">
          <w:rPr>
            <w:rStyle w:val="Hyperlink"/>
          </w:rPr>
          <w:t>–</w:t>
        </w:r>
        <w:r w:rsidRPr="00BE5C81">
          <w:rPr>
            <w:rStyle w:val="Hyperlink"/>
          </w:rPr>
          <w:t xml:space="preserve"> Carpentaria</w:t>
        </w:r>
        <w:r w:rsidR="00C95127" w:rsidRPr="00BE5C81">
          <w:rPr>
            <w:rStyle w:val="Hyperlink"/>
          </w:rPr>
          <w:t xml:space="preserve"> </w:t>
        </w:r>
        <w:r w:rsidRPr="00BE5C81">
          <w:rPr>
            <w:rStyle w:val="Hyperlink"/>
          </w:rPr>
          <w:t>Basin</w:t>
        </w:r>
        <w:r w:rsidR="00C95127" w:rsidRPr="00BE5C81">
          <w:rPr>
            <w:rStyle w:val="Hyperlink"/>
          </w:rPr>
          <w:t xml:space="preserve"> </w:t>
        </w:r>
        <w:r w:rsidRPr="00BE5C81">
          <w:rPr>
            <w:rStyle w:val="Hyperlink"/>
          </w:rPr>
          <w:t>geological models derived</w:t>
        </w:r>
        <w:r w:rsidR="00C95127" w:rsidRPr="00BE5C81">
          <w:rPr>
            <w:rStyle w:val="Hyperlink"/>
          </w:rPr>
          <w:t xml:space="preserve"> </w:t>
        </w:r>
        <w:r w:rsidRPr="00BE5C81">
          <w:rPr>
            <w:rStyle w:val="Hyperlink"/>
          </w:rPr>
          <w:t>from</w:t>
        </w:r>
        <w:r w:rsidR="00C95127" w:rsidRPr="00BE5C81">
          <w:rPr>
            <w:rStyle w:val="Hyperlink"/>
          </w:rPr>
          <w:t xml:space="preserve"> </w:t>
        </w:r>
        <w:proofErr w:type="spellStart"/>
        <w:r w:rsidRPr="00BE5C81">
          <w:rPr>
            <w:rStyle w:val="Hyperlink"/>
          </w:rPr>
          <w:t>AusAEM</w:t>
        </w:r>
        <w:proofErr w:type="spellEnd"/>
        <w:r w:rsidRPr="00BE5C81">
          <w:rPr>
            <w:rStyle w:val="Hyperlink"/>
          </w:rPr>
          <w:t xml:space="preserve"> (airborne electromagnetics)</w:t>
        </w:r>
      </w:hyperlink>
      <w:r w:rsidR="00BE5C81">
        <w:rPr>
          <w:noProof/>
        </w:rPr>
        <w:t xml:space="preserve"> </w:t>
      </w:r>
      <w:r w:rsidR="00BE5C81" w:rsidRPr="00BE5C81">
        <w:rPr>
          <w:noProof/>
        </w:rPr>
        <w:t>[data]</w:t>
      </w:r>
      <w:r w:rsidR="00BE5C81">
        <w:rPr>
          <w:noProof/>
        </w:rPr>
        <w:t>.</w:t>
      </w:r>
    </w:p>
    <w:p w14:paraId="08898378" w14:textId="68E812C5" w:rsidR="008C0B56" w:rsidRPr="008C0B56" w:rsidRDefault="008C0B56" w:rsidP="00C95127">
      <w:pPr>
        <w:pStyle w:val="ListBullet"/>
        <w:rPr>
          <w:noProof/>
        </w:rPr>
      </w:pPr>
      <w:r w:rsidRPr="008C0B56">
        <w:rPr>
          <w:noProof/>
        </w:rPr>
        <w:t>Geological and Bioregional Assessment Program (2021</w:t>
      </w:r>
      <w:r w:rsidR="00C95127">
        <w:rPr>
          <w:noProof/>
        </w:rPr>
        <w:t>b</w:t>
      </w:r>
      <w:r w:rsidRPr="008C0B56">
        <w:rPr>
          <w:noProof/>
        </w:rPr>
        <w:t xml:space="preserve">) </w:t>
      </w:r>
      <w:hyperlink r:id="rId18" w:history="1">
        <w:r w:rsidRPr="00BC1F48">
          <w:rPr>
            <w:rStyle w:val="Hyperlink"/>
            <w:noProof/>
          </w:rPr>
          <w:t xml:space="preserve">Examples of abandoned stream channels </w:t>
        </w:r>
        <w:r w:rsidR="00C95127">
          <w:rPr>
            <w:rStyle w:val="Hyperlink"/>
            <w:noProof/>
          </w:rPr>
          <w:t>–</w:t>
        </w:r>
        <w:r w:rsidRPr="00BC1F48">
          <w:rPr>
            <w:rStyle w:val="Hyperlink"/>
            <w:noProof/>
          </w:rPr>
          <w:t xml:space="preserve"> Beetaloo</w:t>
        </w:r>
        <w:r w:rsidR="00C95127">
          <w:rPr>
            <w:rStyle w:val="Hyperlink"/>
            <w:noProof/>
          </w:rPr>
          <w:t xml:space="preserve"> </w:t>
        </w:r>
        <w:r w:rsidRPr="00BC1F48">
          <w:rPr>
            <w:rStyle w:val="Hyperlink"/>
            <w:noProof/>
          </w:rPr>
          <w:t>GBA region</w:t>
        </w:r>
      </w:hyperlink>
      <w:r w:rsidRPr="008C0B56">
        <w:rPr>
          <w:noProof/>
        </w:rPr>
        <w:t xml:space="preserve"> </w:t>
      </w:r>
      <w:r w:rsidR="00BE5C81" w:rsidRPr="00BE5C81">
        <w:rPr>
          <w:noProof/>
        </w:rPr>
        <w:t>[data]</w:t>
      </w:r>
      <w:r w:rsidR="00BE5C81">
        <w:rPr>
          <w:noProof/>
        </w:rPr>
        <w:t>.</w:t>
      </w:r>
    </w:p>
    <w:p w14:paraId="7A642307" w14:textId="4E00575E" w:rsidR="00136EDA" w:rsidRPr="00C95127" w:rsidRDefault="00F50C95" w:rsidP="00C95127">
      <w:pPr>
        <w:pStyle w:val="BodyText"/>
        <w:spacing w:before="60" w:after="60"/>
      </w:pPr>
      <w:r>
        <w:t xml:space="preserve">More information is available at </w:t>
      </w:r>
      <w:hyperlink r:id="rId19">
        <w:r w:rsidRPr="209382AD">
          <w:rPr>
            <w:rStyle w:val="Hyperlink"/>
          </w:rPr>
          <w:t>bioregionalassessments.gov.au/</w:t>
        </w:r>
        <w:proofErr w:type="spellStart"/>
        <w:r w:rsidRPr="209382AD">
          <w:rPr>
            <w:rStyle w:val="Hyperlink"/>
          </w:rPr>
          <w:t>gba</w:t>
        </w:r>
        <w:proofErr w:type="spellEnd"/>
      </w:hyperlink>
      <w:r w:rsidR="00C2765E">
        <w:t xml:space="preserve">. </w:t>
      </w:r>
    </w:p>
    <w:sectPr w:rsidR="00136EDA" w:rsidRPr="00C95127" w:rsidSect="00950DC9">
      <w:footerReference w:type="default" r:id="rId20"/>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8B091" w14:textId="77777777" w:rsidR="002C2E8A" w:rsidRDefault="002C2E8A" w:rsidP="009964E7">
      <w:r>
        <w:separator/>
      </w:r>
    </w:p>
    <w:p w14:paraId="233A8AD0" w14:textId="77777777" w:rsidR="002C2E8A" w:rsidRDefault="002C2E8A"/>
  </w:endnote>
  <w:endnote w:type="continuationSeparator" w:id="0">
    <w:p w14:paraId="5432CB54" w14:textId="77777777" w:rsidR="002C2E8A" w:rsidRDefault="002C2E8A" w:rsidP="009964E7">
      <w:r>
        <w:continuationSeparator/>
      </w:r>
    </w:p>
    <w:p w14:paraId="3BAF4336" w14:textId="77777777" w:rsidR="002C2E8A" w:rsidRDefault="002C2E8A"/>
  </w:endnote>
  <w:endnote w:type="continuationNotice" w:id="1">
    <w:p w14:paraId="4B1F8759" w14:textId="77777777" w:rsidR="002C2E8A" w:rsidRDefault="002C2E8A"/>
    <w:p w14:paraId="1398461D" w14:textId="77777777" w:rsidR="002C2E8A" w:rsidRDefault="002C2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96FB2" w14:textId="77777777" w:rsidR="002C2E8A" w:rsidRDefault="002C2E8A"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551FC012" wp14:editId="3E1867CD">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1D4E2F96" w14:textId="77777777" w:rsidR="002C2E8A" w:rsidRDefault="002C2E8A"/>
                        <w:p w14:paraId="5B844DDB" w14:textId="77777777" w:rsidR="002C2E8A" w:rsidRDefault="002C2E8A" w:rsidP="00CE28F3">
                          <w:pPr>
                            <w:pStyle w:val="CoverFooter"/>
                          </w:pPr>
                          <w:r>
                            <w:t xml:space="preserve">A scientific collaboration between the Department of Agriculture, </w:t>
                          </w:r>
                          <w:proofErr w:type="gramStart"/>
                          <w:r>
                            <w:t>Water</w:t>
                          </w:r>
                          <w:proofErr w:type="gramEnd"/>
                          <w:r>
                            <w:t xml:space="preserve"> and the Environment, </w:t>
                          </w:r>
                        </w:p>
                        <w:p w14:paraId="7DABA585" w14:textId="77777777" w:rsidR="002C2E8A" w:rsidRDefault="002C2E8A"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type id="_x0000_t202" coordsize="21600,21600" o:spt="202" path="m,l,21600r21600,l21600,xe" w14:anchorId="551FC012">
              <v:stroke joinstyle="miter"/>
              <v:path gradientshapeok="t" o:connecttype="rect"/>
            </v:shapetype>
            <v:shape id="Text Box 1612190414"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v:textbox>
                <w:txbxContent>
                  <w:p w:rsidR="002C2E8A" w:rsidRDefault="002C2E8A" w14:paraId="1D4E2F96" w14:textId="77777777"/>
                  <w:p w:rsidR="002C2E8A" w:rsidP="00CE28F3" w:rsidRDefault="002C2E8A" w14:paraId="5B844DDB" w14:textId="77777777">
                    <w:pPr>
                      <w:pStyle w:val="CoverFooter"/>
                    </w:pPr>
                    <w:r>
                      <w:t xml:space="preserve">A scientific collaboration between the Department of Agriculture, Water and the Environment, </w:t>
                    </w:r>
                  </w:p>
                  <w:p w:rsidR="002C2E8A" w:rsidP="00CE28F3" w:rsidRDefault="002C2E8A" w14:paraId="7DABA58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49530794" wp14:editId="11568605">
          <wp:simplePos x="0" y="0"/>
          <wp:positionH relativeFrom="page">
            <wp:posOffset>-12065</wp:posOffset>
          </wp:positionH>
          <wp:positionV relativeFrom="paragraph">
            <wp:posOffset>-471805</wp:posOffset>
          </wp:positionV>
          <wp:extent cx="7571740" cy="1840865"/>
          <wp:effectExtent l="0" t="0" r="0" b="0"/>
          <wp:wrapNone/>
          <wp:docPr id="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5C57F" w14:textId="77777777" w:rsidR="002C2E8A" w:rsidRDefault="002C2E8A">
      <w:r>
        <w:separator/>
      </w:r>
    </w:p>
    <w:p w14:paraId="6F866CFB" w14:textId="77777777" w:rsidR="002C2E8A" w:rsidRDefault="002C2E8A"/>
  </w:footnote>
  <w:footnote w:type="continuationSeparator" w:id="0">
    <w:p w14:paraId="5DCC4E0F" w14:textId="77777777" w:rsidR="002C2E8A" w:rsidRDefault="002C2E8A">
      <w:r>
        <w:continuationSeparator/>
      </w:r>
    </w:p>
    <w:p w14:paraId="01DB7A02" w14:textId="77777777" w:rsidR="002C2E8A" w:rsidRDefault="002C2E8A"/>
  </w:footnote>
  <w:footnote w:type="continuationNotice" w:id="1">
    <w:p w14:paraId="5FD3B657" w14:textId="77777777" w:rsidR="002C2E8A" w:rsidRDefault="002C2E8A"/>
    <w:p w14:paraId="58071C0B" w14:textId="77777777" w:rsidR="002C2E8A" w:rsidRDefault="002C2E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252724E"/>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CEB3FD7"/>
    <w:multiLevelType w:val="multilevel"/>
    <w:tmpl w:val="D0CE2C42"/>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FF54AF7"/>
    <w:multiLevelType w:val="hybridMultilevel"/>
    <w:tmpl w:val="35C679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5" w15:restartNumberingAfterBreak="0">
    <w:nsid w:val="2086735F"/>
    <w:multiLevelType w:val="multilevel"/>
    <w:tmpl w:val="34B69DEC"/>
    <w:styleLink w:val="TableBullets"/>
    <w:lvl w:ilvl="0">
      <w:start w:val="1"/>
      <w:numFmt w:val="decimal"/>
      <w:lvlText w:val="%1."/>
      <w:lvlJc w:val="left"/>
      <w:pPr>
        <w:ind w:left="36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803698"/>
    <w:multiLevelType w:val="hybridMultilevel"/>
    <w:tmpl w:val="0B1CA6C8"/>
    <w:lvl w:ilvl="0" w:tplc="72BE598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500688"/>
    <w:multiLevelType w:val="hybridMultilevel"/>
    <w:tmpl w:val="205857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9"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5994AA2"/>
    <w:multiLevelType w:val="hybridMultilevel"/>
    <w:tmpl w:val="8BA81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9D12B48"/>
    <w:multiLevelType w:val="hybridMultilevel"/>
    <w:tmpl w:val="69BA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9"/>
  </w:num>
  <w:num w:numId="5">
    <w:abstractNumId w:val="0"/>
  </w:num>
  <w:num w:numId="6">
    <w:abstractNumId w:val="4"/>
  </w:num>
  <w:num w:numId="7">
    <w:abstractNumId w:val="1"/>
  </w:num>
  <w:num w:numId="8">
    <w:abstractNumId w:val="7"/>
  </w:num>
  <w:num w:numId="9">
    <w:abstractNumId w:val="6"/>
  </w:num>
  <w:num w:numId="10">
    <w:abstractNumId w:val="10"/>
  </w:num>
  <w:num w:numId="11">
    <w:abstractNumId w:val="3"/>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38913"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1&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rarsptrspea0erv58v5ta999xxvvpdff5s&quot;&gt;Version3GBAGroupLibraryenl&lt;record-ids&gt;&lt;item&gt;3753&lt;/item&gt;&lt;item&gt;3815&lt;/item&gt;&lt;item&gt;3829&lt;/item&gt;&lt;item&gt;3881&lt;/item&gt;&lt;item&gt;3882&lt;/item&gt;&lt;/record-ids&gt;&lt;/item&gt;&lt;/Libraries&gt;"/>
  </w:docVars>
  <w:rsids>
    <w:rsidRoot w:val="004B53C9"/>
    <w:rsid w:val="000000D9"/>
    <w:rsid w:val="0000061C"/>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BA1"/>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5ED"/>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0F78"/>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D29"/>
    <w:rsid w:val="00065E04"/>
    <w:rsid w:val="00065E32"/>
    <w:rsid w:val="00065E85"/>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69FD"/>
    <w:rsid w:val="000770B6"/>
    <w:rsid w:val="00077126"/>
    <w:rsid w:val="000773CA"/>
    <w:rsid w:val="000779E0"/>
    <w:rsid w:val="00077C8A"/>
    <w:rsid w:val="00077D7B"/>
    <w:rsid w:val="0008009A"/>
    <w:rsid w:val="00080214"/>
    <w:rsid w:val="0008021C"/>
    <w:rsid w:val="0008055C"/>
    <w:rsid w:val="000807F6"/>
    <w:rsid w:val="00080E9D"/>
    <w:rsid w:val="00081448"/>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0A3"/>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33"/>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7D"/>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60A"/>
    <w:rsid w:val="000E09DA"/>
    <w:rsid w:val="000E0A43"/>
    <w:rsid w:val="000E0D13"/>
    <w:rsid w:val="000E0E0C"/>
    <w:rsid w:val="000E0EEF"/>
    <w:rsid w:val="000E1242"/>
    <w:rsid w:val="000E1319"/>
    <w:rsid w:val="000E15FC"/>
    <w:rsid w:val="000E17CC"/>
    <w:rsid w:val="000E190A"/>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CD1"/>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5EA5"/>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05"/>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6F48"/>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2D"/>
    <w:rsid w:val="0012073B"/>
    <w:rsid w:val="00120857"/>
    <w:rsid w:val="00120939"/>
    <w:rsid w:val="00120940"/>
    <w:rsid w:val="00120AFD"/>
    <w:rsid w:val="00120B74"/>
    <w:rsid w:val="00120C09"/>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9E1"/>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16"/>
    <w:rsid w:val="00136634"/>
    <w:rsid w:val="001366A1"/>
    <w:rsid w:val="001366EA"/>
    <w:rsid w:val="001366F0"/>
    <w:rsid w:val="00136844"/>
    <w:rsid w:val="00136B5D"/>
    <w:rsid w:val="00136B7F"/>
    <w:rsid w:val="00136CF6"/>
    <w:rsid w:val="00136EDA"/>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14"/>
    <w:rsid w:val="00141D5A"/>
    <w:rsid w:val="00141DA5"/>
    <w:rsid w:val="00141F93"/>
    <w:rsid w:val="00141FA3"/>
    <w:rsid w:val="00141FC5"/>
    <w:rsid w:val="0014207B"/>
    <w:rsid w:val="0014228C"/>
    <w:rsid w:val="00142331"/>
    <w:rsid w:val="0014233C"/>
    <w:rsid w:val="001423E2"/>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2DB"/>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7D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12F"/>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AF9"/>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323"/>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21"/>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A6"/>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E5B"/>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577"/>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2EDE"/>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B19"/>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C36"/>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29"/>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7B4"/>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916"/>
    <w:rsid w:val="00241BAC"/>
    <w:rsid w:val="00241DEB"/>
    <w:rsid w:val="00241F49"/>
    <w:rsid w:val="00241F8F"/>
    <w:rsid w:val="0024202F"/>
    <w:rsid w:val="002420CD"/>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C47"/>
    <w:rsid w:val="00243D8A"/>
    <w:rsid w:val="00244266"/>
    <w:rsid w:val="002446CB"/>
    <w:rsid w:val="0024484D"/>
    <w:rsid w:val="00244CDC"/>
    <w:rsid w:val="00244E82"/>
    <w:rsid w:val="002451DB"/>
    <w:rsid w:val="00245240"/>
    <w:rsid w:val="0024540C"/>
    <w:rsid w:val="00245499"/>
    <w:rsid w:val="002455C7"/>
    <w:rsid w:val="002455D4"/>
    <w:rsid w:val="0024560F"/>
    <w:rsid w:val="0024576A"/>
    <w:rsid w:val="00245A9B"/>
    <w:rsid w:val="00245AEE"/>
    <w:rsid w:val="00245D34"/>
    <w:rsid w:val="00245E22"/>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6F8E"/>
    <w:rsid w:val="00247025"/>
    <w:rsid w:val="0024726E"/>
    <w:rsid w:val="002472DB"/>
    <w:rsid w:val="002473E3"/>
    <w:rsid w:val="00247639"/>
    <w:rsid w:val="002478BC"/>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D5"/>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5FE9"/>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E49"/>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572"/>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E40"/>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48D"/>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BED"/>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3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8A"/>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4DB"/>
    <w:rsid w:val="002E76BF"/>
    <w:rsid w:val="002E7783"/>
    <w:rsid w:val="002E779C"/>
    <w:rsid w:val="002E78B1"/>
    <w:rsid w:val="002E7A68"/>
    <w:rsid w:val="002E7AB1"/>
    <w:rsid w:val="002E7AE5"/>
    <w:rsid w:val="002E7AEF"/>
    <w:rsid w:val="002E7C2D"/>
    <w:rsid w:val="002E7DC9"/>
    <w:rsid w:val="002E7DF1"/>
    <w:rsid w:val="002E7EC2"/>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6974"/>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4F8E"/>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739"/>
    <w:rsid w:val="00313850"/>
    <w:rsid w:val="003139EB"/>
    <w:rsid w:val="00313B64"/>
    <w:rsid w:val="00313BC9"/>
    <w:rsid w:val="00313C28"/>
    <w:rsid w:val="00313C72"/>
    <w:rsid w:val="00313CAE"/>
    <w:rsid w:val="00313CE9"/>
    <w:rsid w:val="00313D10"/>
    <w:rsid w:val="00313E1C"/>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23"/>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7E7"/>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DEB"/>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29C"/>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103"/>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4D"/>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5E"/>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0F4B"/>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4A6"/>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99"/>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5E6"/>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B4F"/>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837"/>
    <w:rsid w:val="003E6934"/>
    <w:rsid w:val="003E694C"/>
    <w:rsid w:val="003E6A1A"/>
    <w:rsid w:val="003E6A77"/>
    <w:rsid w:val="003E6BB0"/>
    <w:rsid w:val="003E6EF3"/>
    <w:rsid w:val="003E70B7"/>
    <w:rsid w:val="003E7359"/>
    <w:rsid w:val="003E791C"/>
    <w:rsid w:val="003E7E91"/>
    <w:rsid w:val="003E7EAF"/>
    <w:rsid w:val="003E7F7F"/>
    <w:rsid w:val="003E7FE4"/>
    <w:rsid w:val="003F00F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4F92"/>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97B"/>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983"/>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23"/>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37FFC"/>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0B"/>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1B"/>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ECD"/>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E87"/>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92A"/>
    <w:rsid w:val="00466A86"/>
    <w:rsid w:val="00467371"/>
    <w:rsid w:val="00467438"/>
    <w:rsid w:val="004676B3"/>
    <w:rsid w:val="004677EF"/>
    <w:rsid w:val="00467A5D"/>
    <w:rsid w:val="00467AE4"/>
    <w:rsid w:val="00467BC3"/>
    <w:rsid w:val="00467BD3"/>
    <w:rsid w:val="00467BEB"/>
    <w:rsid w:val="00467F76"/>
    <w:rsid w:val="00467FD0"/>
    <w:rsid w:val="004703B4"/>
    <w:rsid w:val="004703F8"/>
    <w:rsid w:val="00470910"/>
    <w:rsid w:val="0047099A"/>
    <w:rsid w:val="00470C8C"/>
    <w:rsid w:val="00470E78"/>
    <w:rsid w:val="00470F74"/>
    <w:rsid w:val="00471053"/>
    <w:rsid w:val="00471100"/>
    <w:rsid w:val="00471284"/>
    <w:rsid w:val="004712A5"/>
    <w:rsid w:val="004712A8"/>
    <w:rsid w:val="00471471"/>
    <w:rsid w:val="00471486"/>
    <w:rsid w:val="004715B7"/>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508"/>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109"/>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D4C"/>
    <w:rsid w:val="00476D6F"/>
    <w:rsid w:val="00476FC6"/>
    <w:rsid w:val="00477030"/>
    <w:rsid w:val="0047706B"/>
    <w:rsid w:val="0047706C"/>
    <w:rsid w:val="0047731E"/>
    <w:rsid w:val="00477449"/>
    <w:rsid w:val="004777C9"/>
    <w:rsid w:val="00477843"/>
    <w:rsid w:val="004778C2"/>
    <w:rsid w:val="00477C29"/>
    <w:rsid w:val="00477DD1"/>
    <w:rsid w:val="0048006A"/>
    <w:rsid w:val="004801CB"/>
    <w:rsid w:val="004804E3"/>
    <w:rsid w:val="004807C2"/>
    <w:rsid w:val="00480858"/>
    <w:rsid w:val="0048086E"/>
    <w:rsid w:val="0048097B"/>
    <w:rsid w:val="00480B14"/>
    <w:rsid w:val="00480B2C"/>
    <w:rsid w:val="00480C6B"/>
    <w:rsid w:val="00480FC2"/>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89A"/>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5F0"/>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5F5"/>
    <w:rsid w:val="004B171D"/>
    <w:rsid w:val="004B1CB4"/>
    <w:rsid w:val="004B1CD3"/>
    <w:rsid w:val="004B1FD4"/>
    <w:rsid w:val="004B20AC"/>
    <w:rsid w:val="004B219E"/>
    <w:rsid w:val="004B22FC"/>
    <w:rsid w:val="004B22FE"/>
    <w:rsid w:val="004B2925"/>
    <w:rsid w:val="004B2A54"/>
    <w:rsid w:val="004B2ACE"/>
    <w:rsid w:val="004B2C25"/>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3C9"/>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2E"/>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5D"/>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2E44"/>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7B"/>
    <w:rsid w:val="004D7ECF"/>
    <w:rsid w:val="004E007D"/>
    <w:rsid w:val="004E0345"/>
    <w:rsid w:val="004E0568"/>
    <w:rsid w:val="004E05A0"/>
    <w:rsid w:val="004E0673"/>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5E3"/>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91F"/>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4E9C"/>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793"/>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96"/>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04F"/>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0C48"/>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8D0"/>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691"/>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67A"/>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51"/>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0A6"/>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29B"/>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2B6"/>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64"/>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6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2E88"/>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6A"/>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7D"/>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D7E7A"/>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9C3"/>
    <w:rsid w:val="00602B51"/>
    <w:rsid w:val="00602CF8"/>
    <w:rsid w:val="00602DF5"/>
    <w:rsid w:val="00603006"/>
    <w:rsid w:val="006033D0"/>
    <w:rsid w:val="006038E6"/>
    <w:rsid w:val="00603B54"/>
    <w:rsid w:val="00603D8A"/>
    <w:rsid w:val="00604725"/>
    <w:rsid w:val="00604738"/>
    <w:rsid w:val="0060487D"/>
    <w:rsid w:val="006048A8"/>
    <w:rsid w:val="006049E7"/>
    <w:rsid w:val="00604A43"/>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1F4"/>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CDC"/>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01"/>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34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24E"/>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E8E"/>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C61"/>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1FC0"/>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69"/>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6A4"/>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77"/>
    <w:rsid w:val="006956B4"/>
    <w:rsid w:val="006958A1"/>
    <w:rsid w:val="006959E1"/>
    <w:rsid w:val="00695A09"/>
    <w:rsid w:val="00695A1E"/>
    <w:rsid w:val="00695EAA"/>
    <w:rsid w:val="00695EE7"/>
    <w:rsid w:val="0069602D"/>
    <w:rsid w:val="00696177"/>
    <w:rsid w:val="006962EA"/>
    <w:rsid w:val="0069637E"/>
    <w:rsid w:val="0069645D"/>
    <w:rsid w:val="0069655A"/>
    <w:rsid w:val="006965B1"/>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38B"/>
    <w:rsid w:val="006A4680"/>
    <w:rsid w:val="006A46C3"/>
    <w:rsid w:val="006A46D2"/>
    <w:rsid w:val="006A47C6"/>
    <w:rsid w:val="006A4A3B"/>
    <w:rsid w:val="006A4A84"/>
    <w:rsid w:val="006A4AED"/>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8C3"/>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D1"/>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BB4"/>
    <w:rsid w:val="006D4CA6"/>
    <w:rsid w:val="006D4FE4"/>
    <w:rsid w:val="006D5017"/>
    <w:rsid w:val="006D5068"/>
    <w:rsid w:val="006D555F"/>
    <w:rsid w:val="006D5571"/>
    <w:rsid w:val="006D567C"/>
    <w:rsid w:val="006D56F9"/>
    <w:rsid w:val="006D57C6"/>
    <w:rsid w:val="006D58BB"/>
    <w:rsid w:val="006D5AC6"/>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3A8"/>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982"/>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A4B"/>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CB3"/>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0C"/>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DF0"/>
    <w:rsid w:val="00727F56"/>
    <w:rsid w:val="00727F81"/>
    <w:rsid w:val="00730235"/>
    <w:rsid w:val="00730397"/>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A53"/>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1D0"/>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43C"/>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233"/>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37"/>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7C5"/>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4E6"/>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18"/>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6D6A"/>
    <w:rsid w:val="0078707D"/>
    <w:rsid w:val="00787151"/>
    <w:rsid w:val="00787338"/>
    <w:rsid w:val="00787493"/>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7"/>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CCC"/>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57"/>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2E7"/>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BF0"/>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69"/>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37E83"/>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14"/>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1A3"/>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4AF"/>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9D0"/>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42"/>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A97"/>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B1C"/>
    <w:rsid w:val="00880DD7"/>
    <w:rsid w:val="00880DE8"/>
    <w:rsid w:val="008816C5"/>
    <w:rsid w:val="008817EE"/>
    <w:rsid w:val="00881BDE"/>
    <w:rsid w:val="00881D11"/>
    <w:rsid w:val="00881F87"/>
    <w:rsid w:val="00881FC6"/>
    <w:rsid w:val="00882151"/>
    <w:rsid w:val="008821B5"/>
    <w:rsid w:val="00882267"/>
    <w:rsid w:val="0088239B"/>
    <w:rsid w:val="00882576"/>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8DF"/>
    <w:rsid w:val="00886B79"/>
    <w:rsid w:val="00886B7D"/>
    <w:rsid w:val="00886CB8"/>
    <w:rsid w:val="00886CF6"/>
    <w:rsid w:val="00886D01"/>
    <w:rsid w:val="00886EEC"/>
    <w:rsid w:val="00887135"/>
    <w:rsid w:val="008871EA"/>
    <w:rsid w:val="008874D1"/>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88C"/>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21"/>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56"/>
    <w:rsid w:val="008C0BA8"/>
    <w:rsid w:val="008C0D50"/>
    <w:rsid w:val="008C0E07"/>
    <w:rsid w:val="008C0EBC"/>
    <w:rsid w:val="008C102F"/>
    <w:rsid w:val="008C117A"/>
    <w:rsid w:val="008C1337"/>
    <w:rsid w:val="008C1513"/>
    <w:rsid w:val="008C151A"/>
    <w:rsid w:val="008C1A1B"/>
    <w:rsid w:val="008C1B0A"/>
    <w:rsid w:val="008C204D"/>
    <w:rsid w:val="008C26A1"/>
    <w:rsid w:val="008C26D5"/>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3BF"/>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C85"/>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04"/>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224"/>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9D2"/>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06"/>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A5"/>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98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7EA"/>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0DC9"/>
    <w:rsid w:val="009510CE"/>
    <w:rsid w:val="009510F9"/>
    <w:rsid w:val="00951279"/>
    <w:rsid w:val="00951609"/>
    <w:rsid w:val="009516C7"/>
    <w:rsid w:val="009517D3"/>
    <w:rsid w:val="00951B1E"/>
    <w:rsid w:val="00951EA1"/>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87"/>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BD9"/>
    <w:rsid w:val="00956C5C"/>
    <w:rsid w:val="00956DE2"/>
    <w:rsid w:val="00956E0F"/>
    <w:rsid w:val="00957152"/>
    <w:rsid w:val="00957369"/>
    <w:rsid w:val="00957393"/>
    <w:rsid w:val="0095764D"/>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56E"/>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4F3"/>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4FF0"/>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1BE"/>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244"/>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564"/>
    <w:rsid w:val="00987771"/>
    <w:rsid w:val="009877E3"/>
    <w:rsid w:val="00987853"/>
    <w:rsid w:val="00987945"/>
    <w:rsid w:val="00987BFE"/>
    <w:rsid w:val="00987D54"/>
    <w:rsid w:val="009900B5"/>
    <w:rsid w:val="00990200"/>
    <w:rsid w:val="009903A5"/>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68"/>
    <w:rsid w:val="00997BA1"/>
    <w:rsid w:val="00997C20"/>
    <w:rsid w:val="00997D00"/>
    <w:rsid w:val="009A00AC"/>
    <w:rsid w:val="009A0186"/>
    <w:rsid w:val="009A01BA"/>
    <w:rsid w:val="009A0283"/>
    <w:rsid w:val="009A0285"/>
    <w:rsid w:val="009A0352"/>
    <w:rsid w:val="009A0360"/>
    <w:rsid w:val="009A03C9"/>
    <w:rsid w:val="009A057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9F3"/>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10D"/>
    <w:rsid w:val="009B4259"/>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1FEA"/>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0F8B"/>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2E"/>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4BF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0BA"/>
    <w:rsid w:val="00A30775"/>
    <w:rsid w:val="00A307E5"/>
    <w:rsid w:val="00A30B81"/>
    <w:rsid w:val="00A30EE2"/>
    <w:rsid w:val="00A311CB"/>
    <w:rsid w:val="00A311E4"/>
    <w:rsid w:val="00A312AD"/>
    <w:rsid w:val="00A31554"/>
    <w:rsid w:val="00A31A67"/>
    <w:rsid w:val="00A31BF7"/>
    <w:rsid w:val="00A31D27"/>
    <w:rsid w:val="00A31D7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1C"/>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6F7"/>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6AE"/>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2A3"/>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30B"/>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03"/>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B3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70"/>
    <w:rsid w:val="00A929B8"/>
    <w:rsid w:val="00A92D05"/>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45E"/>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6F47"/>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1E0"/>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645"/>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041"/>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0BB"/>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3BD"/>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365"/>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2D9"/>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413"/>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88D"/>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48"/>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B7"/>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CA9"/>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4FF5"/>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7EE"/>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3A"/>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247"/>
    <w:rsid w:val="00B923BB"/>
    <w:rsid w:val="00B92582"/>
    <w:rsid w:val="00B925E7"/>
    <w:rsid w:val="00B9264B"/>
    <w:rsid w:val="00B9278B"/>
    <w:rsid w:val="00B92921"/>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458"/>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5BE"/>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1B6"/>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391"/>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1F48"/>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C11"/>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81"/>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0FC"/>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967"/>
    <w:rsid w:val="00C169F3"/>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65E"/>
    <w:rsid w:val="00C27709"/>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C0F"/>
    <w:rsid w:val="00C33D77"/>
    <w:rsid w:val="00C33DC6"/>
    <w:rsid w:val="00C33E8F"/>
    <w:rsid w:val="00C34751"/>
    <w:rsid w:val="00C348D0"/>
    <w:rsid w:val="00C34941"/>
    <w:rsid w:val="00C34A79"/>
    <w:rsid w:val="00C34B5F"/>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1B9"/>
    <w:rsid w:val="00C362F2"/>
    <w:rsid w:val="00C363EE"/>
    <w:rsid w:val="00C367F3"/>
    <w:rsid w:val="00C36A48"/>
    <w:rsid w:val="00C36B97"/>
    <w:rsid w:val="00C36E89"/>
    <w:rsid w:val="00C36FB5"/>
    <w:rsid w:val="00C3705C"/>
    <w:rsid w:val="00C370F8"/>
    <w:rsid w:val="00C375A4"/>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75F"/>
    <w:rsid w:val="00C458A0"/>
    <w:rsid w:val="00C45983"/>
    <w:rsid w:val="00C45A99"/>
    <w:rsid w:val="00C45CE9"/>
    <w:rsid w:val="00C45D62"/>
    <w:rsid w:val="00C45EAA"/>
    <w:rsid w:val="00C45EE6"/>
    <w:rsid w:val="00C45F1D"/>
    <w:rsid w:val="00C460D4"/>
    <w:rsid w:val="00C461E5"/>
    <w:rsid w:val="00C46329"/>
    <w:rsid w:val="00C46445"/>
    <w:rsid w:val="00C465CE"/>
    <w:rsid w:val="00C46653"/>
    <w:rsid w:val="00C46749"/>
    <w:rsid w:val="00C46940"/>
    <w:rsid w:val="00C4695C"/>
    <w:rsid w:val="00C469A4"/>
    <w:rsid w:val="00C46CAD"/>
    <w:rsid w:val="00C46D10"/>
    <w:rsid w:val="00C46D41"/>
    <w:rsid w:val="00C46E4C"/>
    <w:rsid w:val="00C46E92"/>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9DF"/>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7F1"/>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8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DDE"/>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B90"/>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27"/>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4"/>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634"/>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656"/>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3E"/>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9C4"/>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E16"/>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AE7"/>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A8"/>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3B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751"/>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2C"/>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DAB"/>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79F"/>
    <w:rsid w:val="00D25AC6"/>
    <w:rsid w:val="00D25B9F"/>
    <w:rsid w:val="00D261F8"/>
    <w:rsid w:val="00D26449"/>
    <w:rsid w:val="00D26962"/>
    <w:rsid w:val="00D26EB7"/>
    <w:rsid w:val="00D26ECF"/>
    <w:rsid w:val="00D26FA7"/>
    <w:rsid w:val="00D270C0"/>
    <w:rsid w:val="00D273AE"/>
    <w:rsid w:val="00D27863"/>
    <w:rsid w:val="00D278C7"/>
    <w:rsid w:val="00D27C4B"/>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1FB6"/>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6F9"/>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197"/>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DB0"/>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591"/>
    <w:rsid w:val="00DB69E6"/>
    <w:rsid w:val="00DB69F2"/>
    <w:rsid w:val="00DB6A71"/>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B10"/>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D05"/>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0F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88B"/>
    <w:rsid w:val="00DF193F"/>
    <w:rsid w:val="00DF1963"/>
    <w:rsid w:val="00DF1C72"/>
    <w:rsid w:val="00DF1E13"/>
    <w:rsid w:val="00DF1F05"/>
    <w:rsid w:val="00DF20FA"/>
    <w:rsid w:val="00DF2174"/>
    <w:rsid w:val="00DF21A9"/>
    <w:rsid w:val="00DF21AA"/>
    <w:rsid w:val="00DF2293"/>
    <w:rsid w:val="00DF238C"/>
    <w:rsid w:val="00DF2441"/>
    <w:rsid w:val="00DF2818"/>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09F"/>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6E8"/>
    <w:rsid w:val="00E037C1"/>
    <w:rsid w:val="00E03888"/>
    <w:rsid w:val="00E039B0"/>
    <w:rsid w:val="00E03A28"/>
    <w:rsid w:val="00E03B95"/>
    <w:rsid w:val="00E03C25"/>
    <w:rsid w:val="00E03C6D"/>
    <w:rsid w:val="00E03C90"/>
    <w:rsid w:val="00E03CDB"/>
    <w:rsid w:val="00E03DA3"/>
    <w:rsid w:val="00E03DFF"/>
    <w:rsid w:val="00E03F23"/>
    <w:rsid w:val="00E03FBA"/>
    <w:rsid w:val="00E0404E"/>
    <w:rsid w:val="00E04071"/>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66C"/>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42"/>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21C"/>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1E"/>
    <w:rsid w:val="00E279A4"/>
    <w:rsid w:val="00E27A86"/>
    <w:rsid w:val="00E27BF0"/>
    <w:rsid w:val="00E27D75"/>
    <w:rsid w:val="00E27F31"/>
    <w:rsid w:val="00E3048C"/>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82"/>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AA5"/>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1B8"/>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BFE"/>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DD2"/>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85"/>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73F"/>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88"/>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3FB"/>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BE4"/>
    <w:rsid w:val="00EE0D19"/>
    <w:rsid w:val="00EE0ECE"/>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E67"/>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B68"/>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A01"/>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6F3B"/>
    <w:rsid w:val="00F27051"/>
    <w:rsid w:val="00F27362"/>
    <w:rsid w:val="00F27588"/>
    <w:rsid w:val="00F275C7"/>
    <w:rsid w:val="00F27810"/>
    <w:rsid w:val="00F27AB8"/>
    <w:rsid w:val="00F27EF6"/>
    <w:rsid w:val="00F30B04"/>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885"/>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876"/>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C95"/>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A4E"/>
    <w:rsid w:val="00F52B70"/>
    <w:rsid w:val="00F52CEA"/>
    <w:rsid w:val="00F52E5E"/>
    <w:rsid w:val="00F52EFA"/>
    <w:rsid w:val="00F53062"/>
    <w:rsid w:val="00F530D3"/>
    <w:rsid w:val="00F53404"/>
    <w:rsid w:val="00F53696"/>
    <w:rsid w:val="00F53BF7"/>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CF9"/>
    <w:rsid w:val="00F67D24"/>
    <w:rsid w:val="00F67FFD"/>
    <w:rsid w:val="00F70027"/>
    <w:rsid w:val="00F706C8"/>
    <w:rsid w:val="00F707A5"/>
    <w:rsid w:val="00F70900"/>
    <w:rsid w:val="00F70A89"/>
    <w:rsid w:val="00F70DB2"/>
    <w:rsid w:val="00F70E51"/>
    <w:rsid w:val="00F70EBC"/>
    <w:rsid w:val="00F70F92"/>
    <w:rsid w:val="00F715D3"/>
    <w:rsid w:val="00F717F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07A"/>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84"/>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0A"/>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6FFB"/>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2F7"/>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52E"/>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22"/>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A0A"/>
    <w:rsid w:val="00FF7BAB"/>
    <w:rsid w:val="00FF7E4F"/>
    <w:rsid w:val="00FF7E9D"/>
    <w:rsid w:val="00FF7F57"/>
    <w:rsid w:val="00FF7F91"/>
    <w:rsid w:val="025A4060"/>
    <w:rsid w:val="02FFC925"/>
    <w:rsid w:val="0374C1DE"/>
    <w:rsid w:val="03F610C1"/>
    <w:rsid w:val="0905BF31"/>
    <w:rsid w:val="09E89039"/>
    <w:rsid w:val="0AE9C665"/>
    <w:rsid w:val="10423575"/>
    <w:rsid w:val="10A4E01A"/>
    <w:rsid w:val="121C0D08"/>
    <w:rsid w:val="14716877"/>
    <w:rsid w:val="18CEACA3"/>
    <w:rsid w:val="191952A6"/>
    <w:rsid w:val="1960DDE0"/>
    <w:rsid w:val="1BBB5D4C"/>
    <w:rsid w:val="1E46B9BD"/>
    <w:rsid w:val="1FBB2545"/>
    <w:rsid w:val="1FE27654"/>
    <w:rsid w:val="1FE57496"/>
    <w:rsid w:val="209382AD"/>
    <w:rsid w:val="23A8FDD2"/>
    <w:rsid w:val="256F98D9"/>
    <w:rsid w:val="257E46D3"/>
    <w:rsid w:val="29AC8302"/>
    <w:rsid w:val="2B089F68"/>
    <w:rsid w:val="2C9FC0E0"/>
    <w:rsid w:val="2CD30A97"/>
    <w:rsid w:val="2D655E31"/>
    <w:rsid w:val="2E7FF425"/>
    <w:rsid w:val="2E964568"/>
    <w:rsid w:val="2E9C37E4"/>
    <w:rsid w:val="34999F35"/>
    <w:rsid w:val="3538706E"/>
    <w:rsid w:val="353B1D04"/>
    <w:rsid w:val="35CAA73B"/>
    <w:rsid w:val="38CDF563"/>
    <w:rsid w:val="38FFDD6A"/>
    <w:rsid w:val="39A891A4"/>
    <w:rsid w:val="39F8D2F7"/>
    <w:rsid w:val="3A9BADCB"/>
    <w:rsid w:val="3ADF75CA"/>
    <w:rsid w:val="3CA61DF1"/>
    <w:rsid w:val="3CC690A2"/>
    <w:rsid w:val="3EFCF03E"/>
    <w:rsid w:val="40F1C6F2"/>
    <w:rsid w:val="43F82287"/>
    <w:rsid w:val="444423A8"/>
    <w:rsid w:val="46E518FB"/>
    <w:rsid w:val="47B6FB9D"/>
    <w:rsid w:val="4810F767"/>
    <w:rsid w:val="49E08251"/>
    <w:rsid w:val="49F09BCA"/>
    <w:rsid w:val="4AB43E57"/>
    <w:rsid w:val="4B58BA57"/>
    <w:rsid w:val="4C8A20B4"/>
    <w:rsid w:val="505D1E8A"/>
    <w:rsid w:val="50BAFFBD"/>
    <w:rsid w:val="5250A9C1"/>
    <w:rsid w:val="52FA0771"/>
    <w:rsid w:val="54BDACDF"/>
    <w:rsid w:val="5808EE4F"/>
    <w:rsid w:val="586623CB"/>
    <w:rsid w:val="58A56397"/>
    <w:rsid w:val="5E5BC96D"/>
    <w:rsid w:val="5EBA5D21"/>
    <w:rsid w:val="5EDBC44E"/>
    <w:rsid w:val="60698414"/>
    <w:rsid w:val="6165C075"/>
    <w:rsid w:val="6322D929"/>
    <w:rsid w:val="6385EB8B"/>
    <w:rsid w:val="64070552"/>
    <w:rsid w:val="64883C70"/>
    <w:rsid w:val="64A164CD"/>
    <w:rsid w:val="65431716"/>
    <w:rsid w:val="65C8A375"/>
    <w:rsid w:val="67DBBA97"/>
    <w:rsid w:val="67E79FE5"/>
    <w:rsid w:val="6988689C"/>
    <w:rsid w:val="69B89DEF"/>
    <w:rsid w:val="6B38BCC2"/>
    <w:rsid w:val="6F8F149E"/>
    <w:rsid w:val="6FAB5192"/>
    <w:rsid w:val="6FE5AB0B"/>
    <w:rsid w:val="70EA4D7E"/>
    <w:rsid w:val="77B9BA10"/>
    <w:rsid w:val="7844B55F"/>
    <w:rsid w:val="7BA47455"/>
    <w:rsid w:val="7CAB05B6"/>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6A0D9865"/>
  <w15:docId w15:val="{F60306D9-B770-4081-AA40-54E1B9E9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3"/>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3"/>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3"/>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3"/>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3"/>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eastAsia="Times New Roman"/>
      <w:b/>
      <w:color w:val="146692"/>
      <w:sz w:val="72"/>
      <w:szCs w:val="72"/>
    </w:rPr>
  </w:style>
  <w:style w:type="character" w:customStyle="1" w:styleId="Heading2Char">
    <w:name w:val="Heading 2 Char"/>
    <w:link w:val="Heading2"/>
    <w:uiPriority w:val="1"/>
    <w:locked/>
    <w:rsid w:val="00762891"/>
    <w:rPr>
      <w:rFonts w:eastAsia="Times New Roman"/>
      <w:b/>
      <w:color w:val="146692"/>
      <w:sz w:val="40"/>
      <w:szCs w:val="72"/>
    </w:rPr>
  </w:style>
  <w:style w:type="character" w:customStyle="1" w:styleId="Heading3Char">
    <w:name w:val="Heading 3 Char"/>
    <w:link w:val="Heading3"/>
    <w:uiPriority w:val="1"/>
    <w:locked/>
    <w:rsid w:val="00762891"/>
    <w:rPr>
      <w:rFonts w:eastAsia="Times New Roman"/>
      <w:b/>
      <w:i/>
      <w:color w:val="000000"/>
      <w:sz w:val="36"/>
      <w:szCs w:val="72"/>
    </w:rPr>
  </w:style>
  <w:style w:type="character" w:customStyle="1" w:styleId="Heading4Char">
    <w:name w:val="Heading 4 Char"/>
    <w:link w:val="Heading4"/>
    <w:uiPriority w:val="1"/>
    <w:locked/>
    <w:rsid w:val="00C733D3"/>
    <w:rPr>
      <w:rFonts w:eastAsia="Times New Roman"/>
      <w:b/>
      <w:iCs/>
      <w:spacing w:val="1"/>
      <w:sz w:val="32"/>
      <w:szCs w:val="28"/>
    </w:rPr>
  </w:style>
  <w:style w:type="character" w:customStyle="1" w:styleId="Heading5Char">
    <w:name w:val="Heading 5 Char"/>
    <w:link w:val="Heading5"/>
    <w:uiPriority w:val="1"/>
    <w:locked/>
    <w:rsid w:val="00762891"/>
    <w:rPr>
      <w:rFonts w:eastAsia="Times New Roman"/>
      <w:iCs/>
      <w:spacing w:val="1"/>
      <w:sz w:val="28"/>
      <w:szCs w:val="28"/>
    </w:rPr>
  </w:style>
  <w:style w:type="character" w:customStyle="1" w:styleId="Heading6Char">
    <w:name w:val="Heading 6 Char"/>
    <w:link w:val="Heading6"/>
    <w:uiPriority w:val="1"/>
    <w:locked/>
    <w:rsid w:val="00762891"/>
    <w:rPr>
      <w:rFonts w:eastAsia="MS Gothic"/>
      <w:b/>
      <w:iCs/>
      <w:noProof/>
      <w:spacing w:val="1"/>
      <w:sz w:val="24"/>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eastAsia="Times New Roman"/>
      <w:i/>
      <w:iCs/>
      <w:sz w:val="24"/>
      <w:szCs w:val="24"/>
      <w:lang w:eastAsia="en-US"/>
    </w:rPr>
  </w:style>
  <w:style w:type="character" w:customStyle="1" w:styleId="Heading9Char">
    <w:name w:val="Heading 9 Char"/>
    <w:aliases w:val="Appendix Heading 1 Char,Heading appendix 1 Char"/>
    <w:link w:val="Heading9"/>
    <w:uiPriority w:val="11"/>
    <w:locked/>
    <w:rsid w:val="00762891"/>
    <w:rPr>
      <w:rFonts w:eastAsia="MS Gothic"/>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4"/>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6"/>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5"/>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sz w:val="24"/>
      <w:szCs w:val="24"/>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cs="Calibri"/>
      <w:noProof/>
      <w:color w:val="000000"/>
      <w:sz w:val="24"/>
      <w:szCs w:val="24"/>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eastAsia="Times New Roman"/>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7"/>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customStyle="1" w:styleId="UnresolvedMention9">
    <w:name w:val="Unresolved Mention9"/>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character" w:styleId="UnresolvedMention">
    <w:name w:val="Unresolved Mention"/>
    <w:basedOn w:val="DefaultParagraphFont"/>
    <w:uiPriority w:val="99"/>
    <w:semiHidden/>
    <w:unhideWhenUsed/>
    <w:rsid w:val="008C2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55706564">
      <w:bodyDiv w:val="1"/>
      <w:marLeft w:val="0"/>
      <w:marRight w:val="0"/>
      <w:marTop w:val="0"/>
      <w:marBottom w:val="0"/>
      <w:divBdr>
        <w:top w:val="none" w:sz="0" w:space="0" w:color="auto"/>
        <w:left w:val="none" w:sz="0" w:space="0" w:color="auto"/>
        <w:bottom w:val="none" w:sz="0" w:space="0" w:color="auto"/>
        <w:right w:val="none" w:sz="0" w:space="0" w:color="auto"/>
      </w:divBdr>
      <w:divsChild>
        <w:div w:id="2068647903">
          <w:marLeft w:val="0"/>
          <w:marRight w:val="0"/>
          <w:marTop w:val="0"/>
          <w:marBottom w:val="0"/>
          <w:divBdr>
            <w:top w:val="none" w:sz="0" w:space="0" w:color="auto"/>
            <w:left w:val="none" w:sz="0" w:space="0" w:color="auto"/>
            <w:bottom w:val="none" w:sz="0" w:space="0" w:color="auto"/>
            <w:right w:val="none" w:sz="0" w:space="0" w:color="auto"/>
          </w:divBdr>
        </w:div>
        <w:div w:id="2093889917">
          <w:marLeft w:val="0"/>
          <w:marRight w:val="0"/>
          <w:marTop w:val="0"/>
          <w:marBottom w:val="0"/>
          <w:divBdr>
            <w:top w:val="none" w:sz="0" w:space="0" w:color="auto"/>
            <w:left w:val="none" w:sz="0" w:space="0" w:color="auto"/>
            <w:bottom w:val="none" w:sz="0" w:space="0" w:color="auto"/>
            <w:right w:val="none" w:sz="0" w:space="0" w:color="auto"/>
          </w:divBdr>
        </w:div>
      </w:divsChild>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data.gov.au/data/dataset/6BC4FB44-0FA9-4314-AF98-FF1741611E7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ta.gov.au/data/dataset/bcaf41c6-6a68-41f2-8013-2fd2dc8e3560" TargetMode="External"/><Relationship Id="rId2" Type="http://schemas.openxmlformats.org/officeDocument/2006/relationships/customXml" Target="../customXml/item2.xml"/><Relationship Id="rId16" Type="http://schemas.openxmlformats.org/officeDocument/2006/relationships/hyperlink" Target="https://www.data.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s://www.bioregionalassessments.gov.au/gb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25d\Documents\GBA\Documents\GBA-FieldworkFact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6. Tim Evans lead author</Notes0>
    <Metadata xmlns="f6b232a6-7847-4fcd-9f2f-4076cd779963">
      <Url xsi:nil="true"/>
      <Description xsi:nil="true"/>
    </Metadata>
    <_dlc_DocId xmlns="1ce706f3-5237-42b3-876d-cf68da5c0e0a">NN2TW47UTC5W-1349389608-7575</_dlc_DocId>
    <_dlc_DocIdUrl xmlns="1ce706f3-5237-42b3-876d-cf68da5c0e0a">
      <Url>https://csiroau.sharepoint.com/sites/GeologicalBio-regionalAssessment/_layouts/15/DocIdRedir.aspx?ID=NN2TW47UTC5W-1349389608-7575</Url>
      <Description>NN2TW47UTC5W-1349389608-7575</Description>
    </_dlc_DocIdUrl>
    <GBAregion xmlns="f6b232a6-7847-4fcd-9f2f-4076cd779963" xsi:nil="true"/>
  </documentManagement>
</p:properties>
</file>

<file path=customXml/itemProps1.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2.xml><?xml version="1.0" encoding="utf-8"?>
<ds:datastoreItem xmlns:ds="http://schemas.openxmlformats.org/officeDocument/2006/customXml" ds:itemID="{0D80C42D-0A9D-4573-91D2-BF0B9F798048}">
  <ds:schemaRefs>
    <ds:schemaRef ds:uri="http://schemas.microsoft.com/sharepoint/events"/>
  </ds:schemaRefs>
</ds:datastoreItem>
</file>

<file path=customXml/itemProps3.xml><?xml version="1.0" encoding="utf-8"?>
<ds:datastoreItem xmlns:ds="http://schemas.openxmlformats.org/officeDocument/2006/customXml" ds:itemID="{F6FDD1C9-AA30-4EC9-A7A1-ADC1D52B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B4481-BE75-43FA-B026-D8CA699DD7D2}">
  <ds:schemaRefs>
    <ds:schemaRef ds:uri="http://schemas.openxmlformats.org/officeDocument/2006/bibliography"/>
  </ds:schemaRefs>
</ds:datastoreItem>
</file>

<file path=customXml/itemProps5.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6.xml><?xml version="1.0" encoding="utf-8"?>
<ds:datastoreItem xmlns:ds="http://schemas.openxmlformats.org/officeDocument/2006/customXml" ds:itemID="{75781E82-D441-4C2F-B7EA-50DF8BDB6121}">
  <ds:schemaRefs>
    <ds:schemaRef ds:uri="http://purl.org/dc/elements/1.1/"/>
    <ds:schemaRef ds:uri="1ce706f3-5237-42b3-876d-cf68da5c0e0a"/>
    <ds:schemaRef ds:uri="http://schemas.microsoft.com/office/2006/metadata/properties"/>
    <ds:schemaRef ds:uri="http://schemas.microsoft.com/office/2006/documentManagement/types"/>
    <ds:schemaRef ds:uri="http://purl.org/dc/terms/"/>
    <ds:schemaRef ds:uri="http://schemas.microsoft.com/office/infopath/2007/PartnerControls"/>
    <ds:schemaRef ds:uri="f6b232a6-7847-4fcd-9f2f-4076cd779963"/>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GBA-FieldworkFactSheetTemplate.dotx</Template>
  <TotalTime>2</TotalTime>
  <Pages>2</Pages>
  <Words>594</Words>
  <Characters>3895</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4481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6: Beetaloo GBA recharge pathways – Geology of the Carpentaria Basin and Cenozoic sediments</dc:title>
  <dc:subject/>
  <dc:creator>Australian Government Bioregional Assessments</dc:creator>
  <cp:keywords/>
  <dc:description/>
  <cp:lastModifiedBy>Merrin, Linda (L&amp;W, Clayton)</cp:lastModifiedBy>
  <cp:revision>26</cp:revision>
  <cp:lastPrinted>2021-08-27T06:53:00Z</cp:lastPrinted>
  <dcterms:created xsi:type="dcterms:W3CDTF">2021-06-10T04:13:00Z</dcterms:created>
  <dcterms:modified xsi:type="dcterms:W3CDTF">2021-08-27T06:53:00Z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f9f86a81-874b-4b87-a6cc-1ee23f48f448</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