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91A9A" w14:textId="300DBF59" w:rsidR="00166C98" w:rsidRDefault="00CB6891" w:rsidP="17D40B79">
      <w:pPr>
        <w:pStyle w:val="GBAProgramtitle"/>
        <w:jc w:val="right"/>
      </w:pPr>
      <w:bookmarkStart w:id="0" w:name="_Toc367791208"/>
      <w:r>
        <w:rPr>
          <w:noProof/>
        </w:rPr>
        <w:drawing>
          <wp:anchor distT="0" distB="0" distL="114300" distR="114300" simplePos="0" relativeHeight="251658241" behindDoc="0" locked="0" layoutInCell="1" allowOverlap="1" wp14:anchorId="229373F4" wp14:editId="70492726">
            <wp:simplePos x="946597" y="1262130"/>
            <wp:positionH relativeFrom="margin">
              <wp:align>left</wp:align>
            </wp:positionH>
            <wp:positionV relativeFrom="margin">
              <wp:align>top</wp:align>
            </wp:positionV>
            <wp:extent cx="2970530" cy="670560"/>
            <wp:effectExtent l="0" t="0" r="1270" b="0"/>
            <wp:wrapSquare wrapText="bothSides"/>
            <wp:docPr id="15" name="Picture 15" descr="Australian Government Crest and logos for Bioregional Assessments and CS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logos for Bioregional Assessments and CSIRO"/>
                    <pic:cNvPicPr/>
                  </pic:nvPicPr>
                  <pic:blipFill>
                    <a:blip r:embed="rId13"/>
                    <a:stretch>
                      <a:fillRect/>
                    </a:stretch>
                  </pic:blipFill>
                  <pic:spPr>
                    <a:xfrm>
                      <a:off x="0" y="0"/>
                      <a:ext cx="2970530" cy="670560"/>
                    </a:xfrm>
                    <a:prstGeom prst="rect">
                      <a:avLst/>
                    </a:prstGeom>
                  </pic:spPr>
                </pic:pic>
              </a:graphicData>
            </a:graphic>
          </wp:anchor>
        </w:drawing>
      </w:r>
      <w:r w:rsidRPr="00075C49">
        <w:t>Geological and Bioregional</w:t>
      </w:r>
      <w:r>
        <w:br/>
      </w:r>
      <w:r w:rsidRPr="00075C49">
        <w:t>Assessment Program</w:t>
      </w:r>
    </w:p>
    <w:p w14:paraId="6B463803" w14:textId="3FCA65CF" w:rsidR="00874597" w:rsidRDefault="00811478" w:rsidP="00874597">
      <w:pPr>
        <w:pStyle w:val="Factsheetsubtitle"/>
      </w:pPr>
      <w:r w:rsidRPr="002C17EB">
        <w:rPr>
          <w:noProof/>
        </w:rPr>
        <w:drawing>
          <wp:anchor distT="0" distB="0" distL="114300" distR="114300" simplePos="0" relativeHeight="251658240" behindDoc="0" locked="0" layoutInCell="1" allowOverlap="1" wp14:anchorId="0BB29AC1" wp14:editId="6CFE9F72">
            <wp:simplePos x="0" y="0"/>
            <wp:positionH relativeFrom="page">
              <wp:posOffset>-41910</wp:posOffset>
            </wp:positionH>
            <wp:positionV relativeFrom="page">
              <wp:posOffset>-1035685</wp:posOffset>
            </wp:positionV>
            <wp:extent cx="7595870" cy="2220595"/>
            <wp:effectExtent l="0" t="0" r="5080" b="0"/>
            <wp:wrapNone/>
            <wp:docPr id="1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a:extLst>
                        <a:ext uri="{C183D7F6-B498-43B3-948B-1728B52AA6E4}">
                          <adec:decorative xmlns:adec="http://schemas.microsoft.com/office/drawing/2017/decorative" val="1"/>
                        </a:ext>
                      </a:extLst>
                    </pic:cNvPr>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9587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317">
        <w:t>Fact sheet 2</w:t>
      </w:r>
      <w:bookmarkStart w:id="1" w:name="_Hlk49937112"/>
      <w:r w:rsidR="004107CE">
        <w:rPr>
          <w:rStyle w:val="Superscript"/>
          <w:vertAlign w:val="baseline"/>
        </w:rPr>
        <w:br/>
      </w:r>
      <w:r w:rsidR="00BD448A">
        <w:t>Assessing hydraulic fracture risks to groundwater</w:t>
      </w:r>
    </w:p>
    <w:bookmarkEnd w:id="1"/>
    <w:p w14:paraId="75FEBB40" w14:textId="4426E942" w:rsidR="002B6326" w:rsidRDefault="001C1577" w:rsidP="001C1577">
      <w:pPr>
        <w:pStyle w:val="BodyText"/>
        <w:rPr>
          <w:rStyle w:val="SubtleEmphasis"/>
          <w:i w:val="0"/>
          <w:iCs w:val="0"/>
          <w:color w:val="000000"/>
        </w:rPr>
      </w:pPr>
      <w:r w:rsidRPr="001758D1">
        <w:rPr>
          <w:rStyle w:val="SubtleEmphasis"/>
          <w:i w:val="0"/>
          <w:iCs w:val="0"/>
          <w:color w:val="000000"/>
        </w:rPr>
        <w:t xml:space="preserve">The </w:t>
      </w:r>
      <w:r>
        <w:rPr>
          <w:rStyle w:val="SubtleEmphasis"/>
          <w:i w:val="0"/>
          <w:iCs w:val="0"/>
          <w:color w:val="000000"/>
        </w:rPr>
        <w:t xml:space="preserve">risks that </w:t>
      </w:r>
      <w:r w:rsidRPr="001758D1">
        <w:rPr>
          <w:rStyle w:val="SubtleEmphasis"/>
          <w:i w:val="0"/>
          <w:iCs w:val="0"/>
          <w:color w:val="000000"/>
        </w:rPr>
        <w:t xml:space="preserve">hydraulic fracturing activities </w:t>
      </w:r>
      <w:r>
        <w:rPr>
          <w:rStyle w:val="SubtleEmphasis"/>
          <w:i w:val="0"/>
          <w:iCs w:val="0"/>
          <w:color w:val="000000"/>
        </w:rPr>
        <w:t xml:space="preserve">may pose to </w:t>
      </w:r>
      <w:r w:rsidRPr="001758D1">
        <w:rPr>
          <w:rStyle w:val="SubtleEmphasis"/>
          <w:i w:val="0"/>
          <w:iCs w:val="0"/>
          <w:color w:val="000000"/>
        </w:rPr>
        <w:t xml:space="preserve">groundwater resources </w:t>
      </w:r>
      <w:r>
        <w:rPr>
          <w:rStyle w:val="SubtleEmphasis"/>
          <w:i w:val="0"/>
          <w:iCs w:val="0"/>
          <w:color w:val="000000"/>
        </w:rPr>
        <w:t xml:space="preserve">is a common issue of </w:t>
      </w:r>
      <w:r w:rsidRPr="001758D1">
        <w:rPr>
          <w:rStyle w:val="SubtleEmphasis"/>
          <w:i w:val="0"/>
          <w:iCs w:val="0"/>
          <w:color w:val="000000"/>
        </w:rPr>
        <w:t xml:space="preserve">concern </w:t>
      </w:r>
      <w:r>
        <w:rPr>
          <w:rStyle w:val="SubtleEmphasis"/>
          <w:i w:val="0"/>
          <w:iCs w:val="0"/>
          <w:color w:val="000000"/>
        </w:rPr>
        <w:t xml:space="preserve">raised </w:t>
      </w:r>
      <w:r w:rsidR="00F368DF">
        <w:rPr>
          <w:rStyle w:val="SubtleEmphasis"/>
          <w:i w:val="0"/>
          <w:iCs w:val="0"/>
          <w:color w:val="000000"/>
        </w:rPr>
        <w:t xml:space="preserve">both domestically and internationally </w:t>
      </w:r>
      <w:r>
        <w:rPr>
          <w:rStyle w:val="SubtleEmphasis"/>
          <w:i w:val="0"/>
          <w:iCs w:val="0"/>
          <w:color w:val="000000"/>
        </w:rPr>
        <w:t xml:space="preserve">by </w:t>
      </w:r>
      <w:proofErr w:type="gramStart"/>
      <w:r>
        <w:rPr>
          <w:rStyle w:val="SubtleEmphasis"/>
          <w:i w:val="0"/>
          <w:iCs w:val="0"/>
          <w:color w:val="000000"/>
        </w:rPr>
        <w:t>local residents</w:t>
      </w:r>
      <w:proofErr w:type="gramEnd"/>
      <w:r>
        <w:rPr>
          <w:rStyle w:val="SubtleEmphasis"/>
          <w:i w:val="0"/>
          <w:iCs w:val="0"/>
          <w:color w:val="000000"/>
        </w:rPr>
        <w:t xml:space="preserve"> and </w:t>
      </w:r>
      <w:r w:rsidRPr="001758D1">
        <w:rPr>
          <w:rStyle w:val="SubtleEmphasis"/>
          <w:i w:val="0"/>
          <w:iCs w:val="0"/>
          <w:color w:val="000000"/>
        </w:rPr>
        <w:t>stakeholders</w:t>
      </w:r>
      <w:r>
        <w:rPr>
          <w:rStyle w:val="SubtleEmphasis"/>
          <w:i w:val="0"/>
          <w:iCs w:val="0"/>
          <w:color w:val="000000"/>
        </w:rPr>
        <w:t>.</w:t>
      </w:r>
      <w:r w:rsidRPr="001758D1">
        <w:rPr>
          <w:rStyle w:val="SubtleEmphasis"/>
          <w:i w:val="0"/>
          <w:iCs w:val="0"/>
          <w:color w:val="000000"/>
        </w:rPr>
        <w:t xml:space="preserve"> </w:t>
      </w:r>
      <w:r w:rsidR="00B3019C" w:rsidRPr="44485014">
        <w:rPr>
          <w:rStyle w:val="SubtleEmphasis"/>
          <w:i w:val="0"/>
          <w:iCs w:val="0"/>
          <w:color w:val="000000" w:themeColor="text1"/>
        </w:rPr>
        <w:t xml:space="preserve">For contamination to occur, there needs to be a pathway for the contaminants to travel through, a source of contaminants, a driving force or pressure, and insufficient dilution or degradation of the solutes along the pathway to exceed a contaminant threshold at the point where they enter the aquifer. </w:t>
      </w:r>
      <w:r w:rsidR="002B6326" w:rsidRPr="000F2988">
        <w:rPr>
          <w:rStyle w:val="SubtleEmphasis"/>
          <w:i w:val="0"/>
          <w:iCs w:val="0"/>
          <w:color w:val="000000"/>
        </w:rPr>
        <w:t xml:space="preserve">Hydraulic fracture stimulation, also referred to as hydraulic fracturing, is commonly used </w:t>
      </w:r>
      <w:r w:rsidR="002B6326" w:rsidRPr="00D825C4">
        <w:rPr>
          <w:rStyle w:val="SubtleEmphasis"/>
          <w:i w:val="0"/>
          <w:iCs w:val="0"/>
          <w:color w:val="000000"/>
        </w:rPr>
        <w:t xml:space="preserve">to increase the productivity of petroleum wells. </w:t>
      </w:r>
      <w:r w:rsidR="002B6326">
        <w:rPr>
          <w:rStyle w:val="SubtleEmphasis"/>
          <w:i w:val="0"/>
          <w:iCs w:val="0"/>
          <w:color w:val="000000"/>
        </w:rPr>
        <w:t>H</w:t>
      </w:r>
      <w:r w:rsidR="002B6326" w:rsidRPr="00D825C4">
        <w:rPr>
          <w:rStyle w:val="SubtleEmphasis"/>
          <w:i w:val="0"/>
          <w:iCs w:val="0"/>
          <w:color w:val="000000"/>
        </w:rPr>
        <w:t xml:space="preserve">ydraulic fracturing fluid </w:t>
      </w:r>
      <w:r w:rsidR="002B6326">
        <w:rPr>
          <w:rStyle w:val="SubtleEmphasis"/>
          <w:i w:val="0"/>
          <w:iCs w:val="0"/>
          <w:color w:val="000000"/>
        </w:rPr>
        <w:t xml:space="preserve">is injected </w:t>
      </w:r>
      <w:r w:rsidR="002B6326" w:rsidRPr="00D825C4">
        <w:rPr>
          <w:rStyle w:val="SubtleEmphasis"/>
          <w:i w:val="0"/>
          <w:iCs w:val="0"/>
          <w:color w:val="000000"/>
        </w:rPr>
        <w:t xml:space="preserve">at enough pressure and flow rate to propagate hydraulic fractures </w:t>
      </w:r>
      <w:r w:rsidR="00725DF4">
        <w:rPr>
          <w:rStyle w:val="SubtleEmphasis"/>
          <w:i w:val="0"/>
          <w:iCs w:val="0"/>
          <w:color w:val="000000"/>
        </w:rPr>
        <w:t>in</w:t>
      </w:r>
      <w:r w:rsidR="002B6326" w:rsidRPr="00D825C4">
        <w:rPr>
          <w:rStyle w:val="SubtleEmphasis"/>
          <w:i w:val="0"/>
          <w:iCs w:val="0"/>
          <w:color w:val="000000"/>
        </w:rPr>
        <w:t xml:space="preserve"> the reservoir. The</w:t>
      </w:r>
      <w:r w:rsidR="00725DF4">
        <w:rPr>
          <w:rStyle w:val="SubtleEmphasis"/>
          <w:i w:val="0"/>
          <w:iCs w:val="0"/>
          <w:color w:val="000000"/>
        </w:rPr>
        <w:t>se</w:t>
      </w:r>
      <w:r w:rsidR="002B6326" w:rsidRPr="00D825C4">
        <w:rPr>
          <w:rStyle w:val="SubtleEmphasis"/>
          <w:i w:val="0"/>
          <w:iCs w:val="0"/>
          <w:color w:val="000000"/>
        </w:rPr>
        <w:t xml:space="preserve"> created fractures effectively increase the permeability of the reservoir and ultimately the </w:t>
      </w:r>
      <w:r w:rsidR="00C95D39">
        <w:rPr>
          <w:rStyle w:val="SubtleEmphasis"/>
          <w:i w:val="0"/>
          <w:iCs w:val="0"/>
          <w:color w:val="000000"/>
        </w:rPr>
        <w:t xml:space="preserve">gas </w:t>
      </w:r>
      <w:r w:rsidR="002B6326" w:rsidRPr="00D825C4">
        <w:rPr>
          <w:rStyle w:val="SubtleEmphasis"/>
          <w:i w:val="0"/>
          <w:iCs w:val="0"/>
          <w:color w:val="000000"/>
        </w:rPr>
        <w:t xml:space="preserve">production from the well. </w:t>
      </w:r>
    </w:p>
    <w:p w14:paraId="141E2197" w14:textId="7298D13F" w:rsidR="00FA2EF9" w:rsidRDefault="00580C05" w:rsidP="44485014">
      <w:pPr>
        <w:pStyle w:val="BodyText"/>
        <w:rPr>
          <w:rStyle w:val="SubtleEmphasis"/>
          <w:i w:val="0"/>
          <w:iCs w:val="0"/>
          <w:color w:val="000000"/>
        </w:rPr>
      </w:pPr>
      <w:r>
        <w:rPr>
          <w:rStyle w:val="SubtleEmphasis"/>
          <w:i w:val="0"/>
          <w:iCs w:val="0"/>
          <w:color w:val="000000"/>
        </w:rPr>
        <w:t>In the Cooper GBA region</w:t>
      </w:r>
      <w:r w:rsidR="00FA2EF9">
        <w:rPr>
          <w:rStyle w:val="SubtleEmphasis"/>
          <w:i w:val="0"/>
          <w:iCs w:val="0"/>
          <w:color w:val="000000"/>
        </w:rPr>
        <w:t xml:space="preserve">, </w:t>
      </w:r>
      <w:r w:rsidR="00B3019C">
        <w:rPr>
          <w:rStyle w:val="SubtleEmphasis"/>
          <w:i w:val="0"/>
          <w:iCs w:val="0"/>
          <w:color w:val="000000"/>
        </w:rPr>
        <w:t xml:space="preserve">a pathway for </w:t>
      </w:r>
      <w:r w:rsidR="00711875">
        <w:rPr>
          <w:rStyle w:val="SubtleEmphasis"/>
          <w:i w:val="0"/>
          <w:iCs w:val="0"/>
          <w:color w:val="000000"/>
        </w:rPr>
        <w:t xml:space="preserve">aquifer </w:t>
      </w:r>
      <w:r w:rsidR="00DB1D09">
        <w:rPr>
          <w:rStyle w:val="SubtleEmphasis"/>
          <w:i w:val="0"/>
          <w:iCs w:val="0"/>
          <w:color w:val="000000"/>
        </w:rPr>
        <w:t xml:space="preserve">contamination </w:t>
      </w:r>
      <w:r w:rsidR="00711875">
        <w:rPr>
          <w:rStyle w:val="SubtleEmphasis"/>
          <w:i w:val="0"/>
          <w:iCs w:val="0"/>
          <w:color w:val="000000"/>
        </w:rPr>
        <w:t xml:space="preserve">due to </w:t>
      </w:r>
      <w:r w:rsidR="00DB1D09">
        <w:rPr>
          <w:rStyle w:val="SubtleEmphasis"/>
          <w:i w:val="0"/>
          <w:iCs w:val="0"/>
          <w:color w:val="000000"/>
        </w:rPr>
        <w:t xml:space="preserve">hydraulic fracturing </w:t>
      </w:r>
      <w:r w:rsidR="00711875">
        <w:rPr>
          <w:rStyle w:val="SubtleEmphasis"/>
          <w:i w:val="0"/>
          <w:iCs w:val="0"/>
          <w:color w:val="000000"/>
        </w:rPr>
        <w:t xml:space="preserve">of the </w:t>
      </w:r>
      <w:proofErr w:type="spellStart"/>
      <w:r w:rsidR="00711875">
        <w:rPr>
          <w:rStyle w:val="SubtleEmphasis"/>
          <w:i w:val="0"/>
          <w:iCs w:val="0"/>
          <w:color w:val="000000"/>
        </w:rPr>
        <w:t>Toolachee</w:t>
      </w:r>
      <w:proofErr w:type="spellEnd"/>
      <w:r w:rsidR="00711875">
        <w:rPr>
          <w:rStyle w:val="SubtleEmphasis"/>
          <w:i w:val="0"/>
          <w:iCs w:val="0"/>
          <w:color w:val="000000"/>
        </w:rPr>
        <w:t xml:space="preserve"> Formation (the shallowest unconventional gas play) is</w:t>
      </w:r>
      <w:r>
        <w:rPr>
          <w:rStyle w:val="SubtleEmphasis"/>
          <w:i w:val="0"/>
          <w:iCs w:val="0"/>
          <w:color w:val="000000"/>
        </w:rPr>
        <w:t xml:space="preserve"> only </w:t>
      </w:r>
      <w:r w:rsidR="006361A1">
        <w:rPr>
          <w:rStyle w:val="SubtleEmphasis"/>
          <w:i w:val="0"/>
          <w:iCs w:val="0"/>
          <w:color w:val="000000"/>
        </w:rPr>
        <w:t xml:space="preserve">possible if </w:t>
      </w:r>
      <w:r w:rsidR="00135A48">
        <w:rPr>
          <w:rStyle w:val="SubtleEmphasis"/>
          <w:i w:val="0"/>
          <w:iCs w:val="0"/>
          <w:color w:val="000000"/>
        </w:rPr>
        <w:t>a</w:t>
      </w:r>
      <w:r w:rsidR="006361A1">
        <w:rPr>
          <w:rStyle w:val="SubtleEmphasis"/>
          <w:i w:val="0"/>
          <w:iCs w:val="0"/>
          <w:color w:val="000000"/>
        </w:rPr>
        <w:t xml:space="preserve"> fracture </w:t>
      </w:r>
      <w:r w:rsidR="00711875">
        <w:rPr>
          <w:rStyle w:val="SubtleEmphasis"/>
          <w:i w:val="0"/>
          <w:iCs w:val="0"/>
          <w:color w:val="000000"/>
        </w:rPr>
        <w:t xml:space="preserve">propagates </w:t>
      </w:r>
      <w:r w:rsidR="006361A1">
        <w:rPr>
          <w:rStyle w:val="SubtleEmphasis"/>
          <w:i w:val="0"/>
          <w:iCs w:val="0"/>
          <w:color w:val="000000"/>
        </w:rPr>
        <w:t xml:space="preserve">through the </w:t>
      </w:r>
      <w:proofErr w:type="spellStart"/>
      <w:r w:rsidR="003065A1">
        <w:rPr>
          <w:rStyle w:val="SubtleEmphasis"/>
          <w:i w:val="0"/>
          <w:iCs w:val="0"/>
          <w:color w:val="000000"/>
        </w:rPr>
        <w:t>Nappamerri</w:t>
      </w:r>
      <w:proofErr w:type="spellEnd"/>
      <w:r w:rsidR="003065A1">
        <w:rPr>
          <w:rStyle w:val="SubtleEmphasis"/>
          <w:i w:val="0"/>
          <w:iCs w:val="0"/>
          <w:color w:val="000000"/>
        </w:rPr>
        <w:t xml:space="preserve"> Group </w:t>
      </w:r>
      <w:r w:rsidR="00DE6509">
        <w:rPr>
          <w:rStyle w:val="SubtleEmphasis"/>
          <w:i w:val="0"/>
          <w:iCs w:val="0"/>
          <w:color w:val="000000"/>
        </w:rPr>
        <w:t xml:space="preserve">aquitard </w:t>
      </w:r>
      <w:r w:rsidR="003065A1">
        <w:rPr>
          <w:rStyle w:val="SubtleEmphasis"/>
          <w:i w:val="0"/>
          <w:iCs w:val="0"/>
          <w:color w:val="000000"/>
        </w:rPr>
        <w:t xml:space="preserve">into the </w:t>
      </w:r>
      <w:r w:rsidR="00711875">
        <w:rPr>
          <w:rStyle w:val="SubtleEmphasis"/>
          <w:i w:val="0"/>
          <w:iCs w:val="0"/>
          <w:color w:val="000000"/>
        </w:rPr>
        <w:t xml:space="preserve">overlying </w:t>
      </w:r>
      <w:proofErr w:type="spellStart"/>
      <w:r w:rsidR="00156EAD">
        <w:rPr>
          <w:rStyle w:val="SubtleEmphasis"/>
          <w:i w:val="0"/>
          <w:iCs w:val="0"/>
          <w:color w:val="000000"/>
        </w:rPr>
        <w:t>Cadna-owie</w:t>
      </w:r>
      <w:proofErr w:type="spellEnd"/>
      <w:r w:rsidR="00156EAD">
        <w:rPr>
          <w:rStyle w:val="SubtleEmphasis"/>
          <w:i w:val="0"/>
          <w:iCs w:val="0"/>
          <w:color w:val="000000"/>
        </w:rPr>
        <w:t xml:space="preserve"> </w:t>
      </w:r>
      <w:r w:rsidR="00156EAD">
        <w:rPr>
          <w:rStyle w:val="SubtleEmphasis"/>
          <w:rFonts w:cs="Calibri"/>
          <w:i w:val="0"/>
          <w:iCs w:val="0"/>
          <w:color w:val="000000"/>
        </w:rPr>
        <w:t>–</w:t>
      </w:r>
      <w:r w:rsidR="00156EAD">
        <w:rPr>
          <w:rStyle w:val="SubtleEmphasis"/>
          <w:i w:val="0"/>
          <w:iCs w:val="0"/>
          <w:color w:val="000000"/>
        </w:rPr>
        <w:t xml:space="preserve"> Hooray </w:t>
      </w:r>
      <w:r w:rsidR="00DE6509">
        <w:rPr>
          <w:rStyle w:val="SubtleEmphasis"/>
          <w:i w:val="0"/>
          <w:iCs w:val="0"/>
          <w:color w:val="000000"/>
        </w:rPr>
        <w:t>aquifer</w:t>
      </w:r>
      <w:r w:rsidR="003065A1">
        <w:rPr>
          <w:rStyle w:val="SubtleEmphasis"/>
          <w:i w:val="0"/>
          <w:iCs w:val="0"/>
          <w:color w:val="000000"/>
        </w:rPr>
        <w:t xml:space="preserve">. </w:t>
      </w:r>
      <w:r w:rsidR="001C1577" w:rsidRPr="44485014">
        <w:rPr>
          <w:rStyle w:val="SubtleEmphasis"/>
          <w:i w:val="0"/>
          <w:iCs w:val="0"/>
          <w:color w:val="000000" w:themeColor="text1"/>
        </w:rPr>
        <w:t xml:space="preserve">This investigation </w:t>
      </w:r>
      <w:r w:rsidR="00711875">
        <w:rPr>
          <w:rStyle w:val="SubtleEmphasis"/>
          <w:i w:val="0"/>
          <w:iCs w:val="0"/>
          <w:color w:val="000000" w:themeColor="text1"/>
        </w:rPr>
        <w:t xml:space="preserve">sought to identify </w:t>
      </w:r>
      <w:r w:rsidR="00DA27CA">
        <w:rPr>
          <w:rStyle w:val="SubtleEmphasis"/>
          <w:i w:val="0"/>
          <w:iCs w:val="0"/>
          <w:color w:val="000000" w:themeColor="text1"/>
        </w:rPr>
        <w:t xml:space="preserve">if there were locations </w:t>
      </w:r>
      <w:r w:rsidR="000D7BDD" w:rsidRPr="44485014">
        <w:rPr>
          <w:rStyle w:val="SubtleEmphasis"/>
          <w:i w:val="0"/>
          <w:iCs w:val="0"/>
          <w:color w:val="000000" w:themeColor="text1"/>
        </w:rPr>
        <w:t xml:space="preserve">in the Cooper GBA region </w:t>
      </w:r>
      <w:r w:rsidR="00443AD2">
        <w:rPr>
          <w:rStyle w:val="SubtleEmphasis"/>
          <w:i w:val="0"/>
          <w:iCs w:val="0"/>
          <w:color w:val="000000" w:themeColor="text1"/>
        </w:rPr>
        <w:t>where</w:t>
      </w:r>
      <w:r w:rsidR="00EC02A2">
        <w:rPr>
          <w:rStyle w:val="SubtleEmphasis"/>
          <w:i w:val="0"/>
          <w:iCs w:val="0"/>
          <w:color w:val="000000" w:themeColor="text1"/>
        </w:rPr>
        <w:t xml:space="preserve"> </w:t>
      </w:r>
      <w:r w:rsidR="000D7BDD" w:rsidRPr="44485014">
        <w:rPr>
          <w:rStyle w:val="SubtleEmphasis"/>
          <w:i w:val="0"/>
          <w:iCs w:val="0"/>
          <w:color w:val="000000" w:themeColor="text1"/>
        </w:rPr>
        <w:t xml:space="preserve">hydraulic fracture </w:t>
      </w:r>
      <w:r w:rsidR="00EC02A2">
        <w:rPr>
          <w:rStyle w:val="SubtleEmphasis"/>
          <w:i w:val="0"/>
          <w:iCs w:val="0"/>
          <w:color w:val="000000" w:themeColor="text1"/>
        </w:rPr>
        <w:t>p</w:t>
      </w:r>
      <w:r w:rsidR="00711875">
        <w:rPr>
          <w:rStyle w:val="SubtleEmphasis"/>
          <w:i w:val="0"/>
          <w:iCs w:val="0"/>
          <w:color w:val="000000" w:themeColor="text1"/>
        </w:rPr>
        <w:t>ropagat</w:t>
      </w:r>
      <w:r w:rsidR="00EC02A2">
        <w:rPr>
          <w:rStyle w:val="SubtleEmphasis"/>
          <w:i w:val="0"/>
          <w:iCs w:val="0"/>
          <w:color w:val="000000" w:themeColor="text1"/>
        </w:rPr>
        <w:t xml:space="preserve">ion </w:t>
      </w:r>
      <w:r w:rsidR="009F4BA5" w:rsidRPr="44485014">
        <w:rPr>
          <w:rStyle w:val="SubtleEmphasis"/>
          <w:i w:val="0"/>
          <w:iCs w:val="0"/>
          <w:color w:val="000000" w:themeColor="text1"/>
        </w:rPr>
        <w:t xml:space="preserve">though </w:t>
      </w:r>
      <w:r w:rsidR="006062D8">
        <w:rPr>
          <w:rStyle w:val="SubtleEmphasis"/>
          <w:i w:val="0"/>
          <w:iCs w:val="0"/>
          <w:color w:val="000000" w:themeColor="text1"/>
        </w:rPr>
        <w:t>th</w:t>
      </w:r>
      <w:r w:rsidR="00443AD2">
        <w:rPr>
          <w:rStyle w:val="SubtleEmphasis"/>
          <w:i w:val="0"/>
          <w:iCs w:val="0"/>
          <w:color w:val="000000" w:themeColor="text1"/>
        </w:rPr>
        <w:t>e</w:t>
      </w:r>
      <w:r w:rsidR="009F4BA5" w:rsidRPr="44485014">
        <w:rPr>
          <w:rStyle w:val="SubtleEmphasis"/>
          <w:i w:val="0"/>
          <w:iCs w:val="0"/>
          <w:color w:val="000000" w:themeColor="text1"/>
        </w:rPr>
        <w:t xml:space="preserve"> </w:t>
      </w:r>
      <w:proofErr w:type="spellStart"/>
      <w:r w:rsidR="009F4BA5" w:rsidRPr="44485014">
        <w:rPr>
          <w:rStyle w:val="SubtleEmphasis"/>
          <w:i w:val="0"/>
          <w:iCs w:val="0"/>
          <w:color w:val="000000" w:themeColor="text1"/>
        </w:rPr>
        <w:t>Nappamerri</w:t>
      </w:r>
      <w:proofErr w:type="spellEnd"/>
      <w:r w:rsidR="009F4BA5" w:rsidRPr="44485014">
        <w:rPr>
          <w:rStyle w:val="SubtleEmphasis"/>
          <w:i w:val="0"/>
          <w:iCs w:val="0"/>
          <w:color w:val="000000" w:themeColor="text1"/>
        </w:rPr>
        <w:t xml:space="preserve"> Group </w:t>
      </w:r>
      <w:r w:rsidR="00AE4675" w:rsidRPr="44485014">
        <w:rPr>
          <w:rStyle w:val="SubtleEmphasis"/>
          <w:i w:val="0"/>
          <w:iCs w:val="0"/>
          <w:color w:val="000000" w:themeColor="text1"/>
        </w:rPr>
        <w:t xml:space="preserve">aquitard </w:t>
      </w:r>
      <w:r w:rsidR="00DA27CA">
        <w:rPr>
          <w:rStyle w:val="SubtleEmphasis"/>
          <w:i w:val="0"/>
          <w:iCs w:val="0"/>
          <w:color w:val="000000" w:themeColor="text1"/>
        </w:rPr>
        <w:t>could occur</w:t>
      </w:r>
      <w:r w:rsidR="009F4BA5" w:rsidRPr="44485014">
        <w:rPr>
          <w:rStyle w:val="SubtleEmphasis"/>
          <w:i w:val="0"/>
          <w:iCs w:val="0"/>
          <w:color w:val="000000" w:themeColor="text1"/>
        </w:rPr>
        <w:t xml:space="preserve">. </w:t>
      </w:r>
      <w:r w:rsidR="00C874E2" w:rsidRPr="44485014">
        <w:rPr>
          <w:rStyle w:val="SubtleEmphasis"/>
          <w:i w:val="0"/>
          <w:iCs w:val="0"/>
          <w:color w:val="000000" w:themeColor="text1"/>
        </w:rPr>
        <w:t xml:space="preserve">The size of </w:t>
      </w:r>
      <w:r w:rsidR="00127B8F">
        <w:rPr>
          <w:rStyle w:val="SubtleEmphasis"/>
          <w:i w:val="0"/>
          <w:iCs w:val="0"/>
          <w:color w:val="000000" w:themeColor="text1"/>
        </w:rPr>
        <w:t xml:space="preserve">the created </w:t>
      </w:r>
      <w:r w:rsidR="00C874E2" w:rsidRPr="44485014">
        <w:rPr>
          <w:rStyle w:val="SubtleEmphasis"/>
          <w:i w:val="0"/>
          <w:iCs w:val="0"/>
          <w:color w:val="000000" w:themeColor="text1"/>
        </w:rPr>
        <w:t xml:space="preserve">hydraulic fractures is determined by many </w:t>
      </w:r>
      <w:r w:rsidR="00060EC2" w:rsidRPr="44485014">
        <w:rPr>
          <w:rStyle w:val="SubtleEmphasis"/>
          <w:i w:val="0"/>
          <w:iCs w:val="0"/>
          <w:color w:val="000000" w:themeColor="text1"/>
        </w:rPr>
        <w:t xml:space="preserve">parameters </w:t>
      </w:r>
      <w:r w:rsidR="002774E0" w:rsidRPr="44485014">
        <w:rPr>
          <w:rStyle w:val="SubtleEmphasis"/>
          <w:i w:val="0"/>
          <w:iCs w:val="0"/>
          <w:color w:val="000000" w:themeColor="text1"/>
        </w:rPr>
        <w:t xml:space="preserve">including </w:t>
      </w:r>
      <w:r w:rsidR="03F88E9D" w:rsidRPr="44485014">
        <w:rPr>
          <w:rStyle w:val="SubtleEmphasis"/>
          <w:i w:val="0"/>
          <w:iCs w:val="0"/>
          <w:color w:val="000000" w:themeColor="text1"/>
        </w:rPr>
        <w:t>the material</w:t>
      </w:r>
      <w:r w:rsidR="00560F27" w:rsidRPr="44485014">
        <w:rPr>
          <w:rStyle w:val="SubtleEmphasis"/>
          <w:i w:val="0"/>
          <w:iCs w:val="0"/>
          <w:color w:val="000000" w:themeColor="text1"/>
        </w:rPr>
        <w:t xml:space="preserve"> properties of the rock layers, stresses in the rock layers, nature of the </w:t>
      </w:r>
      <w:r w:rsidR="00596129" w:rsidRPr="44485014">
        <w:rPr>
          <w:rStyle w:val="SubtleEmphasis"/>
          <w:i w:val="0"/>
          <w:iCs w:val="0"/>
          <w:color w:val="000000" w:themeColor="text1"/>
        </w:rPr>
        <w:t>interfaces between different rock layers, prevalence of natural faults and fractures</w:t>
      </w:r>
      <w:r w:rsidR="00D45396" w:rsidRPr="44485014">
        <w:rPr>
          <w:rStyle w:val="SubtleEmphasis"/>
          <w:i w:val="0"/>
          <w:iCs w:val="0"/>
          <w:color w:val="000000" w:themeColor="text1"/>
        </w:rPr>
        <w:t xml:space="preserve"> in the rock layers</w:t>
      </w:r>
      <w:r w:rsidR="007260DC" w:rsidRPr="44485014">
        <w:rPr>
          <w:rStyle w:val="SubtleEmphasis"/>
          <w:i w:val="0"/>
          <w:iCs w:val="0"/>
          <w:color w:val="000000" w:themeColor="text1"/>
        </w:rPr>
        <w:t>,</w:t>
      </w:r>
      <w:r w:rsidR="00596129" w:rsidRPr="44485014">
        <w:rPr>
          <w:rStyle w:val="SubtleEmphasis"/>
          <w:i w:val="0"/>
          <w:iCs w:val="0"/>
          <w:color w:val="000000" w:themeColor="text1"/>
        </w:rPr>
        <w:t xml:space="preserve"> and </w:t>
      </w:r>
      <w:r w:rsidR="00381356" w:rsidRPr="44485014">
        <w:rPr>
          <w:rStyle w:val="SubtleEmphasis"/>
          <w:i w:val="0"/>
          <w:iCs w:val="0"/>
          <w:color w:val="000000" w:themeColor="text1"/>
        </w:rPr>
        <w:t xml:space="preserve">design of the hydraulic fracturing treatment. </w:t>
      </w:r>
    </w:p>
    <w:p w14:paraId="05946189" w14:textId="52F3F0C6" w:rsidR="00111082" w:rsidRDefault="00711875" w:rsidP="002B6326">
      <w:pPr>
        <w:pStyle w:val="BodyText"/>
      </w:pPr>
      <w:r>
        <w:rPr>
          <w:rStyle w:val="SubtleEmphasis"/>
          <w:i w:val="0"/>
          <w:iCs w:val="0"/>
          <w:color w:val="000000"/>
        </w:rPr>
        <w:t xml:space="preserve">Hydraulic fracture modelling identified areas where the likelihood of </w:t>
      </w:r>
      <w:r w:rsidRPr="44485014">
        <w:rPr>
          <w:rStyle w:val="SubtleEmphasis"/>
          <w:i w:val="0"/>
          <w:iCs w:val="0"/>
          <w:color w:val="000000" w:themeColor="text1"/>
        </w:rPr>
        <w:t>hydraulic fracture</w:t>
      </w:r>
      <w:r>
        <w:rPr>
          <w:rStyle w:val="SubtleEmphasis"/>
          <w:i w:val="0"/>
          <w:iCs w:val="0"/>
          <w:color w:val="000000" w:themeColor="text1"/>
        </w:rPr>
        <w:t>s</w:t>
      </w:r>
      <w:r w:rsidRPr="44485014">
        <w:rPr>
          <w:rStyle w:val="SubtleEmphasis"/>
          <w:i w:val="0"/>
          <w:iCs w:val="0"/>
          <w:color w:val="000000" w:themeColor="text1"/>
        </w:rPr>
        <w:t xml:space="preserve"> </w:t>
      </w:r>
      <w:r>
        <w:rPr>
          <w:rStyle w:val="SubtleEmphasis"/>
          <w:i w:val="0"/>
          <w:iCs w:val="0"/>
          <w:color w:val="000000" w:themeColor="text1"/>
        </w:rPr>
        <w:t xml:space="preserve">propagating </w:t>
      </w:r>
      <w:r w:rsidRPr="44485014">
        <w:rPr>
          <w:rStyle w:val="SubtleEmphasis"/>
          <w:i w:val="0"/>
          <w:iCs w:val="0"/>
          <w:color w:val="000000" w:themeColor="text1"/>
        </w:rPr>
        <w:t xml:space="preserve">though the </w:t>
      </w:r>
      <w:proofErr w:type="spellStart"/>
      <w:r w:rsidRPr="44485014">
        <w:rPr>
          <w:rStyle w:val="SubtleEmphasis"/>
          <w:i w:val="0"/>
          <w:iCs w:val="0"/>
          <w:color w:val="000000" w:themeColor="text1"/>
        </w:rPr>
        <w:t>Nappamerri</w:t>
      </w:r>
      <w:proofErr w:type="spellEnd"/>
      <w:r w:rsidRPr="44485014">
        <w:rPr>
          <w:rStyle w:val="SubtleEmphasis"/>
          <w:i w:val="0"/>
          <w:iCs w:val="0"/>
          <w:color w:val="000000" w:themeColor="text1"/>
        </w:rPr>
        <w:t xml:space="preserve"> Group aquitard into </w:t>
      </w:r>
      <w:r>
        <w:rPr>
          <w:rStyle w:val="SubtleEmphasis"/>
          <w:i w:val="0"/>
          <w:iCs w:val="0"/>
          <w:color w:val="000000" w:themeColor="text1"/>
        </w:rPr>
        <w:t xml:space="preserve">an </w:t>
      </w:r>
      <w:r w:rsidRPr="44485014">
        <w:rPr>
          <w:rStyle w:val="SubtleEmphasis"/>
          <w:i w:val="0"/>
          <w:iCs w:val="0"/>
          <w:color w:val="000000" w:themeColor="text1"/>
        </w:rPr>
        <w:t>overlying aquifer</w:t>
      </w:r>
      <w:r>
        <w:rPr>
          <w:rStyle w:val="SubtleEmphasis"/>
          <w:i w:val="0"/>
          <w:iCs w:val="0"/>
          <w:color w:val="000000"/>
        </w:rPr>
        <w:t xml:space="preserve"> is (</w:t>
      </w:r>
      <w:proofErr w:type="spellStart"/>
      <w:r>
        <w:rPr>
          <w:rStyle w:val="SubtleEmphasis"/>
          <w:i w:val="0"/>
          <w:iCs w:val="0"/>
          <w:color w:val="000000"/>
        </w:rPr>
        <w:t>i</w:t>
      </w:r>
      <w:proofErr w:type="spellEnd"/>
      <w:r>
        <w:rPr>
          <w:rStyle w:val="SubtleEmphasis"/>
          <w:i w:val="0"/>
          <w:iCs w:val="0"/>
          <w:color w:val="000000"/>
        </w:rPr>
        <w:t xml:space="preserve">) not possible or </w:t>
      </w:r>
      <w:r w:rsidR="003C449F">
        <w:rPr>
          <w:rStyle w:val="SubtleEmphasis"/>
          <w:i w:val="0"/>
          <w:iCs w:val="0"/>
          <w:color w:val="000000"/>
        </w:rPr>
        <w:t>‘</w:t>
      </w:r>
      <w:r w:rsidR="00C50C70">
        <w:rPr>
          <w:rStyle w:val="SubtleEmphasis"/>
          <w:i w:val="0"/>
          <w:iCs w:val="0"/>
          <w:color w:val="000000"/>
        </w:rPr>
        <w:t>very low risk</w:t>
      </w:r>
      <w:r w:rsidR="003C449F">
        <w:rPr>
          <w:rStyle w:val="SubtleEmphasis"/>
          <w:i w:val="0"/>
          <w:iCs w:val="0"/>
          <w:color w:val="000000"/>
        </w:rPr>
        <w:t>’</w:t>
      </w:r>
      <w:r>
        <w:rPr>
          <w:rStyle w:val="SubtleEmphasis"/>
          <w:i w:val="0"/>
          <w:iCs w:val="0"/>
          <w:color w:val="000000"/>
        </w:rPr>
        <w:t xml:space="preserve">; (ii) </w:t>
      </w:r>
      <w:r w:rsidR="00C50C70">
        <w:rPr>
          <w:rStyle w:val="SubtleEmphasis"/>
          <w:i w:val="0"/>
          <w:iCs w:val="0"/>
          <w:color w:val="000000"/>
        </w:rPr>
        <w:t xml:space="preserve">unlikely </w:t>
      </w:r>
      <w:r>
        <w:rPr>
          <w:rStyle w:val="SubtleEmphasis"/>
          <w:i w:val="0"/>
          <w:iCs w:val="0"/>
          <w:color w:val="000000"/>
        </w:rPr>
        <w:t xml:space="preserve">or </w:t>
      </w:r>
      <w:r w:rsidR="00660785">
        <w:rPr>
          <w:rStyle w:val="SubtleEmphasis"/>
          <w:i w:val="0"/>
          <w:iCs w:val="0"/>
          <w:color w:val="000000"/>
        </w:rPr>
        <w:t>‘</w:t>
      </w:r>
      <w:r w:rsidR="003E5C61">
        <w:rPr>
          <w:rStyle w:val="SubtleEmphasis"/>
          <w:i w:val="0"/>
          <w:iCs w:val="0"/>
          <w:color w:val="000000"/>
        </w:rPr>
        <w:t>low risk</w:t>
      </w:r>
      <w:r w:rsidR="00660785">
        <w:rPr>
          <w:rStyle w:val="SubtleEmphasis"/>
          <w:i w:val="0"/>
          <w:iCs w:val="0"/>
          <w:color w:val="000000"/>
        </w:rPr>
        <w:t>’</w:t>
      </w:r>
      <w:r>
        <w:rPr>
          <w:rStyle w:val="SubtleEmphasis"/>
          <w:i w:val="0"/>
          <w:iCs w:val="0"/>
          <w:color w:val="000000"/>
        </w:rPr>
        <w:t xml:space="preserve">; (iii) </w:t>
      </w:r>
      <w:r w:rsidR="003E5C61">
        <w:rPr>
          <w:rStyle w:val="SubtleEmphasis"/>
          <w:i w:val="0"/>
          <w:iCs w:val="0"/>
          <w:color w:val="000000"/>
        </w:rPr>
        <w:t xml:space="preserve">possible or </w:t>
      </w:r>
      <w:r w:rsidR="003C449F">
        <w:rPr>
          <w:rStyle w:val="SubtleEmphasis"/>
          <w:i w:val="0"/>
          <w:iCs w:val="0"/>
          <w:color w:val="000000"/>
        </w:rPr>
        <w:t>‘</w:t>
      </w:r>
      <w:r w:rsidR="00C70AE6">
        <w:rPr>
          <w:rStyle w:val="SubtleEmphasis"/>
          <w:i w:val="0"/>
          <w:iCs w:val="0"/>
          <w:color w:val="000000"/>
        </w:rPr>
        <w:t>medium</w:t>
      </w:r>
      <w:r w:rsidR="00946DCD">
        <w:rPr>
          <w:rStyle w:val="SubtleEmphasis"/>
          <w:i w:val="0"/>
          <w:iCs w:val="0"/>
          <w:color w:val="000000"/>
        </w:rPr>
        <w:t xml:space="preserve"> risk</w:t>
      </w:r>
      <w:r w:rsidR="003C449F">
        <w:rPr>
          <w:rStyle w:val="SubtleEmphasis"/>
          <w:i w:val="0"/>
          <w:iCs w:val="0"/>
          <w:color w:val="000000"/>
        </w:rPr>
        <w:t>’</w:t>
      </w:r>
      <w:r>
        <w:rPr>
          <w:rStyle w:val="SubtleEmphasis"/>
          <w:i w:val="0"/>
          <w:iCs w:val="0"/>
          <w:color w:val="000000"/>
        </w:rPr>
        <w:t xml:space="preserve">; and (iv) likely or </w:t>
      </w:r>
      <w:r w:rsidR="003C449F">
        <w:rPr>
          <w:rStyle w:val="SubtleEmphasis"/>
          <w:i w:val="0"/>
          <w:iCs w:val="0"/>
          <w:color w:val="000000"/>
        </w:rPr>
        <w:t>‘</w:t>
      </w:r>
      <w:r w:rsidR="00C70AE6">
        <w:rPr>
          <w:rStyle w:val="SubtleEmphasis"/>
          <w:i w:val="0"/>
          <w:iCs w:val="0"/>
          <w:color w:val="000000"/>
        </w:rPr>
        <w:t>high risk</w:t>
      </w:r>
      <w:r w:rsidR="00946DCD">
        <w:rPr>
          <w:rStyle w:val="SubtleEmphasis"/>
          <w:i w:val="0"/>
          <w:iCs w:val="0"/>
          <w:color w:val="000000"/>
        </w:rPr>
        <w:t>’</w:t>
      </w:r>
      <w:r w:rsidR="00C70AE6">
        <w:rPr>
          <w:rStyle w:val="SubtleEmphasis"/>
          <w:i w:val="0"/>
          <w:iCs w:val="0"/>
          <w:color w:val="000000"/>
        </w:rPr>
        <w:t>.</w:t>
      </w:r>
      <w:r>
        <w:t xml:space="preserve"> </w:t>
      </w:r>
      <w:r w:rsidR="008A7D4A" w:rsidRPr="44485014">
        <w:t>Over 90%</w:t>
      </w:r>
      <w:r w:rsidR="000A6218" w:rsidRPr="44485014">
        <w:t xml:space="preserve"> of the </w:t>
      </w:r>
      <w:r>
        <w:t xml:space="preserve">area </w:t>
      </w:r>
      <w:r w:rsidR="00F85769" w:rsidRPr="44485014">
        <w:t xml:space="preserve">prospective </w:t>
      </w:r>
      <w:r>
        <w:t xml:space="preserve">for unconventional gas resource development </w:t>
      </w:r>
      <w:r w:rsidR="00F85769" w:rsidRPr="44485014">
        <w:t xml:space="preserve">in the Cooper GBA region </w:t>
      </w:r>
      <w:r w:rsidR="002B6326">
        <w:t>i</w:t>
      </w:r>
      <w:r w:rsidRPr="44485014">
        <w:t xml:space="preserve">s </w:t>
      </w:r>
      <w:r>
        <w:t>of</w:t>
      </w:r>
      <w:r w:rsidRPr="44485014">
        <w:t xml:space="preserve"> </w:t>
      </w:r>
      <w:r w:rsidR="002F7179">
        <w:t>‘</w:t>
      </w:r>
      <w:r>
        <w:t xml:space="preserve">very </w:t>
      </w:r>
      <w:r w:rsidR="00F85769" w:rsidRPr="44485014">
        <w:t xml:space="preserve">low </w:t>
      </w:r>
      <w:r w:rsidR="002F7179">
        <w:t xml:space="preserve">risk’ </w:t>
      </w:r>
      <w:r w:rsidR="00F85769" w:rsidRPr="44485014">
        <w:t xml:space="preserve">or </w:t>
      </w:r>
      <w:r w:rsidR="002F7179">
        <w:t>‘</w:t>
      </w:r>
      <w:r w:rsidR="00F85769" w:rsidRPr="44485014">
        <w:t>low risk</w:t>
      </w:r>
      <w:r w:rsidR="002F7179">
        <w:t>’</w:t>
      </w:r>
      <w:r w:rsidR="002B6326">
        <w:t xml:space="preserve">, shown as yellow and green areas in </w:t>
      </w:r>
      <w:r w:rsidR="002B6326">
        <w:fldChar w:fldCharType="begin"/>
      </w:r>
      <w:r w:rsidR="002B6326">
        <w:instrText xml:space="preserve"> REF _Ref80175863 \h </w:instrText>
      </w:r>
      <w:r w:rsidR="002B6326">
        <w:fldChar w:fldCharType="separate"/>
      </w:r>
      <w:r w:rsidR="00E72592" w:rsidRPr="00961989">
        <w:t xml:space="preserve">Figure </w:t>
      </w:r>
      <w:r w:rsidR="00E72592">
        <w:rPr>
          <w:noProof/>
        </w:rPr>
        <w:t>1</w:t>
      </w:r>
      <w:r w:rsidR="002B6326">
        <w:fldChar w:fldCharType="end"/>
      </w:r>
      <w:r w:rsidR="00B3019C">
        <w:t>. This is</w:t>
      </w:r>
      <w:r w:rsidR="002B6326">
        <w:t xml:space="preserve"> where </w:t>
      </w:r>
      <w:r w:rsidR="008E03DE">
        <w:t xml:space="preserve">the </w:t>
      </w:r>
      <w:r w:rsidR="002B6326">
        <w:t xml:space="preserve">thickness of the </w:t>
      </w:r>
      <w:proofErr w:type="spellStart"/>
      <w:r w:rsidR="008E03DE">
        <w:t>Nappamerri</w:t>
      </w:r>
      <w:proofErr w:type="spellEnd"/>
      <w:r w:rsidR="008E03DE">
        <w:t xml:space="preserve"> Group </w:t>
      </w:r>
      <w:r w:rsidR="008A069D">
        <w:t xml:space="preserve">aquitard </w:t>
      </w:r>
      <w:r w:rsidR="004B03B1">
        <w:t xml:space="preserve">is </w:t>
      </w:r>
      <w:r w:rsidR="002B6326">
        <w:t>greater than the maximum hydraulic fracture extent</w:t>
      </w:r>
      <w:r w:rsidR="00E02561">
        <w:t xml:space="preserve"> of 151 m</w:t>
      </w:r>
      <w:r w:rsidR="004B03B1">
        <w:t>.</w:t>
      </w:r>
      <w:r w:rsidR="002B6326">
        <w:t xml:space="preserve"> </w:t>
      </w:r>
      <w:r w:rsidR="002B6326">
        <w:rPr>
          <w:rStyle w:val="SubtleEmphasis"/>
          <w:i w:val="0"/>
          <w:iCs w:val="0"/>
          <w:color w:val="000000"/>
        </w:rPr>
        <w:t>While</w:t>
      </w:r>
      <w:r w:rsidR="00062DEA" w:rsidRPr="00443AD2">
        <w:t xml:space="preserve"> it is </w:t>
      </w:r>
      <w:r w:rsidR="00C50D2A" w:rsidRPr="00443AD2">
        <w:t xml:space="preserve">theoretically possible for hydraulic fractures to intersect the </w:t>
      </w:r>
      <w:proofErr w:type="spellStart"/>
      <w:r w:rsidR="00C50D2A" w:rsidRPr="00443AD2">
        <w:t>Cadna</w:t>
      </w:r>
      <w:r w:rsidR="00E7103D" w:rsidRPr="00443AD2">
        <w:t>-</w:t>
      </w:r>
      <w:r w:rsidR="00C50D2A" w:rsidRPr="00443AD2">
        <w:t>owie</w:t>
      </w:r>
      <w:proofErr w:type="spellEnd"/>
      <w:r w:rsidR="00E7103D" w:rsidRPr="00443AD2">
        <w:t xml:space="preserve"> </w:t>
      </w:r>
      <w:r w:rsidR="00E7103D" w:rsidRPr="00443AD2">
        <w:rPr>
          <w:rFonts w:cs="Calibri"/>
        </w:rPr>
        <w:t>–</w:t>
      </w:r>
      <w:r w:rsidR="00A367FA" w:rsidRPr="00443AD2">
        <w:t xml:space="preserve"> </w:t>
      </w:r>
      <w:r w:rsidR="00C50D2A" w:rsidRPr="00443AD2">
        <w:t xml:space="preserve">Hooray </w:t>
      </w:r>
      <w:r w:rsidR="00A367FA" w:rsidRPr="00443AD2">
        <w:t xml:space="preserve">aquifer </w:t>
      </w:r>
      <w:r w:rsidR="00C50D2A" w:rsidRPr="00443AD2">
        <w:t>system</w:t>
      </w:r>
      <w:r w:rsidR="002B6326" w:rsidRPr="00443AD2">
        <w:t xml:space="preserve"> in </w:t>
      </w:r>
      <w:r w:rsidR="00B3019C">
        <w:t xml:space="preserve">these </w:t>
      </w:r>
      <w:r w:rsidR="002B6326" w:rsidRPr="00443AD2">
        <w:t>areas</w:t>
      </w:r>
      <w:r w:rsidR="009620DA" w:rsidRPr="00B3019C">
        <w:t>,</w:t>
      </w:r>
      <w:r w:rsidR="00B3019C" w:rsidRPr="00B3019C" w:rsidDel="00B3019C">
        <w:t xml:space="preserve"> </w:t>
      </w:r>
      <w:r w:rsidR="00C50D2A">
        <w:t>fracture</w:t>
      </w:r>
      <w:r w:rsidR="00B3019C">
        <w:t xml:space="preserve"> growth is</w:t>
      </w:r>
      <w:r w:rsidR="00650726">
        <w:t xml:space="preserve"> limited by other factors</w:t>
      </w:r>
      <w:r w:rsidR="00CD107C">
        <w:t>,</w:t>
      </w:r>
      <w:r w:rsidR="00650726">
        <w:t xml:space="preserve"> </w:t>
      </w:r>
      <w:r w:rsidR="00CD107C">
        <w:t xml:space="preserve">making it </w:t>
      </w:r>
      <w:r w:rsidR="00835FBB">
        <w:t xml:space="preserve">highly </w:t>
      </w:r>
      <w:r w:rsidR="00CD107C">
        <w:t>unlikely that</w:t>
      </w:r>
      <w:r w:rsidR="00A16234">
        <w:t xml:space="preserve"> any intersection with the overlying aquifer would </w:t>
      </w:r>
      <w:r w:rsidR="00CD107C">
        <w:t>occur</w:t>
      </w:r>
      <w:r w:rsidR="00A16234">
        <w:t xml:space="preserve">. This risk </w:t>
      </w:r>
      <w:r w:rsidR="00B3019C">
        <w:t>is</w:t>
      </w:r>
      <w:r w:rsidR="00A16234">
        <w:t xml:space="preserve"> </w:t>
      </w:r>
      <w:r w:rsidR="00801EC5">
        <w:t xml:space="preserve">further reduced by </w:t>
      </w:r>
      <w:r w:rsidR="00EC5FE5">
        <w:t xml:space="preserve">risk control measures used by the operators and </w:t>
      </w:r>
      <w:r w:rsidR="00C64B71">
        <w:t xml:space="preserve">the </w:t>
      </w:r>
      <w:r w:rsidR="002B6326">
        <w:t xml:space="preserve">existing </w:t>
      </w:r>
      <w:r w:rsidR="00EC5FE5">
        <w:t xml:space="preserve">regulatory requirements </w:t>
      </w:r>
      <w:r w:rsidR="003622B9">
        <w:t>in Queensland</w:t>
      </w:r>
      <w:r w:rsidR="00156EAD" w:rsidRPr="00156EAD">
        <w:t xml:space="preserve"> </w:t>
      </w:r>
      <w:r w:rsidR="00156EAD">
        <w:t>and South Australia</w:t>
      </w:r>
      <w:r w:rsidR="003622B9">
        <w:t>.</w:t>
      </w:r>
      <w:r w:rsidR="003622B9" w:rsidRPr="002B6326">
        <w:t xml:space="preserve"> </w:t>
      </w:r>
    </w:p>
    <w:p w14:paraId="59C3B5F5" w14:textId="2B6B300B" w:rsidR="0031087F" w:rsidRDefault="002B6326" w:rsidP="0031087F">
      <w:pPr>
        <w:pStyle w:val="BodyText"/>
        <w:rPr>
          <w:rStyle w:val="SubtleEmphasis"/>
          <w:i w:val="0"/>
          <w:iCs w:val="0"/>
          <w:color w:val="000000"/>
        </w:rPr>
      </w:pPr>
      <w:r w:rsidRPr="00443AD2">
        <w:t xml:space="preserve">Less than 10% of the prospective area </w:t>
      </w:r>
      <w:r w:rsidRPr="00443AD2">
        <w:rPr>
          <w:rFonts w:cs="Arial"/>
          <w:szCs w:val="20"/>
        </w:rPr>
        <w:t xml:space="preserve">is classified as </w:t>
      </w:r>
      <w:r w:rsidR="00D42B29" w:rsidRPr="00443AD2">
        <w:t>‘</w:t>
      </w:r>
      <w:r w:rsidR="00F063A4" w:rsidRPr="00443AD2">
        <w:t>medium</w:t>
      </w:r>
      <w:r w:rsidR="00D42B29" w:rsidRPr="00443AD2">
        <w:t xml:space="preserve"> risk’</w:t>
      </w:r>
      <w:r w:rsidR="00F063A4" w:rsidRPr="00443AD2">
        <w:t xml:space="preserve"> or </w:t>
      </w:r>
      <w:r w:rsidR="00D42B29" w:rsidRPr="00443AD2">
        <w:t>‘</w:t>
      </w:r>
      <w:r w:rsidR="00F063A4" w:rsidRPr="00443AD2">
        <w:t>high</w:t>
      </w:r>
      <w:r w:rsidR="0066525C" w:rsidRPr="00443AD2">
        <w:t xml:space="preserve"> risk</w:t>
      </w:r>
      <w:r w:rsidR="00D42B29" w:rsidRPr="00443AD2">
        <w:t>’</w:t>
      </w:r>
      <w:r w:rsidR="0031087F">
        <w:t xml:space="preserve">, shown as orange and red areas in </w:t>
      </w:r>
      <w:r w:rsidR="0031087F">
        <w:fldChar w:fldCharType="begin"/>
      </w:r>
      <w:r w:rsidR="0031087F">
        <w:instrText xml:space="preserve"> REF _Ref80175863 \h </w:instrText>
      </w:r>
      <w:r w:rsidR="0031087F">
        <w:fldChar w:fldCharType="separate"/>
      </w:r>
      <w:r w:rsidR="00E72592" w:rsidRPr="00961989">
        <w:t xml:space="preserve">Figure </w:t>
      </w:r>
      <w:r w:rsidR="00E72592">
        <w:rPr>
          <w:noProof/>
        </w:rPr>
        <w:t>1</w:t>
      </w:r>
      <w:r w:rsidR="0031087F">
        <w:fldChar w:fldCharType="end"/>
      </w:r>
      <w:r w:rsidRPr="00443AD2">
        <w:t>. C</w:t>
      </w:r>
      <w:r w:rsidR="00164C5B" w:rsidRPr="00164C5B">
        <w:t xml:space="preserve">areful design and monitoring </w:t>
      </w:r>
      <w:r w:rsidR="00164C5B">
        <w:t xml:space="preserve">of hydraulic fracturing treatments </w:t>
      </w:r>
      <w:r>
        <w:t>is needed in these areas</w:t>
      </w:r>
      <w:r w:rsidR="00111082">
        <w:t xml:space="preserve">, including </w:t>
      </w:r>
      <w:r w:rsidR="00111082" w:rsidRPr="44485014">
        <w:rPr>
          <w:rStyle w:val="SubtleEmphasis"/>
          <w:i w:val="0"/>
          <w:iCs w:val="0"/>
          <w:color w:val="000000"/>
        </w:rPr>
        <w:t xml:space="preserve">site-specific hydraulic fracture risk assessments </w:t>
      </w:r>
      <w:r w:rsidR="00111082">
        <w:rPr>
          <w:rStyle w:val="SubtleEmphasis"/>
          <w:i w:val="0"/>
          <w:iCs w:val="0"/>
          <w:color w:val="000000"/>
        </w:rPr>
        <w:t xml:space="preserve">using </w:t>
      </w:r>
      <w:r w:rsidR="00111082" w:rsidRPr="44485014">
        <w:rPr>
          <w:rStyle w:val="SubtleEmphasis"/>
          <w:i w:val="0"/>
          <w:iCs w:val="0"/>
          <w:color w:val="000000"/>
        </w:rPr>
        <w:t>more advanced hydraulic fracture modelling, analysis and/or monitoring techniques.</w:t>
      </w:r>
      <w:r w:rsidR="00E02561">
        <w:rPr>
          <w:rStyle w:val="SubtleEmphasis"/>
          <w:i w:val="0"/>
          <w:iCs w:val="0"/>
          <w:color w:val="000000"/>
        </w:rPr>
        <w:t xml:space="preserve"> </w:t>
      </w:r>
      <w:r w:rsidR="00B3019C">
        <w:t xml:space="preserve">While fracture growth </w:t>
      </w:r>
      <w:r w:rsidR="0031087F" w:rsidRPr="44485014">
        <w:rPr>
          <w:rStyle w:val="SubtleEmphasis"/>
          <w:i w:val="0"/>
          <w:iCs w:val="0"/>
          <w:color w:val="000000" w:themeColor="text1"/>
        </w:rPr>
        <w:t xml:space="preserve">is an important aspect of understanding the risk of aquifer contamination, other aspects such as dilution, pore pressures and permeability of different strata provide greater understanding of the </w:t>
      </w:r>
      <w:r w:rsidR="00B3019C">
        <w:rPr>
          <w:rStyle w:val="SubtleEmphasis"/>
          <w:i w:val="0"/>
          <w:iCs w:val="0"/>
          <w:color w:val="000000" w:themeColor="text1"/>
        </w:rPr>
        <w:t xml:space="preserve">overall </w:t>
      </w:r>
      <w:r w:rsidR="0031087F" w:rsidRPr="44485014">
        <w:rPr>
          <w:rStyle w:val="SubtleEmphasis"/>
          <w:i w:val="0"/>
          <w:iCs w:val="0"/>
          <w:color w:val="000000" w:themeColor="text1"/>
        </w:rPr>
        <w:t>risk</w:t>
      </w:r>
      <w:r w:rsidR="00B3019C">
        <w:rPr>
          <w:rStyle w:val="SubtleEmphasis"/>
          <w:i w:val="0"/>
          <w:iCs w:val="0"/>
          <w:color w:val="000000" w:themeColor="text1"/>
        </w:rPr>
        <w:t>s</w:t>
      </w:r>
      <w:r w:rsidR="0031087F" w:rsidRPr="44485014">
        <w:rPr>
          <w:rStyle w:val="SubtleEmphasis"/>
          <w:i w:val="0"/>
          <w:iCs w:val="0"/>
          <w:color w:val="000000" w:themeColor="text1"/>
        </w:rPr>
        <w:t>.</w:t>
      </w:r>
    </w:p>
    <w:p w14:paraId="7BEAC4FA" w14:textId="4ED3CAB5" w:rsidR="005B7E8A" w:rsidRDefault="00B3019C" w:rsidP="00111082">
      <w:pPr>
        <w:pStyle w:val="BodyText"/>
        <w:rPr>
          <w:rStyle w:val="SubtleEmphasis"/>
          <w:i w:val="0"/>
          <w:iCs w:val="0"/>
          <w:color w:val="000000"/>
        </w:rPr>
      </w:pPr>
      <w:r>
        <w:rPr>
          <w:noProof/>
        </w:rPr>
        <w:t>A</w:t>
      </w:r>
      <w:proofErr w:type="spellStart"/>
      <w:r w:rsidRPr="44485014">
        <w:rPr>
          <w:rStyle w:val="SubtleEmphasis"/>
          <w:i w:val="0"/>
          <w:iCs w:val="0"/>
          <w:color w:val="000000" w:themeColor="text1"/>
        </w:rPr>
        <w:t>quifer</w:t>
      </w:r>
      <w:proofErr w:type="spellEnd"/>
      <w:r w:rsidRPr="44485014">
        <w:rPr>
          <w:rStyle w:val="SubtleEmphasis"/>
          <w:i w:val="0"/>
          <w:iCs w:val="0"/>
          <w:color w:val="000000" w:themeColor="text1"/>
        </w:rPr>
        <w:t xml:space="preserve"> </w:t>
      </w:r>
      <w:r w:rsidR="005B7E8A" w:rsidRPr="44485014">
        <w:rPr>
          <w:rStyle w:val="SubtleEmphasis"/>
          <w:i w:val="0"/>
          <w:iCs w:val="0"/>
          <w:color w:val="000000" w:themeColor="text1"/>
        </w:rPr>
        <w:t xml:space="preserve">contamination is a key concern for agricultural communities who rely heavily on </w:t>
      </w:r>
      <w:r w:rsidR="003D7E07">
        <w:rPr>
          <w:rStyle w:val="SubtleEmphasis"/>
          <w:i w:val="0"/>
          <w:iCs w:val="0"/>
          <w:color w:val="000000" w:themeColor="text1"/>
        </w:rPr>
        <w:t xml:space="preserve">groundwater </w:t>
      </w:r>
      <w:r w:rsidR="005B7E8A" w:rsidRPr="44485014">
        <w:rPr>
          <w:rStyle w:val="SubtleEmphasis"/>
          <w:i w:val="0"/>
          <w:iCs w:val="0"/>
          <w:color w:val="000000" w:themeColor="text1"/>
        </w:rPr>
        <w:t>for irrigation and livestock farming.</w:t>
      </w:r>
      <w:r>
        <w:rPr>
          <w:rStyle w:val="SubtleEmphasis"/>
          <w:i w:val="0"/>
          <w:iCs w:val="0"/>
          <w:color w:val="000000"/>
        </w:rPr>
        <w:t xml:space="preserve"> Traditional assessment </w:t>
      </w:r>
      <w:r w:rsidR="005B7E8A" w:rsidRPr="00D825C4">
        <w:rPr>
          <w:rStyle w:val="SubtleEmphasis"/>
          <w:i w:val="0"/>
          <w:iCs w:val="0"/>
          <w:color w:val="000000"/>
        </w:rPr>
        <w:t xml:space="preserve">approaches focus on </w:t>
      </w:r>
      <w:r>
        <w:rPr>
          <w:rStyle w:val="SubtleEmphasis"/>
          <w:i w:val="0"/>
          <w:iCs w:val="0"/>
          <w:color w:val="000000"/>
        </w:rPr>
        <w:t xml:space="preserve">the </w:t>
      </w:r>
      <w:r w:rsidRPr="00D825C4">
        <w:rPr>
          <w:rStyle w:val="SubtleEmphasis"/>
          <w:i w:val="0"/>
          <w:iCs w:val="0"/>
          <w:color w:val="000000"/>
        </w:rPr>
        <w:t xml:space="preserve">consequences of </w:t>
      </w:r>
      <w:r w:rsidR="005B7E8A" w:rsidRPr="00D825C4">
        <w:rPr>
          <w:rStyle w:val="SubtleEmphasis"/>
          <w:i w:val="0"/>
          <w:iCs w:val="0"/>
          <w:color w:val="000000"/>
        </w:rPr>
        <w:t xml:space="preserve">either </w:t>
      </w:r>
      <w:r w:rsidR="00884844">
        <w:rPr>
          <w:rStyle w:val="SubtleEmphasis"/>
          <w:i w:val="0"/>
          <w:iCs w:val="0"/>
          <w:color w:val="000000"/>
        </w:rPr>
        <w:t>‘</w:t>
      </w:r>
      <w:r w:rsidR="005B7E8A" w:rsidRPr="00D825C4">
        <w:rPr>
          <w:rStyle w:val="SubtleEmphasis"/>
          <w:i w:val="0"/>
          <w:iCs w:val="0"/>
          <w:color w:val="000000"/>
        </w:rPr>
        <w:t>typical</w:t>
      </w:r>
      <w:r w:rsidR="00884844">
        <w:rPr>
          <w:rStyle w:val="SubtleEmphasis"/>
          <w:i w:val="0"/>
          <w:iCs w:val="0"/>
          <w:color w:val="000000"/>
        </w:rPr>
        <w:t>’</w:t>
      </w:r>
      <w:r w:rsidR="005B7E8A" w:rsidRPr="00D825C4">
        <w:rPr>
          <w:rStyle w:val="SubtleEmphasis"/>
          <w:i w:val="0"/>
          <w:iCs w:val="0"/>
          <w:color w:val="000000"/>
        </w:rPr>
        <w:t xml:space="preserve"> or </w:t>
      </w:r>
      <w:r w:rsidR="00884844">
        <w:rPr>
          <w:rStyle w:val="SubtleEmphasis"/>
          <w:i w:val="0"/>
          <w:iCs w:val="0"/>
          <w:color w:val="000000"/>
        </w:rPr>
        <w:t>‘</w:t>
      </w:r>
      <w:r w:rsidR="005B7E8A" w:rsidRPr="00D825C4">
        <w:rPr>
          <w:rStyle w:val="SubtleEmphasis"/>
          <w:i w:val="0"/>
          <w:iCs w:val="0"/>
          <w:color w:val="000000"/>
        </w:rPr>
        <w:t>worst case</w:t>
      </w:r>
      <w:r w:rsidR="00884844">
        <w:rPr>
          <w:rStyle w:val="SubtleEmphasis"/>
          <w:i w:val="0"/>
          <w:iCs w:val="0"/>
          <w:color w:val="000000"/>
        </w:rPr>
        <w:t>’</w:t>
      </w:r>
      <w:r w:rsidR="005B7E8A" w:rsidRPr="00D825C4">
        <w:rPr>
          <w:rStyle w:val="SubtleEmphasis"/>
          <w:i w:val="0"/>
          <w:iCs w:val="0"/>
          <w:color w:val="000000"/>
        </w:rPr>
        <w:t xml:space="preserve"> scenarios</w:t>
      </w:r>
      <w:r>
        <w:rPr>
          <w:rStyle w:val="SubtleEmphasis"/>
          <w:i w:val="0"/>
          <w:iCs w:val="0"/>
          <w:color w:val="000000"/>
        </w:rPr>
        <w:t xml:space="preserve">. </w:t>
      </w:r>
      <w:r w:rsidR="00111082">
        <w:rPr>
          <w:rStyle w:val="SubtleEmphasis"/>
          <w:i w:val="0"/>
          <w:iCs w:val="0"/>
          <w:color w:val="000000"/>
        </w:rPr>
        <w:t>Th</w:t>
      </w:r>
      <w:r w:rsidR="001F0819">
        <w:rPr>
          <w:rStyle w:val="SubtleEmphasis"/>
          <w:i w:val="0"/>
          <w:iCs w:val="0"/>
          <w:color w:val="000000"/>
        </w:rPr>
        <w:t>is</w:t>
      </w:r>
      <w:r w:rsidR="00111082">
        <w:rPr>
          <w:rStyle w:val="SubtleEmphasis"/>
          <w:i w:val="0"/>
          <w:iCs w:val="0"/>
          <w:color w:val="000000"/>
        </w:rPr>
        <w:t xml:space="preserve"> approach gives l</w:t>
      </w:r>
      <w:r w:rsidR="00B969D8" w:rsidRPr="00D825C4">
        <w:rPr>
          <w:rStyle w:val="SubtleEmphasis"/>
          <w:i w:val="0"/>
          <w:iCs w:val="0"/>
          <w:color w:val="000000"/>
        </w:rPr>
        <w:t>and</w:t>
      </w:r>
      <w:r w:rsidR="00B969D8">
        <w:rPr>
          <w:rStyle w:val="SubtleEmphasis"/>
          <w:i w:val="0"/>
          <w:iCs w:val="0"/>
          <w:color w:val="000000"/>
        </w:rPr>
        <w:t xml:space="preserve"> users</w:t>
      </w:r>
      <w:r w:rsidR="005B7E8A" w:rsidRPr="00D825C4">
        <w:rPr>
          <w:rStyle w:val="SubtleEmphasis"/>
          <w:i w:val="0"/>
          <w:iCs w:val="0"/>
          <w:color w:val="000000"/>
        </w:rPr>
        <w:t xml:space="preserve">, community groups </w:t>
      </w:r>
      <w:r w:rsidR="00111082">
        <w:rPr>
          <w:rStyle w:val="SubtleEmphasis"/>
          <w:i w:val="0"/>
          <w:iCs w:val="0"/>
          <w:color w:val="000000"/>
        </w:rPr>
        <w:t>and</w:t>
      </w:r>
      <w:r w:rsidR="00111082" w:rsidRPr="00D825C4">
        <w:rPr>
          <w:rStyle w:val="SubtleEmphasis"/>
          <w:i w:val="0"/>
          <w:iCs w:val="0"/>
          <w:color w:val="000000"/>
        </w:rPr>
        <w:t xml:space="preserve"> </w:t>
      </w:r>
      <w:r w:rsidR="005B7E8A" w:rsidRPr="00D825C4">
        <w:rPr>
          <w:rStyle w:val="SubtleEmphasis"/>
          <w:i w:val="0"/>
          <w:iCs w:val="0"/>
          <w:color w:val="000000"/>
        </w:rPr>
        <w:t>regulators</w:t>
      </w:r>
      <w:r>
        <w:rPr>
          <w:rStyle w:val="SubtleEmphasis"/>
          <w:i w:val="0"/>
          <w:iCs w:val="0"/>
          <w:color w:val="000000"/>
        </w:rPr>
        <w:t xml:space="preserve"> </w:t>
      </w:r>
      <w:r w:rsidR="00111082">
        <w:rPr>
          <w:rStyle w:val="SubtleEmphasis"/>
          <w:i w:val="0"/>
          <w:iCs w:val="0"/>
          <w:color w:val="000000"/>
        </w:rPr>
        <w:t>a way to better</w:t>
      </w:r>
      <w:r w:rsidR="005B7E8A" w:rsidRPr="00D825C4">
        <w:rPr>
          <w:rStyle w:val="SubtleEmphasis"/>
          <w:i w:val="0"/>
          <w:iCs w:val="0"/>
          <w:color w:val="000000"/>
        </w:rPr>
        <w:t xml:space="preserve"> understand risk</w:t>
      </w:r>
      <w:r w:rsidR="00111082">
        <w:rPr>
          <w:rStyle w:val="SubtleEmphasis"/>
          <w:i w:val="0"/>
          <w:iCs w:val="0"/>
          <w:color w:val="000000"/>
        </w:rPr>
        <w:t>s</w:t>
      </w:r>
      <w:r w:rsidR="005B7E8A" w:rsidRPr="00D825C4">
        <w:rPr>
          <w:rStyle w:val="SubtleEmphasis"/>
          <w:i w:val="0"/>
          <w:iCs w:val="0"/>
          <w:color w:val="000000"/>
        </w:rPr>
        <w:t xml:space="preserve"> </w:t>
      </w:r>
      <w:r w:rsidR="00111082">
        <w:rPr>
          <w:rStyle w:val="SubtleEmphasis"/>
          <w:i w:val="0"/>
          <w:iCs w:val="0"/>
          <w:color w:val="000000"/>
        </w:rPr>
        <w:t>from</w:t>
      </w:r>
      <w:r w:rsidR="005B7E8A" w:rsidRPr="00D825C4">
        <w:rPr>
          <w:rStyle w:val="SubtleEmphasis"/>
          <w:i w:val="0"/>
          <w:iCs w:val="0"/>
          <w:color w:val="000000"/>
        </w:rPr>
        <w:t xml:space="preserve"> development at a </w:t>
      </w:r>
      <w:r w:rsidR="00111082">
        <w:rPr>
          <w:rStyle w:val="SubtleEmphasis"/>
          <w:i w:val="0"/>
          <w:iCs w:val="0"/>
          <w:color w:val="000000"/>
        </w:rPr>
        <w:t xml:space="preserve">regional </w:t>
      </w:r>
      <w:r w:rsidR="005B7E8A" w:rsidRPr="00D825C4">
        <w:rPr>
          <w:rStyle w:val="SubtleEmphasis"/>
          <w:i w:val="0"/>
          <w:iCs w:val="0"/>
          <w:color w:val="000000"/>
        </w:rPr>
        <w:t xml:space="preserve">scale </w:t>
      </w:r>
      <w:r w:rsidR="00111082">
        <w:rPr>
          <w:rStyle w:val="SubtleEmphasis"/>
          <w:i w:val="0"/>
          <w:iCs w:val="0"/>
          <w:color w:val="000000"/>
        </w:rPr>
        <w:t xml:space="preserve">and </w:t>
      </w:r>
      <w:r w:rsidR="005B7E8A" w:rsidRPr="00D825C4">
        <w:rPr>
          <w:rStyle w:val="SubtleEmphasis"/>
          <w:i w:val="0"/>
          <w:iCs w:val="0"/>
          <w:color w:val="000000"/>
        </w:rPr>
        <w:t xml:space="preserve">at a meaningful </w:t>
      </w:r>
      <w:r w:rsidR="00111082">
        <w:rPr>
          <w:rStyle w:val="SubtleEmphasis"/>
          <w:i w:val="0"/>
          <w:iCs w:val="0"/>
          <w:color w:val="000000"/>
        </w:rPr>
        <w:t>spatial resolution</w:t>
      </w:r>
      <w:r w:rsidR="00EB54EA">
        <w:rPr>
          <w:rStyle w:val="SubtleEmphasis"/>
          <w:i w:val="0"/>
          <w:iCs w:val="0"/>
          <w:color w:val="000000"/>
        </w:rPr>
        <w:t>.</w:t>
      </w:r>
    </w:p>
    <w:p w14:paraId="38197202" w14:textId="0D642771" w:rsidR="00AF62B4" w:rsidRPr="00AF62B4" w:rsidRDefault="00AF62B4" w:rsidP="003B3AD8">
      <w:pPr>
        <w:pStyle w:val="TableCaption"/>
      </w:pPr>
      <w:bookmarkStart w:id="2" w:name="_Ref80175863"/>
      <w:bookmarkStart w:id="3" w:name="_Ref71704440"/>
      <w:r w:rsidRPr="00961989">
        <w:lastRenderedPageBreak/>
        <w:t xml:space="preserve">Figure </w:t>
      </w:r>
      <w:fldSimple w:instr=" SEQ Figure \* ARABIC ">
        <w:r w:rsidR="00E72592">
          <w:rPr>
            <w:noProof/>
          </w:rPr>
          <w:t>1</w:t>
        </w:r>
      </w:fldSimple>
      <w:bookmarkEnd w:id="2"/>
      <w:r w:rsidRPr="00961989">
        <w:t xml:space="preserve"> Potential for vertical </w:t>
      </w:r>
      <w:r w:rsidR="00111082" w:rsidRPr="00961989">
        <w:t xml:space="preserve">fracture </w:t>
      </w:r>
      <w:r w:rsidRPr="00961989">
        <w:t xml:space="preserve">growth </w:t>
      </w:r>
      <w:r w:rsidR="00111082">
        <w:t>to propagate through</w:t>
      </w:r>
      <w:r w:rsidRPr="00961989">
        <w:t xml:space="preserve"> the </w:t>
      </w:r>
      <w:proofErr w:type="spellStart"/>
      <w:r w:rsidRPr="00961989">
        <w:t>Nappamerri</w:t>
      </w:r>
      <w:proofErr w:type="spellEnd"/>
      <w:r w:rsidRPr="00961989">
        <w:t xml:space="preserve"> Group aquitard </w:t>
      </w:r>
      <w:bookmarkEnd w:id="3"/>
    </w:p>
    <w:p w14:paraId="3AA067B6" w14:textId="6F35C15E" w:rsidR="00711457" w:rsidRPr="00961989" w:rsidRDefault="00E250F5" w:rsidP="00711457">
      <w:pPr>
        <w:pStyle w:val="SourceornoteforTableorFigure"/>
        <w:keepNext/>
        <w:keepLines/>
      </w:pPr>
      <w:r>
        <w:rPr>
          <w:noProof/>
        </w:rPr>
        <w:drawing>
          <wp:inline distT="0" distB="0" distL="0" distR="0" wp14:anchorId="062EDF4D" wp14:editId="64CE2D14">
            <wp:extent cx="4941818" cy="4680000"/>
            <wp:effectExtent l="0" t="0" r="0" b="0"/>
            <wp:docPr id="1" name="Picture 1" descr="For areas where thickness is greater than 56 m, there is high potential for hydraulic fracture vertical growth to be greater. For thicknesses of between 56 and 151 m, there is medium potential. For thicknesses of between 151 and 389 m, there is low potential. For thicknesses of greater than 389, there is very low potent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941818" cy="4680000"/>
                    </a:xfrm>
                    <a:prstGeom prst="rect">
                      <a:avLst/>
                    </a:prstGeom>
                  </pic:spPr>
                </pic:pic>
              </a:graphicData>
            </a:graphic>
          </wp:inline>
        </w:drawing>
      </w:r>
    </w:p>
    <w:bookmarkEnd w:id="0"/>
    <w:p w14:paraId="25CDCD3D" w14:textId="39A70BC6" w:rsidR="00E52317" w:rsidRDefault="00E52317" w:rsidP="00443AD2">
      <w:pPr>
        <w:pStyle w:val="Heading1factsheet"/>
        <w:spacing w:before="0" w:after="0"/>
      </w:pPr>
      <w:r>
        <w:t>The GBA Program</w:t>
      </w:r>
    </w:p>
    <w:p w14:paraId="338DCC09" w14:textId="1DC71E30" w:rsidR="004C07CB" w:rsidRPr="00E52317" w:rsidRDefault="00E52317" w:rsidP="0013280F">
      <w:pPr>
        <w:pStyle w:val="BodyText"/>
      </w:pPr>
      <w:r>
        <w:t>The $35.4 million Geological and Bioregional Assessment (GBA) Program is assessing the potential impacts of unconventional gas resource development on water and the environment to inform regulatory frameworks and appropriate management approaches. The geological and environmental knowledge, data and tools produced by the GBA Program will assist governments, industry, land users and the community by informing decision making and enabling the coordinated management of potential impacts.</w:t>
      </w:r>
      <w:r w:rsidR="00D67880">
        <w:t xml:space="preserve"> </w:t>
      </w:r>
      <w:r w:rsidR="004C07CB" w:rsidRPr="114F7D43">
        <w:rPr>
          <w:rFonts w:cs="Calibri"/>
          <w:szCs w:val="22"/>
        </w:rPr>
        <w:t xml:space="preserve"> </w:t>
      </w:r>
    </w:p>
    <w:p w14:paraId="07FE6169" w14:textId="38440DAF" w:rsidR="00010510" w:rsidRDefault="000559B8" w:rsidP="00443AD2">
      <w:pPr>
        <w:pStyle w:val="Heading1factsheet"/>
        <w:spacing w:before="0" w:after="0"/>
      </w:pPr>
      <w:r>
        <w:t>How to cite</w:t>
      </w:r>
    </w:p>
    <w:p w14:paraId="66601F1C" w14:textId="7A29B2AE" w:rsidR="00C816C1" w:rsidRPr="003D7E07" w:rsidRDefault="00FA4EA9" w:rsidP="008205D8">
      <w:pPr>
        <w:pStyle w:val="BodyText"/>
        <w:rPr>
          <w:lang w:val="en-US"/>
        </w:rPr>
      </w:pPr>
      <w:r w:rsidRPr="3026CF69">
        <w:rPr>
          <w:lang w:val="en-US"/>
        </w:rPr>
        <w:t xml:space="preserve">Geological and Bioregional Assessment Program (2021) </w:t>
      </w:r>
      <w:r w:rsidR="00E7103D" w:rsidRPr="00D92DA7">
        <w:rPr>
          <w:lang w:val="en-US"/>
        </w:rPr>
        <w:t xml:space="preserve">Fact sheet 2: </w:t>
      </w:r>
      <w:r w:rsidRPr="00D92DA7">
        <w:rPr>
          <w:lang w:val="en-US"/>
        </w:rPr>
        <w:t>Assessing hydraulic fracture risks to groundwater [online document]</w:t>
      </w:r>
      <w:r w:rsidRPr="3026CF69">
        <w:rPr>
          <w:lang w:val="en-US"/>
        </w:rPr>
        <w:t>. Fact sheet for the Geological and Bioregional Assessment Program.</w:t>
      </w:r>
    </w:p>
    <w:p w14:paraId="12836137" w14:textId="2F707327" w:rsidR="00697227" w:rsidRPr="00E250F5" w:rsidRDefault="00697227" w:rsidP="00443AD2">
      <w:pPr>
        <w:pStyle w:val="Heading1factsheet"/>
        <w:spacing w:before="0" w:after="0"/>
      </w:pPr>
      <w:r w:rsidRPr="3026CF69">
        <w:t>Find out more</w:t>
      </w:r>
    </w:p>
    <w:p w14:paraId="10AEAB47" w14:textId="0F8CBA47" w:rsidR="00C6794D" w:rsidRPr="00A8357D" w:rsidRDefault="003B7A2A" w:rsidP="00443AD2">
      <w:pPr>
        <w:pStyle w:val="ListBullet"/>
        <w:ind w:left="357" w:hanging="357"/>
        <w:rPr>
          <w:lang w:val="en-US"/>
        </w:rPr>
      </w:pPr>
      <w:r w:rsidRPr="3026CF69">
        <w:rPr>
          <w:lang w:val="en-US"/>
        </w:rPr>
        <w:t xml:space="preserve">Kear J, </w:t>
      </w:r>
      <w:proofErr w:type="spellStart"/>
      <w:r w:rsidRPr="3026CF69">
        <w:rPr>
          <w:lang w:val="en-US"/>
        </w:rPr>
        <w:t>Arjomand</w:t>
      </w:r>
      <w:proofErr w:type="spellEnd"/>
      <w:r w:rsidRPr="3026CF69">
        <w:rPr>
          <w:lang w:val="en-US"/>
        </w:rPr>
        <w:t xml:space="preserve"> E, Movassagh A</w:t>
      </w:r>
      <w:r w:rsidR="00A8357D" w:rsidRPr="3026CF69">
        <w:rPr>
          <w:lang w:val="en-US"/>
        </w:rPr>
        <w:t>,</w:t>
      </w:r>
      <w:r w:rsidRPr="3026CF69">
        <w:rPr>
          <w:lang w:val="en-US"/>
        </w:rPr>
        <w:t xml:space="preserve"> Peeters L and Kasperczyk D</w:t>
      </w:r>
      <w:r w:rsidR="0014504C" w:rsidRPr="3026CF69">
        <w:rPr>
          <w:lang w:val="en-US"/>
        </w:rPr>
        <w:t xml:space="preserve"> (2021) </w:t>
      </w:r>
      <w:r w:rsidR="0014504C" w:rsidRPr="00D92DA7">
        <w:rPr>
          <w:lang w:val="en-US"/>
        </w:rPr>
        <w:t>Spatial analysis approach to hydraulic fracturing risk assessment</w:t>
      </w:r>
      <w:r w:rsidR="0014504C" w:rsidRPr="3026CF69">
        <w:rPr>
          <w:i/>
          <w:iCs/>
          <w:lang w:val="en-US"/>
        </w:rPr>
        <w:t>.</w:t>
      </w:r>
      <w:r w:rsidR="0014504C" w:rsidRPr="3026CF69">
        <w:rPr>
          <w:lang w:val="en-US"/>
        </w:rPr>
        <w:t xml:space="preserve"> </w:t>
      </w:r>
      <w:r w:rsidR="00B65FCF" w:rsidRPr="3026CF69">
        <w:rPr>
          <w:lang w:val="en-US"/>
        </w:rPr>
        <w:t>In 5</w:t>
      </w:r>
      <w:r w:rsidR="00C6794D" w:rsidRPr="3026CF69">
        <w:rPr>
          <w:lang w:val="en-US"/>
        </w:rPr>
        <w:t>5</w:t>
      </w:r>
      <w:r w:rsidR="00C6794D" w:rsidRPr="3026CF69">
        <w:rPr>
          <w:vertAlign w:val="superscript"/>
          <w:lang w:val="en-US"/>
        </w:rPr>
        <w:t>th</w:t>
      </w:r>
      <w:r w:rsidR="00C6794D" w:rsidRPr="3026CF69">
        <w:rPr>
          <w:lang w:val="en-US"/>
        </w:rPr>
        <w:t xml:space="preserve"> </w:t>
      </w:r>
      <w:r w:rsidR="00B65FCF" w:rsidRPr="3026CF69">
        <w:rPr>
          <w:lang w:val="en-US"/>
        </w:rPr>
        <w:t>US Rock Mechanics / Geomechanics Symposium 20</w:t>
      </w:r>
      <w:r w:rsidR="00C6794D" w:rsidRPr="3026CF69">
        <w:rPr>
          <w:lang w:val="en-US"/>
        </w:rPr>
        <w:t>21</w:t>
      </w:r>
      <w:r w:rsidR="00B65FCF" w:rsidRPr="3026CF69">
        <w:rPr>
          <w:lang w:val="en-US"/>
        </w:rPr>
        <w:t>.</w:t>
      </w:r>
    </w:p>
    <w:p w14:paraId="2BE34BFB" w14:textId="13A44A7A" w:rsidR="0013280F" w:rsidRDefault="0013280F" w:rsidP="00443AD2">
      <w:pPr>
        <w:pStyle w:val="BodyText"/>
        <w:spacing w:after="0"/>
      </w:pPr>
      <w:r>
        <w:t xml:space="preserve">Datasets that support this work are available at </w:t>
      </w:r>
      <w:hyperlink r:id="rId16">
        <w:r w:rsidRPr="4873A809">
          <w:rPr>
            <w:rStyle w:val="Hyperlink"/>
          </w:rPr>
          <w:t>data.gov.au</w:t>
        </w:r>
      </w:hyperlink>
      <w:r>
        <w:t>:</w:t>
      </w:r>
    </w:p>
    <w:p w14:paraId="05A8FABE" w14:textId="73888870" w:rsidR="00117EF6" w:rsidRPr="00443AD2" w:rsidRDefault="0013280F" w:rsidP="00443AD2">
      <w:pPr>
        <w:pStyle w:val="ListBullet"/>
        <w:ind w:left="357" w:hanging="357"/>
        <w:rPr>
          <w:lang w:val="en-US"/>
        </w:rPr>
      </w:pPr>
      <w:r w:rsidRPr="00443AD2">
        <w:rPr>
          <w:lang w:val="en-US"/>
        </w:rPr>
        <w:t xml:space="preserve">Geological and Bioregional Assessment Program (2021) </w:t>
      </w:r>
      <w:hyperlink r:id="rId17" w:history="1">
        <w:r w:rsidRPr="000A2207">
          <w:rPr>
            <w:rStyle w:val="Hyperlink"/>
            <w:rFonts w:eastAsia="Calibri"/>
            <w:szCs w:val="24"/>
            <w:lang w:eastAsia="en-AU"/>
          </w:rPr>
          <w:t>Probability bounds analysis of hydraulic fracture height growth in the Cooper GBA region</w:t>
        </w:r>
      </w:hyperlink>
      <w:r w:rsidRPr="00443AD2">
        <w:rPr>
          <w:lang w:val="en-US"/>
        </w:rPr>
        <w:t xml:space="preserve"> [data]</w:t>
      </w:r>
      <w:r w:rsidR="000B2D81" w:rsidRPr="00443AD2">
        <w:rPr>
          <w:lang w:val="en-US"/>
        </w:rPr>
        <w:t>.</w:t>
      </w:r>
    </w:p>
    <w:p w14:paraId="3898BCBB" w14:textId="38D459E8" w:rsidR="00837173" w:rsidRPr="00837173" w:rsidRDefault="0005588B" w:rsidP="00C634E7">
      <w:pPr>
        <w:pStyle w:val="BodyText"/>
      </w:pPr>
      <w:r w:rsidRPr="005308EF">
        <w:t xml:space="preserve">More information is available </w:t>
      </w:r>
      <w:r w:rsidRPr="0005588B">
        <w:rPr>
          <w:bCs/>
          <w:iCs/>
        </w:rPr>
        <w:t>at</w:t>
      </w:r>
      <w:r>
        <w:rPr>
          <w:b/>
          <w:iCs/>
        </w:rPr>
        <w:t xml:space="preserve"> </w:t>
      </w:r>
      <w:hyperlink r:id="rId18" w:history="1">
        <w:r w:rsidRPr="00197B18">
          <w:rPr>
            <w:rStyle w:val="Hyperlink"/>
          </w:rPr>
          <w:t>bioregionalassessments.gov.au/</w:t>
        </w:r>
        <w:proofErr w:type="spellStart"/>
        <w:r w:rsidRPr="00197B18">
          <w:rPr>
            <w:rStyle w:val="Hyperlink"/>
          </w:rPr>
          <w:t>gba</w:t>
        </w:r>
        <w:proofErr w:type="spellEnd"/>
      </w:hyperlink>
      <w:r w:rsidRPr="005308EF">
        <w:t>.</w:t>
      </w:r>
    </w:p>
    <w:sectPr w:rsidR="00837173" w:rsidRPr="00837173" w:rsidSect="0080029A">
      <w:footerReference w:type="default" r:id="rId19"/>
      <w:pgSz w:w="11906" w:h="16838" w:code="9"/>
      <w:pgMar w:top="1418" w:right="851" w:bottom="1560" w:left="851"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D2B2A" w14:textId="77777777" w:rsidR="009D64DB" w:rsidRDefault="009D64DB" w:rsidP="009964E7">
      <w:r>
        <w:separator/>
      </w:r>
    </w:p>
    <w:p w14:paraId="6C3DCDD6" w14:textId="77777777" w:rsidR="009D64DB" w:rsidRDefault="009D64DB"/>
  </w:endnote>
  <w:endnote w:type="continuationSeparator" w:id="0">
    <w:p w14:paraId="3782BF4A" w14:textId="77777777" w:rsidR="009D64DB" w:rsidRDefault="009D64DB" w:rsidP="009964E7">
      <w:r>
        <w:continuationSeparator/>
      </w:r>
    </w:p>
    <w:p w14:paraId="2DF15273" w14:textId="77777777" w:rsidR="009D64DB" w:rsidRDefault="009D64DB"/>
  </w:endnote>
  <w:endnote w:type="continuationNotice" w:id="1">
    <w:p w14:paraId="5478D5FC" w14:textId="77777777" w:rsidR="009D64DB" w:rsidRDefault="009D64DB"/>
    <w:p w14:paraId="3AB612C4" w14:textId="77777777" w:rsidR="009D64DB" w:rsidRDefault="009D64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ĝ"/>
    <w:panose1 w:val="02020603050405020304"/>
    <w:charset w:val="00"/>
    <w:family w:val="auto"/>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74ABB" w14:textId="0F035151" w:rsidR="00621A0D" w:rsidRDefault="0081147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1" behindDoc="0" locked="0" layoutInCell="1" allowOverlap="1" wp14:anchorId="6D5400AB" wp14:editId="5FCB22CF">
              <wp:simplePos x="0" y="0"/>
              <wp:positionH relativeFrom="column">
                <wp:posOffset>31115</wp:posOffset>
              </wp:positionH>
              <wp:positionV relativeFrom="paragraph">
                <wp:posOffset>-294640</wp:posOffset>
              </wp:positionV>
              <wp:extent cx="574040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2F1CA64A" w14:textId="77777777" w:rsidR="00CE28F3" w:rsidRDefault="00CE28F3"/>
                        <w:p w14:paraId="792428C4" w14:textId="7601D8F0" w:rsidR="00CE28F3" w:rsidRDefault="00CE28F3" w:rsidP="00CE28F3">
                          <w:pPr>
                            <w:pStyle w:val="CoverFooter"/>
                          </w:pPr>
                          <w:r>
                            <w:t xml:space="preserve">A scientific collaboration between the Department of </w:t>
                          </w:r>
                          <w:r w:rsidR="003F6F9E">
                            <w:t xml:space="preserve">Agriculture, </w:t>
                          </w:r>
                          <w:proofErr w:type="gramStart"/>
                          <w:r w:rsidR="003F6F9E">
                            <w:t>Water</w:t>
                          </w:r>
                          <w:proofErr w:type="gramEnd"/>
                          <w:r w:rsidR="003F6F9E">
                            <w:t xml:space="preserve"> and the Environment</w:t>
                          </w:r>
                          <w:r>
                            <w:t xml:space="preserve">, </w:t>
                          </w:r>
                        </w:p>
                        <w:p w14:paraId="7B3CD6C5" w14:textId="77777777" w:rsidR="00351669" w:rsidRDefault="00CE28F3" w:rsidP="00CE28F3">
                          <w:pPr>
                            <w:pStyle w:val="CoverFooter"/>
                          </w:pPr>
                          <w:r>
                            <w:t xml:space="preserve">Bureau of Meteorology, </w:t>
                          </w:r>
                          <w:proofErr w:type="gramStart"/>
                          <w:r>
                            <w:t>CSIRO</w:t>
                          </w:r>
                          <w:proofErr w:type="gramEnd"/>
                          <w:r>
                            <w:t xml:space="preserve">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w16sdtdh="http://schemas.microsoft.com/office/word/2020/wordml/sdtdatahash">
          <w:pict>
            <v:shapetype id="_x0000_t202" coordsize="21600,21600" o:spt="202" path="m,l,21600r21600,l21600,xe" w14:anchorId="6D5400AB">
              <v:stroke joinstyle="miter"/>
              <v:path gradientshapeok="t" o:connecttype="rect"/>
            </v:shapetype>
            <v:shape id="Text Box 1612190414" style="position:absolute;margin-left:2.45pt;margin-top:-23.2pt;width:452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">
              <v:textbox>
                <w:txbxContent>
                  <w:p w:rsidR="00CE28F3" w:rsidRDefault="00CE28F3" w14:paraId="2F1CA64A" w14:textId="77777777"/>
                  <w:p w:rsidR="00CE28F3" w:rsidP="00CE28F3" w:rsidRDefault="00CE28F3" w14:paraId="792428C4" w14:textId="7601D8F0">
                    <w:pPr>
                      <w:pStyle w:val="CoverFooter"/>
                    </w:pPr>
                    <w:r>
                      <w:t xml:space="preserve">A scientific collaboration between the Department of </w:t>
                    </w:r>
                    <w:r w:rsidR="003F6F9E">
                      <w:t>Agriculture, Water and the Environment</w:t>
                    </w:r>
                    <w:r>
                      <w:t xml:space="preserve">, </w:t>
                    </w:r>
                  </w:p>
                  <w:p w:rsidR="00351669" w:rsidP="00CE28F3" w:rsidRDefault="00CE28F3" w14:paraId="7B3CD6C5" w14:textId="77777777">
                    <w:pPr>
                      <w:pStyle w:val="CoverFooter"/>
                    </w:pPr>
                    <w:r>
                      <w:t>Bureau of Meteorology, CSIRO and Geoscience Australia</w:t>
                    </w:r>
                  </w:p>
                </w:txbxContent>
              </v:textbox>
            </v:shape>
          </w:pict>
        </mc:Fallback>
      </mc:AlternateContent>
    </w:r>
    <w:r>
      <w:rPr>
        <w:noProof/>
      </w:rPr>
      <w:drawing>
        <wp:anchor distT="0" distB="0" distL="114300" distR="114300" simplePos="0" relativeHeight="251658240" behindDoc="0" locked="0" layoutInCell="1" allowOverlap="1" wp14:anchorId="2DE60B80" wp14:editId="1FAA8D62">
          <wp:simplePos x="0" y="0"/>
          <wp:positionH relativeFrom="page">
            <wp:posOffset>-12065</wp:posOffset>
          </wp:positionH>
          <wp:positionV relativeFrom="paragraph">
            <wp:posOffset>-471805</wp:posOffset>
          </wp:positionV>
          <wp:extent cx="7571740" cy="1840865"/>
          <wp:effectExtent l="0" t="0" r="0" b="0"/>
          <wp:wrapNone/>
          <wp:docPr id="12" name="Picture 1612190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121904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1BE35" w14:textId="77777777" w:rsidR="009D64DB" w:rsidRDefault="009D64DB">
      <w:r>
        <w:separator/>
      </w:r>
    </w:p>
    <w:p w14:paraId="08CAF8E2" w14:textId="77777777" w:rsidR="009D64DB" w:rsidRDefault="009D64DB"/>
  </w:footnote>
  <w:footnote w:type="continuationSeparator" w:id="0">
    <w:p w14:paraId="2E6714A9" w14:textId="77777777" w:rsidR="009D64DB" w:rsidRDefault="009D64DB">
      <w:r>
        <w:continuationSeparator/>
      </w:r>
    </w:p>
    <w:p w14:paraId="43906CBD" w14:textId="77777777" w:rsidR="009D64DB" w:rsidRDefault="009D64DB"/>
  </w:footnote>
  <w:footnote w:type="continuationNotice" w:id="1">
    <w:p w14:paraId="5519EF8B" w14:textId="77777777" w:rsidR="009D64DB" w:rsidRDefault="009D64DB"/>
    <w:p w14:paraId="5F07859B" w14:textId="77777777" w:rsidR="009D64DB" w:rsidRDefault="009D64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EC44948C"/>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hybridMultilevel"/>
    <w:tmpl w:val="0636A186"/>
    <w:lvl w:ilvl="0" w:tplc="4D868A36">
      <w:start w:val="1"/>
      <w:numFmt w:val="bullet"/>
      <w:lvlText w:val="o"/>
      <w:lvlJc w:val="left"/>
      <w:pPr>
        <w:tabs>
          <w:tab w:val="num" w:pos="720"/>
        </w:tabs>
        <w:ind w:left="720" w:hanging="360"/>
      </w:pPr>
      <w:rPr>
        <w:rFonts w:ascii="Courier New" w:hAnsi="Courier New" w:hint="default"/>
        <w:sz w:val="20"/>
      </w:rPr>
    </w:lvl>
    <w:lvl w:ilvl="1" w:tplc="C03443C0" w:tentative="1">
      <w:start w:val="1"/>
      <w:numFmt w:val="bullet"/>
      <w:lvlText w:val="o"/>
      <w:lvlJc w:val="left"/>
      <w:pPr>
        <w:tabs>
          <w:tab w:val="num" w:pos="1440"/>
        </w:tabs>
        <w:ind w:left="1440" w:hanging="360"/>
      </w:pPr>
      <w:rPr>
        <w:rFonts w:ascii="Courier New" w:hAnsi="Courier New" w:hint="default"/>
        <w:sz w:val="20"/>
      </w:rPr>
    </w:lvl>
    <w:lvl w:ilvl="2" w:tplc="937EB2A8" w:tentative="1">
      <w:start w:val="1"/>
      <w:numFmt w:val="bullet"/>
      <w:lvlText w:val="o"/>
      <w:lvlJc w:val="left"/>
      <w:pPr>
        <w:tabs>
          <w:tab w:val="num" w:pos="2160"/>
        </w:tabs>
        <w:ind w:left="2160" w:hanging="360"/>
      </w:pPr>
      <w:rPr>
        <w:rFonts w:ascii="Courier New" w:hAnsi="Courier New" w:hint="default"/>
        <w:sz w:val="20"/>
      </w:rPr>
    </w:lvl>
    <w:lvl w:ilvl="3" w:tplc="8E9A30DC" w:tentative="1">
      <w:start w:val="1"/>
      <w:numFmt w:val="bullet"/>
      <w:lvlText w:val="o"/>
      <w:lvlJc w:val="left"/>
      <w:pPr>
        <w:tabs>
          <w:tab w:val="num" w:pos="2880"/>
        </w:tabs>
        <w:ind w:left="2880" w:hanging="360"/>
      </w:pPr>
      <w:rPr>
        <w:rFonts w:ascii="Courier New" w:hAnsi="Courier New" w:hint="default"/>
        <w:sz w:val="20"/>
      </w:rPr>
    </w:lvl>
    <w:lvl w:ilvl="4" w:tplc="C28032BC" w:tentative="1">
      <w:start w:val="1"/>
      <w:numFmt w:val="bullet"/>
      <w:lvlText w:val="o"/>
      <w:lvlJc w:val="left"/>
      <w:pPr>
        <w:tabs>
          <w:tab w:val="num" w:pos="3600"/>
        </w:tabs>
        <w:ind w:left="3600" w:hanging="360"/>
      </w:pPr>
      <w:rPr>
        <w:rFonts w:ascii="Courier New" w:hAnsi="Courier New" w:hint="default"/>
        <w:sz w:val="20"/>
      </w:rPr>
    </w:lvl>
    <w:lvl w:ilvl="5" w:tplc="C008727A" w:tentative="1">
      <w:start w:val="1"/>
      <w:numFmt w:val="bullet"/>
      <w:lvlText w:val="o"/>
      <w:lvlJc w:val="left"/>
      <w:pPr>
        <w:tabs>
          <w:tab w:val="num" w:pos="4320"/>
        </w:tabs>
        <w:ind w:left="4320" w:hanging="360"/>
      </w:pPr>
      <w:rPr>
        <w:rFonts w:ascii="Courier New" w:hAnsi="Courier New" w:hint="default"/>
        <w:sz w:val="20"/>
      </w:rPr>
    </w:lvl>
    <w:lvl w:ilvl="6" w:tplc="46F0D308" w:tentative="1">
      <w:start w:val="1"/>
      <w:numFmt w:val="bullet"/>
      <w:lvlText w:val="o"/>
      <w:lvlJc w:val="left"/>
      <w:pPr>
        <w:tabs>
          <w:tab w:val="num" w:pos="5040"/>
        </w:tabs>
        <w:ind w:left="5040" w:hanging="360"/>
      </w:pPr>
      <w:rPr>
        <w:rFonts w:ascii="Courier New" w:hAnsi="Courier New" w:hint="default"/>
        <w:sz w:val="20"/>
      </w:rPr>
    </w:lvl>
    <w:lvl w:ilvl="7" w:tplc="7AD6BEE6" w:tentative="1">
      <w:start w:val="1"/>
      <w:numFmt w:val="bullet"/>
      <w:lvlText w:val="o"/>
      <w:lvlJc w:val="left"/>
      <w:pPr>
        <w:tabs>
          <w:tab w:val="num" w:pos="5760"/>
        </w:tabs>
        <w:ind w:left="5760" w:hanging="360"/>
      </w:pPr>
      <w:rPr>
        <w:rFonts w:ascii="Courier New" w:hAnsi="Courier New" w:hint="default"/>
        <w:sz w:val="20"/>
      </w:rPr>
    </w:lvl>
    <w:lvl w:ilvl="8" w:tplc="1E9E07B6"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887A128C"/>
    <w:lvl w:ilvl="0">
      <w:start w:val="1"/>
      <w:numFmt w:val="decimal"/>
      <w:pStyle w:val="Heading1"/>
      <w:lvlText w:val="%1"/>
      <w:lvlJc w:val="left"/>
      <w:pPr>
        <w:ind w:left="432" w:hanging="432"/>
      </w:pPr>
    </w:lvl>
    <w:lvl w:ilvl="1">
      <w:start w:val="1"/>
      <w:numFmt w:val="decimal"/>
      <w:pStyle w:val="Heading2"/>
      <w:lvlText w:val="%2"/>
      <w:lvlJc w:val="left"/>
      <w:pPr>
        <w:ind w:left="576" w:hanging="576"/>
      </w:pPr>
    </w:lvl>
    <w:lvl w:ilvl="2">
      <w:start w:val="1"/>
      <w:numFmt w:val="decimal"/>
      <w:pStyle w:val="Heading3"/>
      <w:lvlText w:val="%2.%3"/>
      <w:lvlJc w:val="left"/>
      <w:pPr>
        <w:ind w:left="720" w:hanging="720"/>
      </w:pPr>
    </w:lvl>
    <w:lvl w:ilvl="3">
      <w:start w:val="1"/>
      <w:numFmt w:val="decimal"/>
      <w:pStyle w:val="Heading4"/>
      <w:lvlText w:val="%2.%3.%4"/>
      <w:lvlJc w:val="left"/>
      <w:pPr>
        <w:ind w:left="7811" w:hanging="864"/>
      </w:pPr>
    </w:lvl>
    <w:lvl w:ilvl="4">
      <w:start w:val="1"/>
      <w:numFmt w:val="decimal"/>
      <w:pStyle w:val="Heading5"/>
      <w:lvlText w:val="%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multilevel"/>
    <w:tmpl w:val="34B69DEC"/>
    <w:styleLink w:val="TableBullets"/>
    <w:lvl w:ilvl="0">
      <w:start w:val="1"/>
      <w:numFmt w:val="decimal"/>
      <w:lvlText w:val="%1."/>
      <w:lvlJc w:val="left"/>
      <w:pPr>
        <w:ind w:left="36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0175B4"/>
    <w:multiLevelType w:val="hybridMultilevel"/>
    <w:tmpl w:val="784C85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6"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7"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C5BC3"/>
    <w:multiLevelType w:val="hybridMultilevel"/>
    <w:tmpl w:val="141029B4"/>
    <w:lvl w:ilvl="0" w:tplc="6940135E">
      <w:start w:val="1"/>
      <w:numFmt w:val="bullet"/>
      <w:lvlText w:val=""/>
      <w:lvlJc w:val="left"/>
      <w:pPr>
        <w:ind w:left="720" w:hanging="360"/>
      </w:pPr>
      <w:rPr>
        <w:rFonts w:ascii="Symbol" w:hAnsi="Symbol" w:hint="default"/>
      </w:rPr>
    </w:lvl>
    <w:lvl w:ilvl="1" w:tplc="79F8C5A2">
      <w:start w:val="1"/>
      <w:numFmt w:val="bullet"/>
      <w:lvlText w:val="o"/>
      <w:lvlJc w:val="left"/>
      <w:pPr>
        <w:ind w:left="1440" w:hanging="360"/>
      </w:pPr>
      <w:rPr>
        <w:rFonts w:ascii="Courier New" w:hAnsi="Courier New" w:hint="default"/>
      </w:rPr>
    </w:lvl>
    <w:lvl w:ilvl="2" w:tplc="80F0E6F2">
      <w:start w:val="1"/>
      <w:numFmt w:val="bullet"/>
      <w:lvlText w:val=""/>
      <w:lvlJc w:val="left"/>
      <w:pPr>
        <w:ind w:left="2160" w:hanging="360"/>
      </w:pPr>
      <w:rPr>
        <w:rFonts w:ascii="Wingdings" w:hAnsi="Wingdings" w:hint="default"/>
      </w:rPr>
    </w:lvl>
    <w:lvl w:ilvl="3" w:tplc="5418A3D4">
      <w:start w:val="1"/>
      <w:numFmt w:val="bullet"/>
      <w:lvlText w:val=""/>
      <w:lvlJc w:val="left"/>
      <w:pPr>
        <w:ind w:left="2880" w:hanging="360"/>
      </w:pPr>
      <w:rPr>
        <w:rFonts w:ascii="Symbol" w:hAnsi="Symbol" w:hint="default"/>
      </w:rPr>
    </w:lvl>
    <w:lvl w:ilvl="4" w:tplc="65CCCDF6">
      <w:start w:val="1"/>
      <w:numFmt w:val="bullet"/>
      <w:lvlText w:val="o"/>
      <w:lvlJc w:val="left"/>
      <w:pPr>
        <w:ind w:left="3600" w:hanging="360"/>
      </w:pPr>
      <w:rPr>
        <w:rFonts w:ascii="Courier New" w:hAnsi="Courier New" w:hint="default"/>
      </w:rPr>
    </w:lvl>
    <w:lvl w:ilvl="5" w:tplc="F5BCF4F8">
      <w:start w:val="1"/>
      <w:numFmt w:val="bullet"/>
      <w:lvlText w:val=""/>
      <w:lvlJc w:val="left"/>
      <w:pPr>
        <w:ind w:left="4320" w:hanging="360"/>
      </w:pPr>
      <w:rPr>
        <w:rFonts w:ascii="Wingdings" w:hAnsi="Wingdings" w:hint="default"/>
      </w:rPr>
    </w:lvl>
    <w:lvl w:ilvl="6" w:tplc="5C96751E">
      <w:start w:val="1"/>
      <w:numFmt w:val="bullet"/>
      <w:lvlText w:val=""/>
      <w:lvlJc w:val="left"/>
      <w:pPr>
        <w:ind w:left="5040" w:hanging="360"/>
      </w:pPr>
      <w:rPr>
        <w:rFonts w:ascii="Symbol" w:hAnsi="Symbol" w:hint="default"/>
      </w:rPr>
    </w:lvl>
    <w:lvl w:ilvl="7" w:tplc="92E032F4">
      <w:start w:val="1"/>
      <w:numFmt w:val="bullet"/>
      <w:lvlText w:val="o"/>
      <w:lvlJc w:val="left"/>
      <w:pPr>
        <w:ind w:left="5760" w:hanging="360"/>
      </w:pPr>
      <w:rPr>
        <w:rFonts w:ascii="Courier New" w:hAnsi="Courier New" w:hint="default"/>
      </w:rPr>
    </w:lvl>
    <w:lvl w:ilvl="8" w:tplc="1068BB1A">
      <w:start w:val="1"/>
      <w:numFmt w:val="bullet"/>
      <w:lvlText w:val=""/>
      <w:lvlJc w:val="left"/>
      <w:pPr>
        <w:ind w:left="6480" w:hanging="360"/>
      </w:pPr>
      <w:rPr>
        <w:rFonts w:ascii="Wingdings" w:hAnsi="Wingdings" w:hint="default"/>
      </w:rPr>
    </w:lvl>
  </w:abstractNum>
  <w:abstractNum w:abstractNumId="29" w15:restartNumberingAfterBreak="0">
    <w:nsid w:val="5E9C4019"/>
    <w:multiLevelType w:val="hybridMultilevel"/>
    <w:tmpl w:val="8BDE3F02"/>
    <w:lvl w:ilvl="0" w:tplc="27E00C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2"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744F83"/>
    <w:multiLevelType w:val="hybridMultilevel"/>
    <w:tmpl w:val="F6D4E97C"/>
    <w:lvl w:ilvl="0" w:tplc="C1182712">
      <w:start w:val="1"/>
      <w:numFmt w:val="bullet"/>
      <w:lvlText w:val=""/>
      <w:lvlJc w:val="left"/>
      <w:pPr>
        <w:ind w:left="720" w:hanging="360"/>
      </w:pPr>
      <w:rPr>
        <w:rFonts w:ascii="Symbol" w:hAnsi="Symbol" w:hint="default"/>
        <w:color w:val="auto"/>
      </w:rPr>
    </w:lvl>
    <w:lvl w:ilvl="1" w:tplc="68A6181A">
      <w:start w:val="1"/>
      <w:numFmt w:val="bullet"/>
      <w:lvlText w:val=""/>
      <w:lvlJc w:val="left"/>
      <w:pPr>
        <w:tabs>
          <w:tab w:val="num" w:pos="851"/>
        </w:tabs>
        <w:ind w:left="851" w:hanging="284"/>
      </w:pPr>
      <w:rPr>
        <w:rFonts w:ascii="Symbol" w:hAnsi="Symbol" w:hint="default"/>
        <w:color w:val="auto"/>
      </w:rPr>
    </w:lvl>
    <w:lvl w:ilvl="2" w:tplc="F112D37A">
      <w:start w:val="1"/>
      <w:numFmt w:val="none"/>
      <w:lvlText w:val=""/>
      <w:lvlJc w:val="left"/>
      <w:pPr>
        <w:ind w:left="1080" w:hanging="360"/>
      </w:pPr>
      <w:rPr>
        <w:rFonts w:hint="default"/>
      </w:rPr>
    </w:lvl>
    <w:lvl w:ilvl="3" w:tplc="8C448588">
      <w:start w:val="1"/>
      <w:numFmt w:val="none"/>
      <w:lvlText w:val=""/>
      <w:lvlJc w:val="left"/>
      <w:pPr>
        <w:ind w:left="1440" w:hanging="360"/>
      </w:pPr>
      <w:rPr>
        <w:rFonts w:hint="default"/>
      </w:rPr>
    </w:lvl>
    <w:lvl w:ilvl="4" w:tplc="3D9E3A52">
      <w:start w:val="1"/>
      <w:numFmt w:val="none"/>
      <w:lvlText w:val=""/>
      <w:lvlJc w:val="left"/>
      <w:pPr>
        <w:ind w:left="1800" w:hanging="360"/>
      </w:pPr>
      <w:rPr>
        <w:rFonts w:hint="default"/>
      </w:rPr>
    </w:lvl>
    <w:lvl w:ilvl="5" w:tplc="ABE63B24">
      <w:start w:val="1"/>
      <w:numFmt w:val="none"/>
      <w:lvlText w:val=""/>
      <w:lvlJc w:val="left"/>
      <w:pPr>
        <w:ind w:left="2160" w:hanging="360"/>
      </w:pPr>
      <w:rPr>
        <w:rFonts w:hint="default"/>
      </w:rPr>
    </w:lvl>
    <w:lvl w:ilvl="6" w:tplc="46B6051A">
      <w:start w:val="1"/>
      <w:numFmt w:val="none"/>
      <w:lvlText w:val=""/>
      <w:lvlJc w:val="left"/>
      <w:pPr>
        <w:ind w:left="2520" w:hanging="360"/>
      </w:pPr>
      <w:rPr>
        <w:rFonts w:hint="default"/>
      </w:rPr>
    </w:lvl>
    <w:lvl w:ilvl="7" w:tplc="FF70348A">
      <w:start w:val="1"/>
      <w:numFmt w:val="none"/>
      <w:lvlText w:val=""/>
      <w:lvlJc w:val="left"/>
      <w:pPr>
        <w:ind w:left="2880" w:hanging="360"/>
      </w:pPr>
      <w:rPr>
        <w:rFonts w:hint="default"/>
      </w:rPr>
    </w:lvl>
    <w:lvl w:ilvl="8" w:tplc="09D22D6E">
      <w:start w:val="1"/>
      <w:numFmt w:val="none"/>
      <w:lvlText w:val=""/>
      <w:lvlJc w:val="left"/>
      <w:pPr>
        <w:ind w:left="3240" w:hanging="360"/>
      </w:pPr>
      <w:rPr>
        <w:rFonts w:hint="default"/>
      </w:rPr>
    </w:lvl>
  </w:abstractNum>
  <w:abstractNum w:abstractNumId="36" w15:restartNumberingAfterBreak="0">
    <w:nsid w:val="66BC7DC8"/>
    <w:multiLevelType w:val="hybridMultilevel"/>
    <w:tmpl w:val="7C7AC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8"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43"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28"/>
  </w:num>
  <w:num w:numId="2">
    <w:abstractNumId w:val="13"/>
  </w:num>
  <w:num w:numId="3">
    <w:abstractNumId w:val="37"/>
  </w:num>
  <w:num w:numId="4">
    <w:abstractNumId w:val="12"/>
  </w:num>
  <w:num w:numId="5">
    <w:abstractNumId w:val="41"/>
  </w:num>
  <w:num w:numId="6">
    <w:abstractNumId w:val="18"/>
  </w:num>
  <w:num w:numId="7">
    <w:abstractNumId w:val="7"/>
  </w:num>
  <w:num w:numId="8">
    <w:abstractNumId w:val="40"/>
  </w:num>
  <w:num w:numId="9">
    <w:abstractNumId w:val="5"/>
  </w:num>
  <w:num w:numId="10">
    <w:abstractNumId w:val="0"/>
  </w:num>
  <w:num w:numId="11">
    <w:abstractNumId w:val="7"/>
  </w:num>
  <w:num w:numId="12">
    <w:abstractNumId w:val="11"/>
  </w:num>
  <w:num w:numId="13">
    <w:abstractNumId w:val="1"/>
  </w:num>
  <w:num w:numId="14">
    <w:abstractNumId w:val="35"/>
  </w:num>
  <w:num w:numId="15">
    <w:abstractNumId w:val="8"/>
  </w:num>
  <w:num w:numId="16">
    <w:abstractNumId w:val="6"/>
  </w:num>
  <w:num w:numId="17">
    <w:abstractNumId w:val="17"/>
  </w:num>
  <w:num w:numId="18">
    <w:abstractNumId w:val="43"/>
  </w:num>
  <w:num w:numId="19">
    <w:abstractNumId w:val="9"/>
  </w:num>
  <w:num w:numId="20">
    <w:abstractNumId w:val="14"/>
  </w:num>
  <w:num w:numId="21">
    <w:abstractNumId w:val="30"/>
  </w:num>
  <w:num w:numId="22">
    <w:abstractNumId w:val="15"/>
  </w:num>
  <w:num w:numId="23">
    <w:abstractNumId w:val="3"/>
  </w:num>
  <w:num w:numId="24">
    <w:abstractNumId w:val="20"/>
  </w:num>
  <w:num w:numId="25">
    <w:abstractNumId w:val="33"/>
  </w:num>
  <w:num w:numId="26">
    <w:abstractNumId w:val="34"/>
  </w:num>
  <w:num w:numId="27">
    <w:abstractNumId w:val="4"/>
  </w:num>
  <w:num w:numId="28">
    <w:abstractNumId w:val="2"/>
  </w:num>
  <w:num w:numId="29">
    <w:abstractNumId w:val="26"/>
  </w:num>
  <w:num w:numId="30">
    <w:abstractNumId w:val="25"/>
  </w:num>
  <w:num w:numId="31">
    <w:abstractNumId w:val="21"/>
  </w:num>
  <w:num w:numId="32">
    <w:abstractNumId w:val="24"/>
  </w:num>
  <w:num w:numId="33">
    <w:abstractNumId w:val="22"/>
  </w:num>
  <w:num w:numId="34">
    <w:abstractNumId w:val="27"/>
  </w:num>
  <w:num w:numId="35">
    <w:abstractNumId w:val="10"/>
  </w:num>
  <w:num w:numId="36">
    <w:abstractNumId w:val="39"/>
  </w:num>
  <w:num w:numId="37">
    <w:abstractNumId w:val="44"/>
  </w:num>
  <w:num w:numId="38">
    <w:abstractNumId w:val="31"/>
  </w:num>
  <w:num w:numId="39">
    <w:abstractNumId w:val="42"/>
  </w:num>
  <w:num w:numId="40">
    <w:abstractNumId w:val="32"/>
  </w:num>
  <w:num w:numId="41">
    <w:abstractNumId w:val="38"/>
  </w:num>
  <w:num w:numId="42">
    <w:abstractNumId w:val="40"/>
  </w:num>
  <w:num w:numId="43">
    <w:abstractNumId w:val="40"/>
  </w:num>
  <w:num w:numId="44">
    <w:abstractNumId w:val="16"/>
  </w:num>
  <w:num w:numId="45">
    <w:abstractNumId w:val="19"/>
  </w:num>
  <w:num w:numId="46">
    <w:abstractNumId w:val="36"/>
  </w:num>
  <w:num w:numId="47">
    <w:abstractNumId w:val="23"/>
  </w:num>
  <w:num w:numId="48">
    <w:abstractNumId w:val="29"/>
  </w:num>
  <w:num w:numId="49">
    <w:abstractNumId w:val="4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4D4468"/>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1A16"/>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2F3"/>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510"/>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54"/>
    <w:rsid w:val="00014ED3"/>
    <w:rsid w:val="00014FE9"/>
    <w:rsid w:val="00015191"/>
    <w:rsid w:val="00015344"/>
    <w:rsid w:val="00015351"/>
    <w:rsid w:val="000156FE"/>
    <w:rsid w:val="000158BE"/>
    <w:rsid w:val="00015E82"/>
    <w:rsid w:val="00015EC1"/>
    <w:rsid w:val="00015FC6"/>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AD0"/>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4C7"/>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88B"/>
    <w:rsid w:val="000559B8"/>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0EC2"/>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DEA"/>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04B"/>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40B"/>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AAE"/>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07"/>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281"/>
    <w:rsid w:val="000A53B4"/>
    <w:rsid w:val="000A54BC"/>
    <w:rsid w:val="000A5B1E"/>
    <w:rsid w:val="000A5D47"/>
    <w:rsid w:val="000A5DE5"/>
    <w:rsid w:val="000A5E40"/>
    <w:rsid w:val="000A5F5D"/>
    <w:rsid w:val="000A6218"/>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81"/>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6A5"/>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4E2A"/>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BDD"/>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CB1"/>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988"/>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BBF"/>
    <w:rsid w:val="00110C9F"/>
    <w:rsid w:val="00110D22"/>
    <w:rsid w:val="00110E15"/>
    <w:rsid w:val="00110E1C"/>
    <w:rsid w:val="00110E50"/>
    <w:rsid w:val="00110ED3"/>
    <w:rsid w:val="00110F1D"/>
    <w:rsid w:val="00111082"/>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6FAE"/>
    <w:rsid w:val="001175A2"/>
    <w:rsid w:val="001175D3"/>
    <w:rsid w:val="00117627"/>
    <w:rsid w:val="00117861"/>
    <w:rsid w:val="001178EE"/>
    <w:rsid w:val="00117970"/>
    <w:rsid w:val="001179AE"/>
    <w:rsid w:val="001179D9"/>
    <w:rsid w:val="001179E3"/>
    <w:rsid w:val="00117BE6"/>
    <w:rsid w:val="00117E59"/>
    <w:rsid w:val="00117EF6"/>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B8F"/>
    <w:rsid w:val="00127FCA"/>
    <w:rsid w:val="00130028"/>
    <w:rsid w:val="00130112"/>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0F"/>
    <w:rsid w:val="001328ED"/>
    <w:rsid w:val="00132B0B"/>
    <w:rsid w:val="00132C22"/>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48"/>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B55"/>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4C"/>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EAD"/>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33"/>
    <w:rsid w:val="00163E73"/>
    <w:rsid w:val="00163EF5"/>
    <w:rsid w:val="001640B5"/>
    <w:rsid w:val="00164344"/>
    <w:rsid w:val="0016465F"/>
    <w:rsid w:val="001648BA"/>
    <w:rsid w:val="0016493D"/>
    <w:rsid w:val="00164979"/>
    <w:rsid w:val="00164996"/>
    <w:rsid w:val="001649D6"/>
    <w:rsid w:val="001649E6"/>
    <w:rsid w:val="00164C5B"/>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5E28"/>
    <w:rsid w:val="0016617B"/>
    <w:rsid w:val="001661D4"/>
    <w:rsid w:val="00166388"/>
    <w:rsid w:val="001663FA"/>
    <w:rsid w:val="00166603"/>
    <w:rsid w:val="001667C6"/>
    <w:rsid w:val="0016688A"/>
    <w:rsid w:val="00166AA6"/>
    <w:rsid w:val="00166C01"/>
    <w:rsid w:val="00166C98"/>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225"/>
    <w:rsid w:val="00175388"/>
    <w:rsid w:val="0017562D"/>
    <w:rsid w:val="001758D1"/>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5D4"/>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6F8"/>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23C"/>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E03"/>
    <w:rsid w:val="001C0F88"/>
    <w:rsid w:val="001C142B"/>
    <w:rsid w:val="001C1577"/>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1C4"/>
    <w:rsid w:val="001D75CD"/>
    <w:rsid w:val="001D76A8"/>
    <w:rsid w:val="001D77AB"/>
    <w:rsid w:val="001D78BD"/>
    <w:rsid w:val="001D7E77"/>
    <w:rsid w:val="001D7FAD"/>
    <w:rsid w:val="001E0018"/>
    <w:rsid w:val="001E007D"/>
    <w:rsid w:val="001E08FE"/>
    <w:rsid w:val="001E0980"/>
    <w:rsid w:val="001E09D4"/>
    <w:rsid w:val="001E0A55"/>
    <w:rsid w:val="001E0B35"/>
    <w:rsid w:val="001E0CD4"/>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819"/>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1C6B"/>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3F65"/>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73"/>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5D62"/>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A98"/>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BCD"/>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975"/>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DD7"/>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D6E"/>
    <w:rsid w:val="00276E3E"/>
    <w:rsid w:val="00276E77"/>
    <w:rsid w:val="00277240"/>
    <w:rsid w:val="002772D8"/>
    <w:rsid w:val="002774E0"/>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2FA9"/>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76B"/>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6D"/>
    <w:rsid w:val="002A25DB"/>
    <w:rsid w:val="002A2611"/>
    <w:rsid w:val="002A261B"/>
    <w:rsid w:val="002A2DEF"/>
    <w:rsid w:val="002A3105"/>
    <w:rsid w:val="002A3323"/>
    <w:rsid w:val="002A3443"/>
    <w:rsid w:val="002A3629"/>
    <w:rsid w:val="002A38E6"/>
    <w:rsid w:val="002A399B"/>
    <w:rsid w:val="002A3A3F"/>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326"/>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AD8"/>
    <w:rsid w:val="002D4BC7"/>
    <w:rsid w:val="002D509C"/>
    <w:rsid w:val="002D5187"/>
    <w:rsid w:val="002D51A6"/>
    <w:rsid w:val="002D51BB"/>
    <w:rsid w:val="002D583F"/>
    <w:rsid w:val="002D58A3"/>
    <w:rsid w:val="002D58AE"/>
    <w:rsid w:val="002D59E4"/>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362"/>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179"/>
    <w:rsid w:val="002F7566"/>
    <w:rsid w:val="002F756D"/>
    <w:rsid w:val="002F7661"/>
    <w:rsid w:val="002F7845"/>
    <w:rsid w:val="002F78C5"/>
    <w:rsid w:val="002F794B"/>
    <w:rsid w:val="002F79BB"/>
    <w:rsid w:val="002F7A0E"/>
    <w:rsid w:val="002F7A19"/>
    <w:rsid w:val="002F7B05"/>
    <w:rsid w:val="002F7F46"/>
    <w:rsid w:val="0030002A"/>
    <w:rsid w:val="003000D7"/>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5A1"/>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7F"/>
    <w:rsid w:val="003108FB"/>
    <w:rsid w:val="003109A4"/>
    <w:rsid w:val="00310A50"/>
    <w:rsid w:val="00310B2F"/>
    <w:rsid w:val="00310D78"/>
    <w:rsid w:val="00311012"/>
    <w:rsid w:val="003111F0"/>
    <w:rsid w:val="00311352"/>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514"/>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A07"/>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95E"/>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2D8"/>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2B9"/>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3A36"/>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0DE"/>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356"/>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3A2"/>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12B"/>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A7FC6"/>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AD8"/>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A2A"/>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49F"/>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63D"/>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C8A"/>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07"/>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61"/>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7CE"/>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9A5"/>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2E8"/>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AD2"/>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ED0"/>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3"/>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723"/>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EA9"/>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5DB"/>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4D5"/>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9B78E"/>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3B1"/>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67D"/>
    <w:rsid w:val="004C07C5"/>
    <w:rsid w:val="004C07CB"/>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DC"/>
    <w:rsid w:val="004C72E1"/>
    <w:rsid w:val="004C73B7"/>
    <w:rsid w:val="004C750C"/>
    <w:rsid w:val="004C7538"/>
    <w:rsid w:val="004C7607"/>
    <w:rsid w:val="004C76A9"/>
    <w:rsid w:val="004C7753"/>
    <w:rsid w:val="004C77F9"/>
    <w:rsid w:val="004C7A5F"/>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A45"/>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57"/>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0D1"/>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45F"/>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0CB"/>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8D1"/>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6"/>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0E"/>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33E"/>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0F27"/>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97F"/>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0F4"/>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639"/>
    <w:rsid w:val="005808E1"/>
    <w:rsid w:val="0058096B"/>
    <w:rsid w:val="00580A80"/>
    <w:rsid w:val="00580B37"/>
    <w:rsid w:val="00580C05"/>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EBE"/>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129"/>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612"/>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E8A"/>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B92"/>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6B"/>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1F1"/>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C6C"/>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B8"/>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2D8"/>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498"/>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10"/>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8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1A1"/>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3F1B"/>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726"/>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B38"/>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0785"/>
    <w:rsid w:val="0066123E"/>
    <w:rsid w:val="00661251"/>
    <w:rsid w:val="00661430"/>
    <w:rsid w:val="00661676"/>
    <w:rsid w:val="00661828"/>
    <w:rsid w:val="006618F2"/>
    <w:rsid w:val="0066199F"/>
    <w:rsid w:val="006619EE"/>
    <w:rsid w:val="00661E1E"/>
    <w:rsid w:val="00661E4D"/>
    <w:rsid w:val="006620BE"/>
    <w:rsid w:val="0066212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25C"/>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72B"/>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227"/>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0DB"/>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31"/>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850"/>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313"/>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4FB7"/>
    <w:rsid w:val="006E53AD"/>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4C6"/>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1B"/>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0E"/>
    <w:rsid w:val="00711113"/>
    <w:rsid w:val="0071116C"/>
    <w:rsid w:val="0071132D"/>
    <w:rsid w:val="00711435"/>
    <w:rsid w:val="00711457"/>
    <w:rsid w:val="0071158B"/>
    <w:rsid w:val="007115E6"/>
    <w:rsid w:val="0071167E"/>
    <w:rsid w:val="00711682"/>
    <w:rsid w:val="00711761"/>
    <w:rsid w:val="00711762"/>
    <w:rsid w:val="00711875"/>
    <w:rsid w:val="00711C31"/>
    <w:rsid w:val="00711D1F"/>
    <w:rsid w:val="00711DE3"/>
    <w:rsid w:val="00711E52"/>
    <w:rsid w:val="007120C8"/>
    <w:rsid w:val="007121C8"/>
    <w:rsid w:val="007122B7"/>
    <w:rsid w:val="00712701"/>
    <w:rsid w:val="007127E5"/>
    <w:rsid w:val="00712857"/>
    <w:rsid w:val="00712A54"/>
    <w:rsid w:val="00712B2C"/>
    <w:rsid w:val="00712B48"/>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DF4"/>
    <w:rsid w:val="00725FFB"/>
    <w:rsid w:val="00726004"/>
    <w:rsid w:val="007260DC"/>
    <w:rsid w:val="00726116"/>
    <w:rsid w:val="0072637C"/>
    <w:rsid w:val="007263FB"/>
    <w:rsid w:val="00726485"/>
    <w:rsid w:val="007264C6"/>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26A"/>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6E1"/>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5B8"/>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3EF"/>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46E"/>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DF5"/>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7D8"/>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0E8"/>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50"/>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4"/>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A3"/>
    <w:rsid w:val="007D2EE8"/>
    <w:rsid w:val="007D301A"/>
    <w:rsid w:val="007D3274"/>
    <w:rsid w:val="007D3463"/>
    <w:rsid w:val="007D389F"/>
    <w:rsid w:val="007D3931"/>
    <w:rsid w:val="007D3934"/>
    <w:rsid w:val="007D3B8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29A"/>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1EC5"/>
    <w:rsid w:val="0080204C"/>
    <w:rsid w:val="00802101"/>
    <w:rsid w:val="0080210D"/>
    <w:rsid w:val="0080211A"/>
    <w:rsid w:val="00802248"/>
    <w:rsid w:val="00802325"/>
    <w:rsid w:val="0080241C"/>
    <w:rsid w:val="00802501"/>
    <w:rsid w:val="00802546"/>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161"/>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478"/>
    <w:rsid w:val="00811661"/>
    <w:rsid w:val="008117F2"/>
    <w:rsid w:val="00811882"/>
    <w:rsid w:val="008118C0"/>
    <w:rsid w:val="00811B69"/>
    <w:rsid w:val="00812273"/>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729"/>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5D8"/>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2B8"/>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5FBB"/>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8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7A"/>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86"/>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B3B"/>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844"/>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69D"/>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D4A"/>
    <w:rsid w:val="008A7F58"/>
    <w:rsid w:val="008A7FB2"/>
    <w:rsid w:val="008B03B1"/>
    <w:rsid w:val="008B03F2"/>
    <w:rsid w:val="008B05B4"/>
    <w:rsid w:val="008B05CE"/>
    <w:rsid w:val="008B0698"/>
    <w:rsid w:val="008B06CA"/>
    <w:rsid w:val="008B09A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8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B9"/>
    <w:rsid w:val="008B76D5"/>
    <w:rsid w:val="008B785A"/>
    <w:rsid w:val="008B79D0"/>
    <w:rsid w:val="008B7A70"/>
    <w:rsid w:val="008B7AF1"/>
    <w:rsid w:val="008B7C67"/>
    <w:rsid w:val="008C0210"/>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3DE"/>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C4"/>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8BC"/>
    <w:rsid w:val="009029E1"/>
    <w:rsid w:val="00902A65"/>
    <w:rsid w:val="00902A81"/>
    <w:rsid w:val="00902A8C"/>
    <w:rsid w:val="00902BF9"/>
    <w:rsid w:val="00902F2E"/>
    <w:rsid w:val="009031FD"/>
    <w:rsid w:val="0090332A"/>
    <w:rsid w:val="00903716"/>
    <w:rsid w:val="00903D81"/>
    <w:rsid w:val="00903EF7"/>
    <w:rsid w:val="00904079"/>
    <w:rsid w:val="009041CB"/>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A37"/>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376"/>
    <w:rsid w:val="0092345A"/>
    <w:rsid w:val="009235E4"/>
    <w:rsid w:val="00923728"/>
    <w:rsid w:val="009238C0"/>
    <w:rsid w:val="009239F1"/>
    <w:rsid w:val="00923B71"/>
    <w:rsid w:val="00923C9F"/>
    <w:rsid w:val="009241EC"/>
    <w:rsid w:val="009246F7"/>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B88"/>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6DCD"/>
    <w:rsid w:val="0094705E"/>
    <w:rsid w:val="009470A6"/>
    <w:rsid w:val="00947493"/>
    <w:rsid w:val="009474D4"/>
    <w:rsid w:val="009474E1"/>
    <w:rsid w:val="0094752A"/>
    <w:rsid w:val="0094783C"/>
    <w:rsid w:val="00947C4A"/>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016"/>
    <w:rsid w:val="0095312A"/>
    <w:rsid w:val="00953288"/>
    <w:rsid w:val="00953405"/>
    <w:rsid w:val="009536B8"/>
    <w:rsid w:val="009537DD"/>
    <w:rsid w:val="00953968"/>
    <w:rsid w:val="0095398D"/>
    <w:rsid w:val="00953B05"/>
    <w:rsid w:val="00953DA8"/>
    <w:rsid w:val="009541C4"/>
    <w:rsid w:val="009542CF"/>
    <w:rsid w:val="00954523"/>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989"/>
    <w:rsid w:val="00961BBB"/>
    <w:rsid w:val="00961BC8"/>
    <w:rsid w:val="00961C00"/>
    <w:rsid w:val="00961C73"/>
    <w:rsid w:val="00961EB7"/>
    <w:rsid w:val="009620DA"/>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1B5"/>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2B"/>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3C6"/>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44"/>
    <w:rsid w:val="009D08B5"/>
    <w:rsid w:val="009D0A3D"/>
    <w:rsid w:val="009D0B78"/>
    <w:rsid w:val="009D0BB0"/>
    <w:rsid w:val="009D0C63"/>
    <w:rsid w:val="009D0C7A"/>
    <w:rsid w:val="009D0C7C"/>
    <w:rsid w:val="009D0C97"/>
    <w:rsid w:val="009D120D"/>
    <w:rsid w:val="009D145D"/>
    <w:rsid w:val="009D1527"/>
    <w:rsid w:val="009D15D1"/>
    <w:rsid w:val="009D1663"/>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4DB"/>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1E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A8B"/>
    <w:rsid w:val="009F4A9A"/>
    <w:rsid w:val="009F4BA5"/>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BED"/>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234"/>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3E"/>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C92"/>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7FA"/>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A64"/>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0FF"/>
    <w:rsid w:val="00A7613B"/>
    <w:rsid w:val="00A761FD"/>
    <w:rsid w:val="00A76429"/>
    <w:rsid w:val="00A764CE"/>
    <w:rsid w:val="00A76891"/>
    <w:rsid w:val="00A768C7"/>
    <w:rsid w:val="00A7693A"/>
    <w:rsid w:val="00A76AA2"/>
    <w:rsid w:val="00A76C6E"/>
    <w:rsid w:val="00A76CA3"/>
    <w:rsid w:val="00A76CC7"/>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B03"/>
    <w:rsid w:val="00A82C27"/>
    <w:rsid w:val="00A82D88"/>
    <w:rsid w:val="00A82F3B"/>
    <w:rsid w:val="00A830C8"/>
    <w:rsid w:val="00A8333D"/>
    <w:rsid w:val="00A8357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BE7"/>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EF0"/>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50"/>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6C1"/>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90"/>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75"/>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E1A"/>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11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4AC"/>
    <w:rsid w:val="00AF352F"/>
    <w:rsid w:val="00AF37BE"/>
    <w:rsid w:val="00AF3CBD"/>
    <w:rsid w:val="00AF3D00"/>
    <w:rsid w:val="00AF3D81"/>
    <w:rsid w:val="00AF404E"/>
    <w:rsid w:val="00AF4086"/>
    <w:rsid w:val="00AF41A2"/>
    <w:rsid w:val="00AF426A"/>
    <w:rsid w:val="00AF468B"/>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2B4"/>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1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333"/>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CDC"/>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19C"/>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031"/>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1F2E"/>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6F7"/>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5FCF"/>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1C9"/>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0FC"/>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7D"/>
    <w:rsid w:val="00B84D97"/>
    <w:rsid w:val="00B84EAD"/>
    <w:rsid w:val="00B850F0"/>
    <w:rsid w:val="00B85123"/>
    <w:rsid w:val="00B852EB"/>
    <w:rsid w:val="00B8566F"/>
    <w:rsid w:val="00B859DE"/>
    <w:rsid w:val="00B85A40"/>
    <w:rsid w:val="00B85BB5"/>
    <w:rsid w:val="00B85BF3"/>
    <w:rsid w:val="00B85C96"/>
    <w:rsid w:val="00B85EEF"/>
    <w:rsid w:val="00B8618D"/>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3BB"/>
    <w:rsid w:val="00B92582"/>
    <w:rsid w:val="00B925E7"/>
    <w:rsid w:val="00B9264B"/>
    <w:rsid w:val="00B9278B"/>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9D8"/>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2C9"/>
    <w:rsid w:val="00BA7334"/>
    <w:rsid w:val="00BA7352"/>
    <w:rsid w:val="00BA7525"/>
    <w:rsid w:val="00BA7576"/>
    <w:rsid w:val="00BA7849"/>
    <w:rsid w:val="00BA78DF"/>
    <w:rsid w:val="00BA7A38"/>
    <w:rsid w:val="00BA7D79"/>
    <w:rsid w:val="00BA7EBC"/>
    <w:rsid w:val="00BA7FF8"/>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C46"/>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8FF"/>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3F69"/>
    <w:rsid w:val="00BC4032"/>
    <w:rsid w:val="00BC428A"/>
    <w:rsid w:val="00BC46FA"/>
    <w:rsid w:val="00BC4744"/>
    <w:rsid w:val="00BC4918"/>
    <w:rsid w:val="00BC49F4"/>
    <w:rsid w:val="00BC4AAB"/>
    <w:rsid w:val="00BC4ABF"/>
    <w:rsid w:val="00BC4AC3"/>
    <w:rsid w:val="00BC4AD7"/>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4C"/>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48A"/>
    <w:rsid w:val="00BD467E"/>
    <w:rsid w:val="00BD46B6"/>
    <w:rsid w:val="00BD48C9"/>
    <w:rsid w:val="00BD48E4"/>
    <w:rsid w:val="00BD4C03"/>
    <w:rsid w:val="00BD4EB0"/>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7E7"/>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858"/>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A20"/>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43"/>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EDF"/>
    <w:rsid w:val="00C30FE0"/>
    <w:rsid w:val="00C31009"/>
    <w:rsid w:val="00C3104F"/>
    <w:rsid w:val="00C310EB"/>
    <w:rsid w:val="00C31204"/>
    <w:rsid w:val="00C3166A"/>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40D"/>
    <w:rsid w:val="00C34751"/>
    <w:rsid w:val="00C348D0"/>
    <w:rsid w:val="00C34941"/>
    <w:rsid w:val="00C34A79"/>
    <w:rsid w:val="00C34C82"/>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B1C"/>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C70"/>
    <w:rsid w:val="00C50D2A"/>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7E0"/>
    <w:rsid w:val="00C5784B"/>
    <w:rsid w:val="00C57850"/>
    <w:rsid w:val="00C57892"/>
    <w:rsid w:val="00C57987"/>
    <w:rsid w:val="00C60081"/>
    <w:rsid w:val="00C602DF"/>
    <w:rsid w:val="00C6035A"/>
    <w:rsid w:val="00C604F3"/>
    <w:rsid w:val="00C607F8"/>
    <w:rsid w:val="00C60C47"/>
    <w:rsid w:val="00C60DA1"/>
    <w:rsid w:val="00C60EE6"/>
    <w:rsid w:val="00C610FA"/>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B71"/>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94D"/>
    <w:rsid w:val="00C67EAF"/>
    <w:rsid w:val="00C70411"/>
    <w:rsid w:val="00C7048E"/>
    <w:rsid w:val="00C70492"/>
    <w:rsid w:val="00C7050B"/>
    <w:rsid w:val="00C706EA"/>
    <w:rsid w:val="00C70887"/>
    <w:rsid w:val="00C708E6"/>
    <w:rsid w:val="00C70918"/>
    <w:rsid w:val="00C70AE6"/>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C45"/>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6C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4E2"/>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D3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7FE"/>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6C"/>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1F9"/>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D92"/>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7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A1"/>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1DC"/>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2CB"/>
    <w:rsid w:val="00CE749C"/>
    <w:rsid w:val="00CE74A0"/>
    <w:rsid w:val="00CE7650"/>
    <w:rsid w:val="00CE78FD"/>
    <w:rsid w:val="00CE7976"/>
    <w:rsid w:val="00CE7A37"/>
    <w:rsid w:val="00CE7B88"/>
    <w:rsid w:val="00CE7C09"/>
    <w:rsid w:val="00CF0060"/>
    <w:rsid w:val="00CF00D4"/>
    <w:rsid w:val="00CF0141"/>
    <w:rsid w:val="00CF0254"/>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CF7DDE"/>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82"/>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734"/>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6A9"/>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393"/>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27F7D"/>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23"/>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29"/>
    <w:rsid w:val="00D42B83"/>
    <w:rsid w:val="00D42C09"/>
    <w:rsid w:val="00D42D37"/>
    <w:rsid w:val="00D42E24"/>
    <w:rsid w:val="00D42F1A"/>
    <w:rsid w:val="00D430D1"/>
    <w:rsid w:val="00D430EE"/>
    <w:rsid w:val="00D435C3"/>
    <w:rsid w:val="00D43702"/>
    <w:rsid w:val="00D4374C"/>
    <w:rsid w:val="00D43833"/>
    <w:rsid w:val="00D43B90"/>
    <w:rsid w:val="00D43BBF"/>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396"/>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07"/>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1A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800"/>
    <w:rsid w:val="00D67880"/>
    <w:rsid w:val="00D679DE"/>
    <w:rsid w:val="00D67B32"/>
    <w:rsid w:val="00D67C9A"/>
    <w:rsid w:val="00D67E27"/>
    <w:rsid w:val="00D67E89"/>
    <w:rsid w:val="00D70072"/>
    <w:rsid w:val="00D701A5"/>
    <w:rsid w:val="00D7023E"/>
    <w:rsid w:val="00D7025C"/>
    <w:rsid w:val="00D702F8"/>
    <w:rsid w:val="00D703A4"/>
    <w:rsid w:val="00D70455"/>
    <w:rsid w:val="00D70681"/>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5C4"/>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A7"/>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7CA"/>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09"/>
    <w:rsid w:val="00DB1DA4"/>
    <w:rsid w:val="00DB2059"/>
    <w:rsid w:val="00DB2075"/>
    <w:rsid w:val="00DB228D"/>
    <w:rsid w:val="00DB2433"/>
    <w:rsid w:val="00DB257A"/>
    <w:rsid w:val="00DB25E8"/>
    <w:rsid w:val="00DB265A"/>
    <w:rsid w:val="00DB265D"/>
    <w:rsid w:val="00DB2913"/>
    <w:rsid w:val="00DB2AA7"/>
    <w:rsid w:val="00DB2B22"/>
    <w:rsid w:val="00DB3301"/>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D81"/>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6FB"/>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4FF8"/>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509"/>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561"/>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0F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DF5"/>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317"/>
    <w:rsid w:val="00E52761"/>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97C"/>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1EC"/>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3D"/>
    <w:rsid w:val="00E7108A"/>
    <w:rsid w:val="00E71170"/>
    <w:rsid w:val="00E71659"/>
    <w:rsid w:val="00E71AE2"/>
    <w:rsid w:val="00E71C49"/>
    <w:rsid w:val="00E71F97"/>
    <w:rsid w:val="00E72312"/>
    <w:rsid w:val="00E72313"/>
    <w:rsid w:val="00E72592"/>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7BB"/>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DDA"/>
    <w:rsid w:val="00EB4EEE"/>
    <w:rsid w:val="00EB50C3"/>
    <w:rsid w:val="00EB51F0"/>
    <w:rsid w:val="00EB54EA"/>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2"/>
    <w:rsid w:val="00EC02A6"/>
    <w:rsid w:val="00EC036F"/>
    <w:rsid w:val="00EC0471"/>
    <w:rsid w:val="00EC05AB"/>
    <w:rsid w:val="00EC09EB"/>
    <w:rsid w:val="00EC0BE6"/>
    <w:rsid w:val="00EC0DC9"/>
    <w:rsid w:val="00EC0E5E"/>
    <w:rsid w:val="00EC0EF6"/>
    <w:rsid w:val="00EC133E"/>
    <w:rsid w:val="00EC1429"/>
    <w:rsid w:val="00EC16D3"/>
    <w:rsid w:val="00EC170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5FE5"/>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1F5"/>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3A4"/>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8F"/>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12C"/>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9EB"/>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7D"/>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E3"/>
    <w:rsid w:val="00F364F8"/>
    <w:rsid w:val="00F36779"/>
    <w:rsid w:val="00F368DF"/>
    <w:rsid w:val="00F369D9"/>
    <w:rsid w:val="00F36A76"/>
    <w:rsid w:val="00F36AEC"/>
    <w:rsid w:val="00F36B35"/>
    <w:rsid w:val="00F36C76"/>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953"/>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C6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B28"/>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5C4"/>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7FC"/>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BA0"/>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769"/>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95"/>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B46"/>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2EF9"/>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EA9"/>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6E9D"/>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D1E"/>
    <w:rsid w:val="00FB1E22"/>
    <w:rsid w:val="00FB1EC3"/>
    <w:rsid w:val="00FB2098"/>
    <w:rsid w:val="00FB20C2"/>
    <w:rsid w:val="00FB2387"/>
    <w:rsid w:val="00FB23C4"/>
    <w:rsid w:val="00FB244A"/>
    <w:rsid w:val="00FB2456"/>
    <w:rsid w:val="00FB26B4"/>
    <w:rsid w:val="00FB2895"/>
    <w:rsid w:val="00FB2A62"/>
    <w:rsid w:val="00FB2BCA"/>
    <w:rsid w:val="00FB2D6A"/>
    <w:rsid w:val="00FB2E4A"/>
    <w:rsid w:val="00FB2FCA"/>
    <w:rsid w:val="00FB30F2"/>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3F88E9D"/>
    <w:rsid w:val="0817B80E"/>
    <w:rsid w:val="0905BF31"/>
    <w:rsid w:val="09F97184"/>
    <w:rsid w:val="0AE9C665"/>
    <w:rsid w:val="0D4CB415"/>
    <w:rsid w:val="10423575"/>
    <w:rsid w:val="114F7D43"/>
    <w:rsid w:val="11EB5B0C"/>
    <w:rsid w:val="11F688B3"/>
    <w:rsid w:val="138211F3"/>
    <w:rsid w:val="17D40B79"/>
    <w:rsid w:val="191952A6"/>
    <w:rsid w:val="1960DDE0"/>
    <w:rsid w:val="1E46B9BD"/>
    <w:rsid w:val="1FBB2545"/>
    <w:rsid w:val="1FE57496"/>
    <w:rsid w:val="213DFBD3"/>
    <w:rsid w:val="23A8FDD2"/>
    <w:rsid w:val="256F98D9"/>
    <w:rsid w:val="2842E70C"/>
    <w:rsid w:val="2C618DB6"/>
    <w:rsid w:val="2C9FC0E0"/>
    <w:rsid w:val="3005B227"/>
    <w:rsid w:val="3026CF69"/>
    <w:rsid w:val="317348CC"/>
    <w:rsid w:val="34999F35"/>
    <w:rsid w:val="35CAA73B"/>
    <w:rsid w:val="35EF479F"/>
    <w:rsid w:val="3628F3CE"/>
    <w:rsid w:val="3802660B"/>
    <w:rsid w:val="38CDF563"/>
    <w:rsid w:val="3922C0DE"/>
    <w:rsid w:val="39A891A4"/>
    <w:rsid w:val="39F43C5F"/>
    <w:rsid w:val="39F8D2F7"/>
    <w:rsid w:val="3A1E64ED"/>
    <w:rsid w:val="3CC690A2"/>
    <w:rsid w:val="3E3CDD63"/>
    <w:rsid w:val="3EFCF03E"/>
    <w:rsid w:val="44485014"/>
    <w:rsid w:val="45EAFEEC"/>
    <w:rsid w:val="46E518FB"/>
    <w:rsid w:val="47B6FB9D"/>
    <w:rsid w:val="4810F767"/>
    <w:rsid w:val="485C51D4"/>
    <w:rsid w:val="4873A809"/>
    <w:rsid w:val="49E08251"/>
    <w:rsid w:val="4AB43E57"/>
    <w:rsid w:val="4B58BA57"/>
    <w:rsid w:val="4D1EC3AF"/>
    <w:rsid w:val="4D78D7CF"/>
    <w:rsid w:val="512CC769"/>
    <w:rsid w:val="52FA0771"/>
    <w:rsid w:val="54BDACDF"/>
    <w:rsid w:val="57B43866"/>
    <w:rsid w:val="5808EE4F"/>
    <w:rsid w:val="586623CB"/>
    <w:rsid w:val="595008C7"/>
    <w:rsid w:val="5DC390FB"/>
    <w:rsid w:val="5E5BC96D"/>
    <w:rsid w:val="5EBA5D21"/>
    <w:rsid w:val="60698414"/>
    <w:rsid w:val="60969F51"/>
    <w:rsid w:val="6165C075"/>
    <w:rsid w:val="6236AE26"/>
    <w:rsid w:val="6322D929"/>
    <w:rsid w:val="6385EB8B"/>
    <w:rsid w:val="64070552"/>
    <w:rsid w:val="65431716"/>
    <w:rsid w:val="65C8A375"/>
    <w:rsid w:val="66499246"/>
    <w:rsid w:val="6988689C"/>
    <w:rsid w:val="69B19799"/>
    <w:rsid w:val="6ECD77B8"/>
    <w:rsid w:val="6FAB5192"/>
    <w:rsid w:val="7844B55F"/>
    <w:rsid w:val="78B821FD"/>
    <w:rsid w:val="7A51ED8A"/>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514008C8"/>
  <w15:docId w15:val="{0AB1E4A7-C7C1-4347-86CB-98F627B0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lsdException w:name="Unresolved Mention" w:locked="0"/>
    <w:lsdException w:name="Smart Link"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7"/>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7"/>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7"/>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7"/>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7"/>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8"/>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2"/>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10"/>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2"/>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3"/>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3"/>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 w:type="paragraph" w:customStyle="1" w:styleId="Keywords">
    <w:name w:val="Keywords"/>
    <w:basedOn w:val="Normal"/>
    <w:link w:val="KeywordsChar"/>
    <w:rsid w:val="00621810"/>
    <w:pPr>
      <w:spacing w:before="240" w:line="360" w:lineRule="auto"/>
      <w:ind w:firstLine="230"/>
    </w:pPr>
    <w:rPr>
      <w:sz w:val="20"/>
      <w:szCs w:val="20"/>
    </w:rPr>
  </w:style>
  <w:style w:type="character" w:customStyle="1" w:styleId="KeywordsChar">
    <w:name w:val="Keywords Char"/>
    <w:basedOn w:val="DefaultParagraphFont"/>
    <w:link w:val="Keywords"/>
    <w:rsid w:val="00621810"/>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bioregionalassessments.gov.au/gba"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ata.gov.au/data/dataset/8fdc8e21-1b72-4211-bf2b-33ea61082d9f" TargetMode="External"/><Relationship Id="rId2" Type="http://schemas.openxmlformats.org/officeDocument/2006/relationships/customXml" Target="../customXml/item2.xml"/><Relationship Id="rId16" Type="http://schemas.openxmlformats.org/officeDocument/2006/relationships/hyperlink" Target="https://www.data.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2. STC edited. James Kear lead author</Notes0>
    <Metadata xmlns="f6b232a6-7847-4fcd-9f2f-4076cd779963">
      <Url xsi:nil="true"/>
      <Description xsi:nil="true"/>
    </Metadata>
    <_dlc_DocId xmlns="1ce706f3-5237-42b3-876d-cf68da5c0e0a">NN2TW47UTC5W-1349389608-7807</_dlc_DocId>
    <_dlc_DocIdUrl xmlns="1ce706f3-5237-42b3-876d-cf68da5c0e0a">
      <Url>https://csiroau.sharepoint.com/sites/GeologicalBio-regionalAssessment/_layouts/15/DocIdRedir.aspx?ID=NN2TW47UTC5W-1349389608-7807</Url>
      <Description>NN2TW47UTC5W-1349389608-7807</Description>
    </_dlc_DocIdUrl>
    <GBAregion xmlns="f6b232a6-7847-4fcd-9f2f-4076cd779963">COO</GBAreg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75781E82-D441-4C2F-B7EA-50DF8BDB6121}">
  <ds:schemaRefs>
    <ds:schemaRef ds:uri="http://schemas.microsoft.com/office/2006/metadata/properties"/>
    <ds:schemaRef ds:uri="http://schemas.microsoft.com/office/infopath/2007/PartnerControls"/>
    <ds:schemaRef ds:uri="f6b232a6-7847-4fcd-9f2f-4076cd779963"/>
    <ds:schemaRef ds:uri="1ce706f3-5237-42b3-876d-cf68da5c0e0a"/>
  </ds:schemaRefs>
</ds:datastoreItem>
</file>

<file path=customXml/itemProps2.xml><?xml version="1.0" encoding="utf-8"?>
<ds:datastoreItem xmlns:ds="http://schemas.openxmlformats.org/officeDocument/2006/customXml" ds:itemID="{99508C55-9B95-415C-AE5A-BD699BAC7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E2D91A-AD96-469A-B986-7264E5822473}">
  <ds:schemaRefs>
    <ds:schemaRef ds:uri="http://schemas.microsoft.com/sharepoint/events"/>
  </ds:schemaRefs>
</ds:datastoreItem>
</file>

<file path=customXml/itemProps4.xml><?xml version="1.0" encoding="utf-8"?>
<ds:datastoreItem xmlns:ds="http://schemas.openxmlformats.org/officeDocument/2006/customXml" ds:itemID="{4990126E-54BE-41DC-8C8C-55DF9B644335}">
  <ds:schemaRefs>
    <ds:schemaRef ds:uri="http://schemas.openxmlformats.org/officeDocument/2006/bibliography"/>
  </ds:schemaRefs>
</ds:datastoreItem>
</file>

<file path=customXml/itemProps5.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6.xml><?xml version="1.0" encoding="utf-8"?>
<ds:datastoreItem xmlns:ds="http://schemas.openxmlformats.org/officeDocument/2006/customXml" ds:itemID="{83F4E290-A68A-4591-B3CA-C8E366B5BD8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Cooper Stage 2 GBA report</vt:lpstr>
    </vt:vector>
  </TitlesOfParts>
  <Manager/>
  <Company>CSIRO</Company>
  <LinksUpToDate>false</LinksUpToDate>
  <CharactersWithSpaces>5393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2: Assessing hydraulic fracture risks to groundwater</dc:title>
  <dc:subject/>
  <dc:creator>Australian Government Bioregional Assessments</dc:creator>
  <cp:keywords/>
  <dc:description/>
  <cp:lastModifiedBy>Merrin, Linda (L&amp;W, Clayton)</cp:lastModifiedBy>
  <cp:revision>23</cp:revision>
  <cp:lastPrinted>2021-08-27T05:19:00Z</cp:lastPrinted>
  <dcterms:created xsi:type="dcterms:W3CDTF">2021-08-18T01:02:00Z</dcterms:created>
  <dcterms:modified xsi:type="dcterms:W3CDTF">2021-08-27T05:19:00Z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725b64a8-ad3c-4c46-8093-17f6698eeab7</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