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14BB2" w14:textId="292BF1C4" w:rsidR="0093545B" w:rsidRDefault="18191354" w:rsidP="4AB3FCEA">
      <w:pPr>
        <w:pStyle w:val="GBAProgramtitle"/>
        <w:jc w:val="right"/>
        <w:rPr>
          <w:rStyle w:val="Superscript"/>
          <w:vertAlign w:val="baseline"/>
        </w:rPr>
      </w:pPr>
      <w:r>
        <w:rPr>
          <w:noProof/>
        </w:rPr>
        <w:drawing>
          <wp:anchor distT="0" distB="0" distL="114300" distR="114300" simplePos="0" relativeHeight="251659264" behindDoc="0" locked="0" layoutInCell="1" allowOverlap="1" wp14:anchorId="78934755" wp14:editId="28ADA8A8">
            <wp:simplePos x="0" y="0"/>
            <wp:positionH relativeFrom="column">
              <wp:posOffset>-509905</wp:posOffset>
            </wp:positionH>
            <wp:positionV relativeFrom="paragraph">
              <wp:posOffset>-2294890</wp:posOffset>
            </wp:positionV>
            <wp:extent cx="7598664" cy="2221992"/>
            <wp:effectExtent l="0" t="0" r="2540" b="6985"/>
            <wp:wrapNone/>
            <wp:docPr id="16940854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8664" cy="222199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367791208"/>
      <w:r w:rsidR="00CB6891">
        <w:rPr>
          <w:noProof/>
        </w:rPr>
        <w:drawing>
          <wp:anchor distT="0" distB="0" distL="114300" distR="114300" simplePos="0" relativeHeight="251658240" behindDoc="0" locked="0" layoutInCell="1" allowOverlap="1" wp14:anchorId="667A36C6" wp14:editId="79943958">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4"/>
                    <a:stretch>
                      <a:fillRect/>
                    </a:stretch>
                  </pic:blipFill>
                  <pic:spPr>
                    <a:xfrm>
                      <a:off x="0" y="0"/>
                      <a:ext cx="2970530" cy="670560"/>
                    </a:xfrm>
                    <a:prstGeom prst="rect">
                      <a:avLst/>
                    </a:prstGeom>
                  </pic:spPr>
                </pic:pic>
              </a:graphicData>
            </a:graphic>
          </wp:anchor>
        </w:drawing>
      </w:r>
      <w:r w:rsidR="00CB6891" w:rsidRPr="00075C49">
        <w:t xml:space="preserve">Geological and Bioregional </w:t>
      </w:r>
      <w:r w:rsidR="00CB6891">
        <w:br/>
      </w:r>
      <w:r w:rsidR="00CB6891" w:rsidRPr="00075C49">
        <w:t>Assessment Program</w:t>
      </w:r>
    </w:p>
    <w:p w14:paraId="40F08CE0" w14:textId="0B748B9E" w:rsidR="008A188C" w:rsidRPr="002C17EB" w:rsidRDefault="00BD4F87" w:rsidP="4AB3FCEA">
      <w:pPr>
        <w:pStyle w:val="Factsheetsubtitle"/>
        <w:rPr>
          <w:rStyle w:val="Superscript"/>
          <w:vertAlign w:val="baseline"/>
        </w:rPr>
      </w:pPr>
      <w:bookmarkStart w:id="1" w:name="_Hlk49937112"/>
      <w:bookmarkEnd w:id="1"/>
      <w:r>
        <w:t xml:space="preserve">Fact sheet </w:t>
      </w:r>
      <w:r w:rsidR="0041413F">
        <w:t>20</w:t>
      </w:r>
    </w:p>
    <w:bookmarkEnd w:id="0"/>
    <w:p w14:paraId="58CF6DF5" w14:textId="77777777" w:rsidR="0041413F" w:rsidRPr="006F3FFB" w:rsidRDefault="0041413F" w:rsidP="0041413F">
      <w:pPr>
        <w:pStyle w:val="Factsheetsubtitle"/>
      </w:pPr>
      <w:r>
        <w:rPr>
          <w:noProof/>
        </w:rPr>
        <mc:AlternateContent>
          <mc:Choice Requires="wps">
            <w:drawing>
              <wp:anchor distT="45720" distB="45720" distL="114300" distR="114300" simplePos="0" relativeHeight="251661312" behindDoc="0" locked="0" layoutInCell="1" allowOverlap="1" wp14:anchorId="258DDF73" wp14:editId="6128E045">
                <wp:simplePos x="0" y="0"/>
                <wp:positionH relativeFrom="column">
                  <wp:posOffset>3443605</wp:posOffset>
                </wp:positionH>
                <wp:positionV relativeFrom="paragraph">
                  <wp:posOffset>332105</wp:posOffset>
                </wp:positionV>
                <wp:extent cx="3151505" cy="2441575"/>
                <wp:effectExtent l="0" t="0" r="0" b="0"/>
                <wp:wrapSquare wrapText="bothSides"/>
                <wp:docPr id="217" name="Text Box 2" descr="Photograph of a farm well and pu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2441575"/>
                        </a:xfrm>
                        <a:prstGeom prst="rect">
                          <a:avLst/>
                        </a:prstGeom>
                        <a:solidFill>
                          <a:srgbClr val="FFFFFF"/>
                        </a:solidFill>
                        <a:ln w="9525">
                          <a:noFill/>
                          <a:miter lim="800000"/>
                          <a:headEnd/>
                          <a:tailEnd/>
                        </a:ln>
                      </wps:spPr>
                      <wps:txbx>
                        <w:txbxContent>
                          <w:p w14:paraId="63EBD54C" w14:textId="5BF11044" w:rsidR="0041413F" w:rsidRPr="00282077" w:rsidRDefault="0041413F" w:rsidP="0041413F">
                            <w:pPr>
                              <w:pStyle w:val="Caption"/>
                              <w:spacing w:before="60" w:after="180"/>
                            </w:pPr>
                            <w:bookmarkStart w:id="2" w:name="_Ref65585246"/>
                            <w:r w:rsidRPr="00282077">
                              <w:t xml:space="preserve">Figure </w:t>
                            </w:r>
                            <w:r w:rsidRPr="00282077">
                              <w:fldChar w:fldCharType="begin"/>
                            </w:r>
                            <w:r w:rsidRPr="00282077">
                              <w:instrText>SEQ Figure \* ARABIC</w:instrText>
                            </w:r>
                            <w:r w:rsidRPr="00282077">
                              <w:fldChar w:fldCharType="separate"/>
                            </w:r>
                            <w:r w:rsidR="000E00AA">
                              <w:rPr>
                                <w:noProof/>
                              </w:rPr>
                              <w:t>1</w:t>
                            </w:r>
                            <w:r w:rsidRPr="00282077">
                              <w:fldChar w:fldCharType="end"/>
                            </w:r>
                            <w:bookmarkEnd w:id="2"/>
                            <w:r w:rsidRPr="00282077">
                              <w:t xml:space="preserve"> </w:t>
                            </w:r>
                            <w:r>
                              <w:t xml:space="preserve">A typical farm well in the </w:t>
                            </w:r>
                            <w:proofErr w:type="spellStart"/>
                            <w:r>
                              <w:t>Beetaloo</w:t>
                            </w:r>
                            <w:proofErr w:type="spellEnd"/>
                            <w:r>
                              <w:t xml:space="preserve"> GBA region</w:t>
                            </w:r>
                          </w:p>
                          <w:p w14:paraId="6962A63D" w14:textId="77777777" w:rsidR="0041413F" w:rsidRPr="00282077" w:rsidRDefault="0041413F" w:rsidP="0041413F">
                            <w:r>
                              <w:rPr>
                                <w:noProof/>
                                <w:lang w:eastAsia="en-AU"/>
                              </w:rPr>
                              <w:drawing>
                                <wp:inline distT="0" distB="0" distL="0" distR="0" wp14:anchorId="26A5E0CC" wp14:editId="1F362AE8">
                                  <wp:extent cx="2959735" cy="1948815"/>
                                  <wp:effectExtent l="0" t="0" r="0" b="0"/>
                                  <wp:docPr id="1" name="Picture 1" descr="Photograph of a farm well and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 farm well and pump"/>
                                          <pic:cNvPicPr/>
                                        </pic:nvPicPr>
                                        <pic:blipFill>
                                          <a:blip r:embed="rId15"/>
                                          <a:stretch>
                                            <a:fillRect/>
                                          </a:stretch>
                                        </pic:blipFill>
                                        <pic:spPr>
                                          <a:xfrm>
                                            <a:off x="0" y="0"/>
                                            <a:ext cx="2959735" cy="1948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DDF73" id="_x0000_t202" coordsize="21600,21600" o:spt="202" path="m,l,21600r21600,l21600,xe">
                <v:stroke joinstyle="miter"/>
                <v:path gradientshapeok="t" o:connecttype="rect"/>
              </v:shapetype>
              <v:shape id="Text Box 2" o:spid="_x0000_s1026" type="#_x0000_t202" alt="Photograph of a farm well and pump" style="position:absolute;margin-left:271.15pt;margin-top:26.15pt;width:248.15pt;height:19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" stroked="f">
                <v:textbox>
                  <w:txbxContent>
                    <w:p w14:paraId="63EBD54C" w14:textId="5BF11044" w:rsidR="0041413F" w:rsidRPr="00282077" w:rsidRDefault="0041413F" w:rsidP="0041413F">
                      <w:pPr>
                        <w:pStyle w:val="Caption"/>
                        <w:spacing w:before="60" w:after="180"/>
                      </w:pPr>
                      <w:bookmarkStart w:id="3" w:name="_Ref65585246"/>
                      <w:r w:rsidRPr="00282077">
                        <w:t xml:space="preserve">Figure </w:t>
                      </w:r>
                      <w:r w:rsidRPr="00282077">
                        <w:fldChar w:fldCharType="begin"/>
                      </w:r>
                      <w:r w:rsidRPr="00282077">
                        <w:instrText>SEQ Figure \* ARABIC</w:instrText>
                      </w:r>
                      <w:r w:rsidRPr="00282077">
                        <w:fldChar w:fldCharType="separate"/>
                      </w:r>
                      <w:r w:rsidR="000E00AA">
                        <w:rPr>
                          <w:noProof/>
                        </w:rPr>
                        <w:t>1</w:t>
                      </w:r>
                      <w:r w:rsidRPr="00282077">
                        <w:fldChar w:fldCharType="end"/>
                      </w:r>
                      <w:bookmarkEnd w:id="3"/>
                      <w:r w:rsidRPr="00282077">
                        <w:t xml:space="preserve"> </w:t>
                      </w:r>
                      <w:r>
                        <w:t xml:space="preserve">A typical farm well in the </w:t>
                      </w:r>
                      <w:proofErr w:type="spellStart"/>
                      <w:r>
                        <w:t>Beetaloo</w:t>
                      </w:r>
                      <w:proofErr w:type="spellEnd"/>
                      <w:r>
                        <w:t xml:space="preserve"> GBA region</w:t>
                      </w:r>
                    </w:p>
                    <w:p w14:paraId="6962A63D" w14:textId="77777777" w:rsidR="0041413F" w:rsidRPr="00282077" w:rsidRDefault="0041413F" w:rsidP="0041413F">
                      <w:r>
                        <w:rPr>
                          <w:noProof/>
                          <w:lang w:eastAsia="en-AU"/>
                        </w:rPr>
                        <w:drawing>
                          <wp:inline distT="0" distB="0" distL="0" distR="0" wp14:anchorId="26A5E0CC" wp14:editId="1F362AE8">
                            <wp:extent cx="2959735" cy="1948815"/>
                            <wp:effectExtent l="0" t="0" r="0" b="0"/>
                            <wp:docPr id="1" name="Picture 1" descr="Photograph of a farm well and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 farm well and pump"/>
                                    <pic:cNvPicPr/>
                                  </pic:nvPicPr>
                                  <pic:blipFill>
                                    <a:blip r:embed="rId15"/>
                                    <a:stretch>
                                      <a:fillRect/>
                                    </a:stretch>
                                  </pic:blipFill>
                                  <pic:spPr>
                                    <a:xfrm>
                                      <a:off x="0" y="0"/>
                                      <a:ext cx="2959735" cy="1948815"/>
                                    </a:xfrm>
                                    <a:prstGeom prst="rect">
                                      <a:avLst/>
                                    </a:prstGeom>
                                  </pic:spPr>
                                </pic:pic>
                              </a:graphicData>
                            </a:graphic>
                          </wp:inline>
                        </w:drawing>
                      </w:r>
                    </w:p>
                  </w:txbxContent>
                </v:textbox>
                <w10:wrap type="square"/>
              </v:shape>
            </w:pict>
          </mc:Fallback>
        </mc:AlternateContent>
      </w:r>
      <w:r w:rsidRPr="006F3FFB">
        <w:t xml:space="preserve">Regional </w:t>
      </w:r>
      <w:r>
        <w:t>t</w:t>
      </w:r>
      <w:r w:rsidRPr="006F3FFB">
        <w:t xml:space="preserve">racer </w:t>
      </w:r>
      <w:r>
        <w:t>r</w:t>
      </w:r>
      <w:r w:rsidRPr="006F3FFB">
        <w:t>esults</w:t>
      </w:r>
      <w:r w:rsidRPr="006B2724">
        <w:t xml:space="preserve"> </w:t>
      </w:r>
      <w:r>
        <w:t xml:space="preserve">from </w:t>
      </w:r>
      <w:r w:rsidRPr="006F3FFB">
        <w:t>the Cambrian Limestone Aquifer</w:t>
      </w:r>
    </w:p>
    <w:p w14:paraId="28BA47BE" w14:textId="77777777" w:rsidR="0041413F" w:rsidRDefault="0041413F" w:rsidP="0041413F">
      <w:pPr>
        <w:pStyle w:val="BodyText"/>
        <w:rPr>
          <w:rStyle w:val="SubtleEmphasis"/>
          <w:i w:val="0"/>
          <w:iCs w:val="0"/>
          <w:color w:val="000000" w:themeColor="text1"/>
        </w:rPr>
      </w:pPr>
      <w:r w:rsidRPr="5E7B47DD">
        <w:rPr>
          <w:rStyle w:val="SubtleEmphasis"/>
          <w:i w:val="0"/>
          <w:iCs w:val="0"/>
          <w:color w:val="000000" w:themeColor="text1"/>
        </w:rPr>
        <w:t xml:space="preserve">This </w:t>
      </w:r>
      <w:r>
        <w:rPr>
          <w:rStyle w:val="SubtleEmphasis"/>
          <w:i w:val="0"/>
          <w:iCs w:val="0"/>
          <w:color w:val="000000" w:themeColor="text1"/>
        </w:rPr>
        <w:t>project was a collaboration</w:t>
      </w:r>
      <w:r w:rsidRPr="5E7B47DD">
        <w:rPr>
          <w:rStyle w:val="SubtleEmphasis"/>
          <w:i w:val="0"/>
          <w:iCs w:val="0"/>
          <w:color w:val="000000" w:themeColor="text1"/>
        </w:rPr>
        <w:t xml:space="preserve"> between </w:t>
      </w:r>
      <w:r>
        <w:rPr>
          <w:rStyle w:val="SubtleEmphasis"/>
          <w:i w:val="0"/>
          <w:iCs w:val="0"/>
          <w:color w:val="000000" w:themeColor="text1"/>
        </w:rPr>
        <w:t>the GBA project partners (</w:t>
      </w:r>
      <w:r w:rsidRPr="5E7B47DD">
        <w:rPr>
          <w:rStyle w:val="SubtleEmphasis"/>
          <w:i w:val="0"/>
          <w:iCs w:val="0"/>
          <w:color w:val="000000" w:themeColor="text1"/>
        </w:rPr>
        <w:t>CSIRO</w:t>
      </w:r>
      <w:r>
        <w:rPr>
          <w:rStyle w:val="SubtleEmphasis"/>
          <w:i w:val="0"/>
          <w:iCs w:val="0"/>
          <w:color w:val="000000" w:themeColor="text1"/>
        </w:rPr>
        <w:t xml:space="preserve"> and</w:t>
      </w:r>
      <w:r w:rsidRPr="5E7B47DD">
        <w:rPr>
          <w:rStyle w:val="SubtleEmphasis"/>
          <w:i w:val="0"/>
          <w:iCs w:val="0"/>
          <w:color w:val="000000" w:themeColor="text1"/>
        </w:rPr>
        <w:t xml:space="preserve"> </w:t>
      </w:r>
      <w:r>
        <w:rPr>
          <w:rStyle w:val="SubtleEmphasis"/>
          <w:i w:val="0"/>
          <w:iCs w:val="0"/>
          <w:color w:val="000000" w:themeColor="text1"/>
        </w:rPr>
        <w:t xml:space="preserve">Geoscience Australia), as well as the </w:t>
      </w:r>
      <w:r w:rsidRPr="00C67D18">
        <w:rPr>
          <w:rStyle w:val="SubtleEmphasis"/>
          <w:i w:val="0"/>
          <w:iCs w:val="0"/>
          <w:color w:val="000000" w:themeColor="text1"/>
        </w:rPr>
        <w:t xml:space="preserve">Gas Industry Social </w:t>
      </w:r>
      <w:r>
        <w:rPr>
          <w:rStyle w:val="SubtleEmphasis"/>
          <w:i w:val="0"/>
          <w:iCs w:val="0"/>
          <w:color w:val="000000" w:themeColor="text1"/>
        </w:rPr>
        <w:t>and</w:t>
      </w:r>
      <w:r w:rsidRPr="00C67D18">
        <w:rPr>
          <w:rStyle w:val="SubtleEmphasis"/>
          <w:i w:val="0"/>
          <w:iCs w:val="0"/>
          <w:color w:val="000000" w:themeColor="text1"/>
        </w:rPr>
        <w:t xml:space="preserve"> Environment Research Alliance </w:t>
      </w:r>
      <w:r>
        <w:rPr>
          <w:rStyle w:val="SubtleEmphasis"/>
          <w:i w:val="0"/>
          <w:iCs w:val="0"/>
          <w:color w:val="000000" w:themeColor="text1"/>
        </w:rPr>
        <w:t>(</w:t>
      </w:r>
      <w:r w:rsidRPr="5E7B47DD">
        <w:rPr>
          <w:rStyle w:val="SubtleEmphasis"/>
          <w:i w:val="0"/>
          <w:iCs w:val="0"/>
          <w:color w:val="000000" w:themeColor="text1"/>
        </w:rPr>
        <w:t>GISERA</w:t>
      </w:r>
      <w:r>
        <w:rPr>
          <w:rStyle w:val="SubtleEmphasis"/>
          <w:i w:val="0"/>
          <w:iCs w:val="0"/>
          <w:color w:val="000000" w:themeColor="text1"/>
        </w:rPr>
        <w:t>)</w:t>
      </w:r>
      <w:r w:rsidRPr="5E7B47DD">
        <w:rPr>
          <w:rStyle w:val="SubtleEmphasis"/>
          <w:i w:val="0"/>
          <w:iCs w:val="0"/>
          <w:color w:val="000000" w:themeColor="text1"/>
        </w:rPr>
        <w:t xml:space="preserve">, Charles Darwin University and the </w:t>
      </w:r>
      <w:r>
        <w:t xml:space="preserve">University of Science and Technology of China. We </w:t>
      </w:r>
      <w:r w:rsidRPr="5E7B47DD">
        <w:rPr>
          <w:rStyle w:val="SubtleEmphasis"/>
          <w:i w:val="0"/>
          <w:iCs w:val="0"/>
          <w:color w:val="000000" w:themeColor="text1"/>
        </w:rPr>
        <w:t>investigated the regional flow system of the Cambrian Limestone Aquifer (CLA)</w:t>
      </w:r>
      <w:r>
        <w:rPr>
          <w:rStyle w:val="SubtleEmphasis"/>
          <w:i w:val="0"/>
          <w:iCs w:val="0"/>
          <w:color w:val="000000" w:themeColor="text1"/>
        </w:rPr>
        <w:t xml:space="preserve">, which occurs across three sedimentary basins: the Georgina, </w:t>
      </w:r>
      <w:proofErr w:type="spellStart"/>
      <w:r>
        <w:rPr>
          <w:rStyle w:val="SubtleEmphasis"/>
          <w:i w:val="0"/>
          <w:iCs w:val="0"/>
          <w:color w:val="000000" w:themeColor="text1"/>
        </w:rPr>
        <w:t>Wiso</w:t>
      </w:r>
      <w:proofErr w:type="spellEnd"/>
      <w:r>
        <w:rPr>
          <w:rStyle w:val="SubtleEmphasis"/>
          <w:i w:val="0"/>
          <w:iCs w:val="0"/>
          <w:color w:val="000000" w:themeColor="text1"/>
        </w:rPr>
        <w:t xml:space="preserve">, and Daly geological basins. </w:t>
      </w:r>
      <w:r w:rsidRPr="5E7B47DD">
        <w:rPr>
          <w:rStyle w:val="SubtleEmphasis"/>
          <w:i w:val="0"/>
          <w:iCs w:val="0"/>
          <w:color w:val="000000" w:themeColor="text1"/>
        </w:rPr>
        <w:t>Th</w:t>
      </w:r>
      <w:r>
        <w:rPr>
          <w:rStyle w:val="SubtleEmphasis"/>
          <w:i w:val="0"/>
          <w:iCs w:val="0"/>
          <w:color w:val="000000" w:themeColor="text1"/>
        </w:rPr>
        <w:t>e CLA</w:t>
      </w:r>
      <w:r w:rsidRPr="5E7B47DD">
        <w:rPr>
          <w:rStyle w:val="SubtleEmphasis"/>
          <w:i w:val="0"/>
          <w:iCs w:val="0"/>
          <w:color w:val="000000" w:themeColor="text1"/>
        </w:rPr>
        <w:t xml:space="preserve"> extends </w:t>
      </w:r>
      <w:r>
        <w:t>over 1500 km from the semi-arid climate in the south-east to the monsoon-dominated tropical climate in the north-west. It is the main water source for the pastoral industry of the region, and discharge from this aquifer is a significant contributor to water flow in the headwaters of the Roper River, including the culturally important Mataranka Springs. A robust water balance for the CLA together with a detailed understanding of the flow system is needed to manage the cumulative impacts of current and future groundwater extraction.</w:t>
      </w:r>
    </w:p>
    <w:p w14:paraId="0D5F018B" w14:textId="16C03641" w:rsidR="0041413F" w:rsidRDefault="0041413F" w:rsidP="0041413F">
      <w:pPr>
        <w:pStyle w:val="BodyText"/>
      </w:pPr>
      <w:r>
        <w:rPr>
          <w:rStyle w:val="SubtleEmphasis"/>
          <w:i w:val="0"/>
          <w:iCs w:val="0"/>
          <w:color w:val="000000" w:themeColor="text1"/>
        </w:rPr>
        <w:t>The project</w:t>
      </w:r>
      <w:r w:rsidRPr="5E7B47DD">
        <w:rPr>
          <w:rStyle w:val="SubtleEmphasis"/>
          <w:i w:val="0"/>
          <w:iCs w:val="0"/>
          <w:color w:val="000000" w:themeColor="text1"/>
        </w:rPr>
        <w:t xml:space="preserve"> used environmental tracers, anthropogenic or natural substances and isotopes that are part of the water cycle, </w:t>
      </w:r>
      <w:r>
        <w:rPr>
          <w:rStyle w:val="SubtleEmphasis"/>
          <w:i w:val="0"/>
          <w:iCs w:val="0"/>
          <w:color w:val="000000" w:themeColor="text1"/>
        </w:rPr>
        <w:t>sampled from farm wells (Figure 1) and springs</w:t>
      </w:r>
      <w:r w:rsidRPr="009306E8">
        <w:rPr>
          <w:rStyle w:val="SubtleEmphasis"/>
          <w:i w:val="0"/>
          <w:iCs w:val="0"/>
          <w:color w:val="000000" w:themeColor="text1"/>
        </w:rPr>
        <w:t xml:space="preserve"> </w:t>
      </w:r>
      <w:r>
        <w:rPr>
          <w:rStyle w:val="SubtleEmphasis"/>
          <w:i w:val="0"/>
          <w:iCs w:val="0"/>
          <w:color w:val="000000" w:themeColor="text1"/>
        </w:rPr>
        <w:t xml:space="preserve">in the </w:t>
      </w:r>
      <w:r w:rsidRPr="5E7B47DD">
        <w:rPr>
          <w:rStyle w:val="SubtleEmphasis"/>
          <w:i w:val="0"/>
          <w:iCs w:val="0"/>
          <w:color w:val="000000" w:themeColor="text1"/>
        </w:rPr>
        <w:t>Cambrian Limestone Aquifer</w:t>
      </w:r>
      <w:r>
        <w:rPr>
          <w:rStyle w:val="SubtleEmphasis"/>
          <w:i w:val="0"/>
          <w:iCs w:val="0"/>
          <w:color w:val="000000" w:themeColor="text1"/>
        </w:rPr>
        <w:t xml:space="preserve">. The purpose was </w:t>
      </w:r>
      <w:r w:rsidRPr="5E7B47DD">
        <w:rPr>
          <w:rStyle w:val="SubtleEmphasis"/>
          <w:i w:val="0"/>
          <w:iCs w:val="0"/>
          <w:color w:val="000000" w:themeColor="text1"/>
        </w:rPr>
        <w:t xml:space="preserve">to investigate the </w:t>
      </w:r>
      <w:r>
        <w:rPr>
          <w:rStyle w:val="SubtleEmphasis"/>
          <w:i w:val="0"/>
          <w:iCs w:val="0"/>
          <w:color w:val="000000" w:themeColor="text1"/>
        </w:rPr>
        <w:t xml:space="preserve">groundwater </w:t>
      </w:r>
      <w:r w:rsidRPr="5E7B47DD">
        <w:rPr>
          <w:rStyle w:val="SubtleEmphasis"/>
          <w:i w:val="0"/>
          <w:iCs w:val="0"/>
          <w:color w:val="000000" w:themeColor="text1"/>
        </w:rPr>
        <w:t>recharge mechanisms and flow velocities</w:t>
      </w:r>
      <w:r>
        <w:rPr>
          <w:rStyle w:val="SubtleEmphasis"/>
          <w:i w:val="0"/>
          <w:iCs w:val="0"/>
          <w:color w:val="000000" w:themeColor="text1"/>
        </w:rPr>
        <w:t xml:space="preserve"> in the CLA.</w:t>
      </w:r>
      <w:r w:rsidRPr="5E7B47DD">
        <w:rPr>
          <w:rStyle w:val="SubtleEmphasis"/>
          <w:i w:val="0"/>
          <w:iCs w:val="0"/>
          <w:color w:val="000000" w:themeColor="text1"/>
        </w:rPr>
        <w:t xml:space="preserve"> </w:t>
      </w:r>
      <w:r>
        <w:rPr>
          <w:rStyle w:val="SubtleEmphasis"/>
          <w:i w:val="0"/>
          <w:iCs w:val="0"/>
          <w:color w:val="000000" w:themeColor="text1"/>
        </w:rPr>
        <w:t>Other parts of the study investigated the variability of natural isotope geochemistry of rock samples (GBA fact sheet 12), groundwater recharge mechanisms (GBA fact sheet 19), the origin of water in Mataranka Springs (GBA fact sheet 25), and a time series of tracers in these springs (GBA fact sheet 17)</w:t>
      </w:r>
      <w:r w:rsidR="00D522AE">
        <w:rPr>
          <w:rStyle w:val="SubtleEmphasis"/>
          <w:i w:val="0"/>
          <w:iCs w:val="0"/>
          <w:color w:val="000000" w:themeColor="text1"/>
        </w:rPr>
        <w:t>.</w:t>
      </w:r>
    </w:p>
    <w:p w14:paraId="10CAE9D8" w14:textId="77777777" w:rsidR="0041413F" w:rsidRDefault="0041413F" w:rsidP="0041413F">
      <w:pPr>
        <w:pStyle w:val="Factsheetsubtitle"/>
      </w:pPr>
      <w:r>
        <w:t>Results</w:t>
      </w:r>
    </w:p>
    <w:p w14:paraId="5379CDB9" w14:textId="77777777" w:rsidR="0041413F" w:rsidRDefault="0041413F" w:rsidP="0041413F">
      <w:pPr>
        <w:pStyle w:val="BodyText"/>
        <w:rPr>
          <w:rStyle w:val="SubtleEmphasis"/>
          <w:i w:val="0"/>
          <w:color w:val="000000" w:themeColor="text1"/>
        </w:rPr>
      </w:pPr>
      <w:r w:rsidRPr="003E1279">
        <w:rPr>
          <w:rStyle w:val="SubtleEmphasis"/>
          <w:i w:val="0"/>
          <w:color w:val="000000" w:themeColor="text1"/>
        </w:rPr>
        <w:t>Tracer findings in the CLA are counter-intuitive</w:t>
      </w:r>
      <w:r>
        <w:rPr>
          <w:rStyle w:val="SubtleEmphasis"/>
          <w:i w:val="0"/>
          <w:color w:val="000000" w:themeColor="text1"/>
        </w:rPr>
        <w:t xml:space="preserve"> and highlight several unusual aspects of the CLA flow system:</w:t>
      </w:r>
    </w:p>
    <w:p w14:paraId="02D60C46" w14:textId="77777777" w:rsidR="0041413F" w:rsidRDefault="0041413F" w:rsidP="0041413F">
      <w:pPr>
        <w:pStyle w:val="ListBullet"/>
        <w:rPr>
          <w:rStyle w:val="SubtleEmphasis"/>
          <w:i w:val="0"/>
          <w:iCs w:val="0"/>
          <w:color w:val="000000" w:themeColor="text1"/>
        </w:rPr>
      </w:pPr>
      <w:r w:rsidRPr="5E7B47DD">
        <w:rPr>
          <w:rStyle w:val="SubtleEmphasis"/>
          <w:i w:val="0"/>
          <w:iCs w:val="0"/>
          <w:color w:val="000000" w:themeColor="text1"/>
        </w:rPr>
        <w:t>Radiocarbon (</w:t>
      </w:r>
      <w:r w:rsidRPr="5E7B47DD">
        <w:rPr>
          <w:rStyle w:val="SubtleEmphasis"/>
          <w:i w:val="0"/>
          <w:iCs w:val="0"/>
          <w:color w:val="000000" w:themeColor="text1"/>
          <w:vertAlign w:val="superscript"/>
        </w:rPr>
        <w:t>14</w:t>
      </w:r>
      <w:r w:rsidRPr="5E7B47DD">
        <w:rPr>
          <w:rStyle w:val="SubtleEmphasis"/>
          <w:i w:val="0"/>
          <w:iCs w:val="0"/>
          <w:color w:val="000000" w:themeColor="text1"/>
        </w:rPr>
        <w:t>C) is often used to infer groundwater flow direction and velocity and its concentration typically decreases along a flow path. However, along the Georgina flow path of the CLA</w:t>
      </w:r>
      <w:r>
        <w:rPr>
          <w:rStyle w:val="SubtleEmphasis"/>
          <w:i w:val="0"/>
          <w:iCs w:val="0"/>
          <w:color w:val="000000" w:themeColor="text1"/>
        </w:rPr>
        <w:t>,</w:t>
      </w:r>
      <w:r w:rsidRPr="5E7B47DD">
        <w:rPr>
          <w:rStyle w:val="SubtleEmphasis"/>
          <w:i w:val="0"/>
          <w:iCs w:val="0"/>
          <w:color w:val="000000" w:themeColor="text1"/>
        </w:rPr>
        <w:t xml:space="preserve"> which flows from south to north</w:t>
      </w:r>
      <w:r>
        <w:rPr>
          <w:rStyle w:val="SubtleEmphasis"/>
          <w:i w:val="0"/>
          <w:iCs w:val="0"/>
          <w:color w:val="000000" w:themeColor="text1"/>
        </w:rPr>
        <w:t xml:space="preserve"> (see Evans et al 2020 for detail)</w:t>
      </w:r>
      <w:r w:rsidRPr="5E7B47DD">
        <w:rPr>
          <w:rStyle w:val="SubtleEmphasis"/>
          <w:i w:val="0"/>
          <w:iCs w:val="0"/>
          <w:color w:val="000000" w:themeColor="text1"/>
        </w:rPr>
        <w:t xml:space="preserve">, </w:t>
      </w:r>
      <w:r w:rsidRPr="5E7B47DD">
        <w:rPr>
          <w:rStyle w:val="SubtleEmphasis"/>
          <w:i w:val="0"/>
          <w:iCs w:val="0"/>
          <w:color w:val="000000" w:themeColor="text1"/>
          <w:vertAlign w:val="superscript"/>
        </w:rPr>
        <w:t>14</w:t>
      </w:r>
      <w:r w:rsidRPr="5E7B47DD">
        <w:rPr>
          <w:rStyle w:val="SubtleEmphasis"/>
          <w:i w:val="0"/>
          <w:iCs w:val="0"/>
          <w:color w:val="000000" w:themeColor="text1"/>
        </w:rPr>
        <w:t>C concentrations increase in the direction of groundwater flow (Figure 2).</w:t>
      </w:r>
    </w:p>
    <w:p w14:paraId="68A199A4" w14:textId="77777777" w:rsidR="0041413F" w:rsidRDefault="0041413F" w:rsidP="0041413F">
      <w:pPr>
        <w:pStyle w:val="ListBullet"/>
        <w:rPr>
          <w:rStyle w:val="SubtleEmphasis"/>
          <w:i w:val="0"/>
          <w:iCs w:val="0"/>
          <w:color w:val="000000" w:themeColor="text1"/>
        </w:rPr>
      </w:pPr>
      <w:r w:rsidRPr="5E7B47DD">
        <w:rPr>
          <w:rStyle w:val="SubtleEmphasis"/>
          <w:i w:val="0"/>
          <w:iCs w:val="0"/>
          <w:color w:val="000000" w:themeColor="text1"/>
        </w:rPr>
        <w:t xml:space="preserve">Tracers for modern </w:t>
      </w:r>
      <w:r>
        <w:rPr>
          <w:rStyle w:val="SubtleEmphasis"/>
          <w:i w:val="0"/>
          <w:iCs w:val="0"/>
          <w:color w:val="000000" w:themeColor="text1"/>
        </w:rPr>
        <w:t>ground</w:t>
      </w:r>
      <w:r w:rsidRPr="5E7B47DD">
        <w:rPr>
          <w:rStyle w:val="SubtleEmphasis"/>
          <w:i w:val="0"/>
          <w:iCs w:val="0"/>
          <w:color w:val="000000" w:themeColor="text1"/>
        </w:rPr>
        <w:t xml:space="preserve">water (that is, </w:t>
      </w:r>
      <w:r>
        <w:rPr>
          <w:rStyle w:val="SubtleEmphasis"/>
          <w:i w:val="0"/>
          <w:iCs w:val="0"/>
          <w:color w:val="000000" w:themeColor="text1"/>
        </w:rPr>
        <w:t xml:space="preserve">groundwater that recharged an aquifer </w:t>
      </w:r>
      <w:r w:rsidRPr="5E7B47DD">
        <w:rPr>
          <w:rStyle w:val="SubtleEmphasis"/>
          <w:i w:val="0"/>
          <w:iCs w:val="0"/>
          <w:color w:val="000000" w:themeColor="text1"/>
        </w:rPr>
        <w:t>after 1950)</w:t>
      </w:r>
      <w:r>
        <w:rPr>
          <w:rStyle w:val="SubtleEmphasis"/>
          <w:i w:val="0"/>
          <w:iCs w:val="0"/>
          <w:color w:val="000000" w:themeColor="text1"/>
        </w:rPr>
        <w:t>, such as tritium</w:t>
      </w:r>
      <w:r w:rsidRPr="5E7B47DD">
        <w:rPr>
          <w:rStyle w:val="SubtleEmphasis"/>
          <w:i w:val="0"/>
          <w:iCs w:val="0"/>
          <w:color w:val="000000" w:themeColor="text1"/>
        </w:rPr>
        <w:t xml:space="preserve"> </w:t>
      </w:r>
      <w:r>
        <w:rPr>
          <w:rStyle w:val="SubtleEmphasis"/>
          <w:i w:val="0"/>
          <w:iCs w:val="0"/>
          <w:color w:val="000000" w:themeColor="text1"/>
        </w:rPr>
        <w:t>(</w:t>
      </w:r>
      <w:r w:rsidRPr="00D10016">
        <w:rPr>
          <w:rStyle w:val="SubtleEmphasis"/>
          <w:i w:val="0"/>
          <w:iCs w:val="0"/>
          <w:color w:val="000000" w:themeColor="text1"/>
          <w:vertAlign w:val="superscript"/>
        </w:rPr>
        <w:t>3</w:t>
      </w:r>
      <w:r>
        <w:rPr>
          <w:rStyle w:val="SubtleEmphasis"/>
          <w:i w:val="0"/>
          <w:iCs w:val="0"/>
          <w:color w:val="000000" w:themeColor="text1"/>
        </w:rPr>
        <w:t>H), CFCs, SF</w:t>
      </w:r>
      <w:r w:rsidRPr="00D10016">
        <w:rPr>
          <w:rStyle w:val="SubtleEmphasis"/>
          <w:i w:val="0"/>
          <w:iCs w:val="0"/>
          <w:color w:val="000000" w:themeColor="text1"/>
          <w:vertAlign w:val="subscript"/>
        </w:rPr>
        <w:t>6</w:t>
      </w:r>
      <w:r>
        <w:rPr>
          <w:rStyle w:val="SubtleEmphasis"/>
          <w:i w:val="0"/>
          <w:iCs w:val="0"/>
          <w:color w:val="000000" w:themeColor="text1"/>
        </w:rPr>
        <w:t xml:space="preserve"> and H1301, </w:t>
      </w:r>
      <w:r w:rsidRPr="5E7B47DD">
        <w:rPr>
          <w:rStyle w:val="SubtleEmphasis"/>
          <w:i w:val="0"/>
          <w:iCs w:val="0"/>
          <w:color w:val="000000" w:themeColor="text1"/>
        </w:rPr>
        <w:t xml:space="preserve">show contradicting results. Tritium </w:t>
      </w:r>
      <w:r>
        <w:rPr>
          <w:rStyle w:val="SubtleEmphasis"/>
          <w:i w:val="0"/>
          <w:iCs w:val="0"/>
          <w:color w:val="000000" w:themeColor="text1"/>
        </w:rPr>
        <w:t>(</w:t>
      </w:r>
      <w:r w:rsidRPr="00431049">
        <w:rPr>
          <w:rStyle w:val="SubtleEmphasis"/>
          <w:i w:val="0"/>
          <w:iCs w:val="0"/>
          <w:color w:val="000000" w:themeColor="text1"/>
          <w:vertAlign w:val="superscript"/>
        </w:rPr>
        <w:t>3</w:t>
      </w:r>
      <w:r>
        <w:rPr>
          <w:rStyle w:val="SubtleEmphasis"/>
          <w:i w:val="0"/>
          <w:iCs w:val="0"/>
          <w:color w:val="000000" w:themeColor="text1"/>
        </w:rPr>
        <w:t xml:space="preserve">H) </w:t>
      </w:r>
      <w:r w:rsidRPr="5E7B47DD">
        <w:rPr>
          <w:rStyle w:val="SubtleEmphasis"/>
          <w:i w:val="0"/>
          <w:iCs w:val="0"/>
          <w:color w:val="000000" w:themeColor="text1"/>
        </w:rPr>
        <w:t>is low but detectable in the northern section of the flow path, suggesting very limited recharge. In contrast,</w:t>
      </w:r>
      <w:r>
        <w:rPr>
          <w:rStyle w:val="SubtleEmphasis"/>
          <w:i w:val="0"/>
          <w:iCs w:val="0"/>
          <w:color w:val="000000" w:themeColor="text1"/>
        </w:rPr>
        <w:t xml:space="preserve"> </w:t>
      </w:r>
      <w:r w:rsidRPr="5E7B47DD">
        <w:rPr>
          <w:rStyle w:val="SubtleEmphasis"/>
          <w:i w:val="0"/>
          <w:iCs w:val="0"/>
          <w:color w:val="000000" w:themeColor="text1"/>
        </w:rPr>
        <w:t>CFCs, SF</w:t>
      </w:r>
      <w:r w:rsidRPr="5E7B47DD">
        <w:rPr>
          <w:rStyle w:val="SubtleEmphasis"/>
          <w:i w:val="0"/>
          <w:iCs w:val="0"/>
          <w:color w:val="000000" w:themeColor="text1"/>
          <w:vertAlign w:val="subscript"/>
        </w:rPr>
        <w:t>6</w:t>
      </w:r>
      <w:r w:rsidRPr="5E7B47DD">
        <w:rPr>
          <w:rStyle w:val="SubtleEmphasis"/>
          <w:i w:val="0"/>
          <w:iCs w:val="0"/>
          <w:color w:val="000000" w:themeColor="text1"/>
        </w:rPr>
        <w:t xml:space="preserve"> and H1301 </w:t>
      </w:r>
      <w:r>
        <w:rPr>
          <w:rStyle w:val="SubtleEmphasis"/>
          <w:i w:val="0"/>
          <w:iCs w:val="0"/>
          <w:color w:val="000000" w:themeColor="text1"/>
        </w:rPr>
        <w:t>show</w:t>
      </w:r>
      <w:r w:rsidRPr="5E7B47DD">
        <w:rPr>
          <w:rStyle w:val="SubtleEmphasis"/>
          <w:i w:val="0"/>
          <w:iCs w:val="0"/>
          <w:color w:val="000000" w:themeColor="text1"/>
        </w:rPr>
        <w:t xml:space="preserve"> high </w:t>
      </w:r>
      <w:r>
        <w:rPr>
          <w:rStyle w:val="SubtleEmphasis"/>
          <w:i w:val="0"/>
          <w:iCs w:val="0"/>
          <w:color w:val="000000" w:themeColor="text1"/>
        </w:rPr>
        <w:t xml:space="preserve">concentrations </w:t>
      </w:r>
      <w:r w:rsidRPr="5E7B47DD">
        <w:rPr>
          <w:rStyle w:val="SubtleEmphasis"/>
          <w:i w:val="0"/>
          <w:iCs w:val="0"/>
          <w:color w:val="000000" w:themeColor="text1"/>
        </w:rPr>
        <w:t>throughout the aquifer</w:t>
      </w:r>
      <w:r>
        <w:rPr>
          <w:rStyle w:val="SubtleEmphasis"/>
          <w:i w:val="0"/>
          <w:iCs w:val="0"/>
          <w:color w:val="000000" w:themeColor="text1"/>
        </w:rPr>
        <w:t xml:space="preserve">, </w:t>
      </w:r>
      <w:r w:rsidRPr="5E7B47DD">
        <w:rPr>
          <w:rStyle w:val="SubtleEmphasis"/>
          <w:i w:val="0"/>
          <w:iCs w:val="0"/>
          <w:color w:val="000000" w:themeColor="text1"/>
        </w:rPr>
        <w:t>suggest</w:t>
      </w:r>
      <w:r>
        <w:rPr>
          <w:rStyle w:val="SubtleEmphasis"/>
          <w:i w:val="0"/>
          <w:iCs w:val="0"/>
          <w:color w:val="000000" w:themeColor="text1"/>
        </w:rPr>
        <w:t>ing</w:t>
      </w:r>
      <w:r w:rsidRPr="5E7B47DD">
        <w:rPr>
          <w:rStyle w:val="SubtleEmphasis"/>
          <w:i w:val="0"/>
          <w:iCs w:val="0"/>
          <w:color w:val="000000" w:themeColor="text1"/>
        </w:rPr>
        <w:t xml:space="preserve"> more recent recharge</w:t>
      </w:r>
      <w:r>
        <w:rPr>
          <w:rStyle w:val="SubtleEmphasis"/>
          <w:i w:val="0"/>
          <w:iCs w:val="0"/>
          <w:color w:val="000000" w:themeColor="text1"/>
        </w:rPr>
        <w:t>. For explanation of recharge processes see GBA fact sheet 19</w:t>
      </w:r>
      <w:r w:rsidRPr="5E7B47DD">
        <w:rPr>
          <w:rStyle w:val="SubtleEmphasis"/>
          <w:i w:val="0"/>
          <w:iCs w:val="0"/>
          <w:color w:val="000000" w:themeColor="text1"/>
        </w:rPr>
        <w:t>.</w:t>
      </w:r>
    </w:p>
    <w:p w14:paraId="769D3B1E" w14:textId="10B77CA6" w:rsidR="004D02B9" w:rsidRDefault="0041413F" w:rsidP="0041413F">
      <w:pPr>
        <w:pStyle w:val="ListBullet"/>
      </w:pPr>
      <w:r w:rsidRPr="003E1279">
        <w:rPr>
          <w:rStyle w:val="SubtleEmphasis"/>
          <w:i w:val="0"/>
          <w:color w:val="000000" w:themeColor="text1"/>
        </w:rPr>
        <w:t>The noble gas helium</w:t>
      </w:r>
      <w:r>
        <w:rPr>
          <w:rStyle w:val="SubtleEmphasis"/>
          <w:i w:val="0"/>
          <w:color w:val="000000" w:themeColor="text1"/>
        </w:rPr>
        <w:t xml:space="preserve">, </w:t>
      </w:r>
      <w:r w:rsidRPr="003E1279">
        <w:rPr>
          <w:rStyle w:val="SubtleEmphasis"/>
          <w:i w:val="0"/>
          <w:color w:val="000000" w:themeColor="text1"/>
        </w:rPr>
        <w:t xml:space="preserve">produced by </w:t>
      </w:r>
      <w:r>
        <w:rPr>
          <w:rStyle w:val="SubtleEmphasis"/>
          <w:i w:val="0"/>
          <w:color w:val="000000" w:themeColor="text1"/>
        </w:rPr>
        <w:t xml:space="preserve">natural decay of </w:t>
      </w:r>
      <w:r w:rsidRPr="003E1279">
        <w:rPr>
          <w:rStyle w:val="SubtleEmphasis"/>
          <w:i w:val="0"/>
          <w:color w:val="000000" w:themeColor="text1"/>
        </w:rPr>
        <w:t>uranium and thorium</w:t>
      </w:r>
      <w:r>
        <w:rPr>
          <w:rStyle w:val="SubtleEmphasis"/>
          <w:i w:val="0"/>
          <w:color w:val="000000" w:themeColor="text1"/>
        </w:rPr>
        <w:t xml:space="preserve"> </w:t>
      </w:r>
      <w:r w:rsidRPr="003E1279">
        <w:rPr>
          <w:rStyle w:val="SubtleEmphasis"/>
          <w:i w:val="0"/>
          <w:color w:val="000000" w:themeColor="text1"/>
        </w:rPr>
        <w:t>in the aquifer</w:t>
      </w:r>
      <w:r>
        <w:rPr>
          <w:rStyle w:val="SubtleEmphasis"/>
          <w:i w:val="0"/>
          <w:color w:val="000000" w:themeColor="text1"/>
        </w:rPr>
        <w:t xml:space="preserve"> and indicative of the input of old groundwater,</w:t>
      </w:r>
      <w:r w:rsidRPr="003E1279">
        <w:rPr>
          <w:rStyle w:val="SubtleEmphasis"/>
          <w:i w:val="0"/>
          <w:color w:val="000000" w:themeColor="text1"/>
        </w:rPr>
        <w:t xml:space="preserve"> </w:t>
      </w:r>
      <w:r>
        <w:rPr>
          <w:rStyle w:val="SubtleEmphasis"/>
          <w:i w:val="0"/>
          <w:color w:val="000000" w:themeColor="text1"/>
        </w:rPr>
        <w:t>was</w:t>
      </w:r>
      <w:r w:rsidRPr="003E1279">
        <w:rPr>
          <w:rStyle w:val="SubtleEmphasis"/>
          <w:i w:val="0"/>
          <w:color w:val="000000" w:themeColor="text1"/>
        </w:rPr>
        <w:t xml:space="preserve"> </w:t>
      </w:r>
      <w:r>
        <w:rPr>
          <w:rStyle w:val="SubtleEmphasis"/>
          <w:i w:val="0"/>
          <w:color w:val="000000" w:themeColor="text1"/>
        </w:rPr>
        <w:t>detected</w:t>
      </w:r>
      <w:r w:rsidRPr="003E1279">
        <w:rPr>
          <w:rStyle w:val="SubtleEmphasis"/>
          <w:i w:val="0"/>
          <w:color w:val="000000" w:themeColor="text1"/>
        </w:rPr>
        <w:t xml:space="preserve"> in several bores </w:t>
      </w:r>
      <w:r>
        <w:rPr>
          <w:rStyle w:val="SubtleEmphasis"/>
          <w:i w:val="0"/>
          <w:color w:val="000000" w:themeColor="text1"/>
        </w:rPr>
        <w:t xml:space="preserve">from the CLA </w:t>
      </w:r>
      <w:r w:rsidRPr="003E1279">
        <w:rPr>
          <w:rStyle w:val="SubtleEmphasis"/>
          <w:i w:val="0"/>
          <w:color w:val="000000" w:themeColor="text1"/>
        </w:rPr>
        <w:t xml:space="preserve">and two springs, </w:t>
      </w:r>
      <w:r>
        <w:rPr>
          <w:rStyle w:val="SubtleEmphasis"/>
          <w:i w:val="0"/>
          <w:color w:val="000000" w:themeColor="text1"/>
        </w:rPr>
        <w:t xml:space="preserve">suggesting </w:t>
      </w:r>
      <w:r w:rsidRPr="003E1279">
        <w:rPr>
          <w:rStyle w:val="SubtleEmphasis"/>
          <w:i w:val="0"/>
          <w:color w:val="000000" w:themeColor="text1"/>
        </w:rPr>
        <w:t xml:space="preserve">upward </w:t>
      </w:r>
      <w:r>
        <w:rPr>
          <w:rStyle w:val="SubtleEmphasis"/>
          <w:i w:val="0"/>
          <w:color w:val="000000" w:themeColor="text1"/>
        </w:rPr>
        <w:t xml:space="preserve">flow of old groundwater </w:t>
      </w:r>
      <w:r w:rsidRPr="003E1279">
        <w:rPr>
          <w:rStyle w:val="SubtleEmphasis"/>
          <w:i w:val="0"/>
          <w:color w:val="000000" w:themeColor="text1"/>
        </w:rPr>
        <w:t xml:space="preserve">from </w:t>
      </w:r>
      <w:r>
        <w:rPr>
          <w:rStyle w:val="SubtleEmphasis"/>
          <w:i w:val="0"/>
          <w:color w:val="000000" w:themeColor="text1"/>
        </w:rPr>
        <w:t>another aquifer below the CLA.</w:t>
      </w:r>
    </w:p>
    <w:p w14:paraId="47D420D0" w14:textId="70ADB257" w:rsidR="0041413F" w:rsidRDefault="0041413F" w:rsidP="0041413F">
      <w:pPr>
        <w:pStyle w:val="Factsheetsubtitle"/>
      </w:pPr>
      <w:r>
        <w:rPr>
          <w:noProof/>
        </w:rPr>
        <w:lastRenderedPageBreak/>
        <mc:AlternateContent>
          <mc:Choice Requires="wps">
            <w:drawing>
              <wp:anchor distT="0" distB="0" distL="114300" distR="114300" simplePos="0" relativeHeight="251664384" behindDoc="0" locked="0" layoutInCell="1" allowOverlap="1" wp14:anchorId="731E8FED" wp14:editId="05DE74E6">
                <wp:simplePos x="0" y="0"/>
                <wp:positionH relativeFrom="column">
                  <wp:posOffset>3237865</wp:posOffset>
                </wp:positionH>
                <wp:positionV relativeFrom="paragraph">
                  <wp:posOffset>0</wp:posOffset>
                </wp:positionV>
                <wp:extent cx="3006090" cy="457200"/>
                <wp:effectExtent l="0" t="0" r="3810" b="0"/>
                <wp:wrapSquare wrapText="bothSides"/>
                <wp:docPr id="4" name="Text Box 4"/>
                <wp:cNvGraphicFramePr/>
                <a:graphic xmlns:a="http://schemas.openxmlformats.org/drawingml/2006/main">
                  <a:graphicData uri="http://schemas.microsoft.com/office/word/2010/wordprocessingShape">
                    <wps:wsp>
                      <wps:cNvSpPr txBox="1"/>
                      <wps:spPr>
                        <a:xfrm>
                          <a:off x="0" y="0"/>
                          <a:ext cx="3006090" cy="457200"/>
                        </a:xfrm>
                        <a:prstGeom prst="rect">
                          <a:avLst/>
                        </a:prstGeom>
                        <a:solidFill>
                          <a:prstClr val="white"/>
                        </a:solidFill>
                        <a:ln>
                          <a:noFill/>
                        </a:ln>
                      </wps:spPr>
                      <wps:txbx>
                        <w:txbxContent>
                          <w:p w14:paraId="43075F63" w14:textId="3375F99C" w:rsidR="0041413F" w:rsidRPr="00AB05DA" w:rsidRDefault="0041413F" w:rsidP="0041413F">
                            <w:pPr>
                              <w:pStyle w:val="TableCaption"/>
                              <w:rPr>
                                <w:noProof/>
                                <w:color w:val="000000"/>
                                <w:sz w:val="22"/>
                              </w:rPr>
                            </w:pPr>
                            <w:r>
                              <w:t xml:space="preserve">Figure </w:t>
                            </w:r>
                            <w:r w:rsidR="00884024">
                              <w:fldChar w:fldCharType="begin"/>
                            </w:r>
                            <w:r w:rsidR="00884024">
                              <w:instrText xml:space="preserve"> SEQ F</w:instrText>
                            </w:r>
                            <w:r w:rsidR="00884024">
                              <w:instrText xml:space="preserve">igure \* ARABIC </w:instrText>
                            </w:r>
                            <w:r w:rsidR="00884024">
                              <w:fldChar w:fldCharType="separate"/>
                            </w:r>
                            <w:r w:rsidR="000E00AA">
                              <w:rPr>
                                <w:noProof/>
                              </w:rPr>
                              <w:t>2</w:t>
                            </w:r>
                            <w:r w:rsidR="00884024">
                              <w:rPr>
                                <w:noProof/>
                              </w:rPr>
                              <w:fldChar w:fldCharType="end"/>
                            </w:r>
                            <w:r w:rsidRPr="0041413F">
                              <w:t xml:space="preserve"> </w:t>
                            </w:r>
                            <w:r w:rsidRPr="00C90EE7">
                              <w:t>Distribution of radiocarbon in groundwater from the Cambrian Limestone Aquifer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E8FED" id="Text Box 4" o:spid="_x0000_s1027" type="#_x0000_t202" style="position:absolute;margin-left:254.95pt;margin-top:0;width:236.7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" stroked="f">
                <v:textbox inset="0,0,0,0">
                  <w:txbxContent>
                    <w:p w14:paraId="43075F63" w14:textId="3375F99C" w:rsidR="0041413F" w:rsidRPr="00AB05DA" w:rsidRDefault="0041413F" w:rsidP="0041413F">
                      <w:pPr>
                        <w:pStyle w:val="TableCaption"/>
                        <w:rPr>
                          <w:noProof/>
                          <w:color w:val="000000"/>
                          <w:sz w:val="22"/>
                        </w:rPr>
                      </w:pPr>
                      <w:r>
                        <w:t xml:space="preserve">Figure </w:t>
                      </w:r>
                      <w:r w:rsidR="00884024">
                        <w:fldChar w:fldCharType="begin"/>
                      </w:r>
                      <w:r w:rsidR="00884024">
                        <w:instrText xml:space="preserve"> SEQ F</w:instrText>
                      </w:r>
                      <w:r w:rsidR="00884024">
                        <w:instrText xml:space="preserve">igure \* ARABIC </w:instrText>
                      </w:r>
                      <w:r w:rsidR="00884024">
                        <w:fldChar w:fldCharType="separate"/>
                      </w:r>
                      <w:r w:rsidR="000E00AA">
                        <w:rPr>
                          <w:noProof/>
                        </w:rPr>
                        <w:t>2</w:t>
                      </w:r>
                      <w:r w:rsidR="00884024">
                        <w:rPr>
                          <w:noProof/>
                        </w:rPr>
                        <w:fldChar w:fldCharType="end"/>
                      </w:r>
                      <w:r w:rsidRPr="0041413F">
                        <w:t xml:space="preserve"> </w:t>
                      </w:r>
                      <w:r w:rsidRPr="00C90EE7">
                        <w:t>Distribution of radiocarbon in groundwater from the Cambrian Limestone Aquifer</w:t>
                      </w:r>
                    </w:p>
                  </w:txbxContent>
                </v:textbox>
                <w10:wrap type="square"/>
              </v:shape>
            </w:pict>
          </mc:Fallback>
        </mc:AlternateContent>
      </w:r>
      <w:r>
        <w:t>Implications</w:t>
      </w:r>
    </w:p>
    <w:p w14:paraId="2FFBAEB2" w14:textId="41F1B4B1" w:rsidR="0041413F" w:rsidRDefault="0041413F" w:rsidP="0041413F">
      <w:pPr>
        <w:pStyle w:val="BodyText"/>
        <w:numPr>
          <w:ilvl w:val="0"/>
          <w:numId w:val="50"/>
        </w:numPr>
        <w:ind w:left="284"/>
        <w:rPr>
          <w:rStyle w:val="SubtleEmphasis"/>
          <w:i w:val="0"/>
          <w:iCs w:val="0"/>
          <w:color w:val="000000" w:themeColor="text1"/>
        </w:rPr>
      </w:pPr>
      <w:r>
        <w:rPr>
          <w:noProof/>
        </w:rPr>
        <w:drawing>
          <wp:anchor distT="0" distB="0" distL="114300" distR="114300" simplePos="0" relativeHeight="251662336" behindDoc="0" locked="0" layoutInCell="1" allowOverlap="1" wp14:anchorId="60FB8F8F" wp14:editId="18DD3C58">
            <wp:simplePos x="0" y="0"/>
            <wp:positionH relativeFrom="margin">
              <wp:posOffset>3237865</wp:posOffset>
            </wp:positionH>
            <wp:positionV relativeFrom="margin">
              <wp:posOffset>454025</wp:posOffset>
            </wp:positionV>
            <wp:extent cx="3002915" cy="3440430"/>
            <wp:effectExtent l="0" t="0" r="0" b="1270"/>
            <wp:wrapSquare wrapText="bothSides"/>
            <wp:docPr id="3" name="Picture 3" descr="Radiocarbon values are generally greatest in the Daly Basin in the north west and in the south western part of the Georgina Basin.&#10;Lower radiocarbon values occur in the eastern part of the Beetaloo GBA region in the north western part of the Georgina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diocarbon values are generally greatest in the Daly Basin in the north west and in the south western part of the Georgina Basin.&#10;Lower radiocarbon values occur in the eastern part of the Beetaloo GBA region in the north western part of the Georgina Bas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915"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3F0E4B39">
        <w:rPr>
          <w:rStyle w:val="SubtleEmphasis"/>
          <w:i w:val="0"/>
          <w:iCs w:val="0"/>
          <w:color w:val="000000" w:themeColor="text1"/>
        </w:rPr>
        <w:t>The differences between tritium and other modern environmental tracers demonstrate a complex recharge environment, including the potential for preferential recharge via sinkholes.</w:t>
      </w:r>
    </w:p>
    <w:p w14:paraId="6569AFEA" w14:textId="13F0FB3E" w:rsidR="0041413F" w:rsidRDefault="0041413F" w:rsidP="0041413F">
      <w:pPr>
        <w:pStyle w:val="BodyText"/>
        <w:numPr>
          <w:ilvl w:val="0"/>
          <w:numId w:val="50"/>
        </w:numPr>
        <w:ind w:left="284"/>
        <w:rPr>
          <w:rStyle w:val="SubtleEmphasis"/>
          <w:i w:val="0"/>
          <w:iCs w:val="0"/>
          <w:color w:val="000000" w:themeColor="text1"/>
        </w:rPr>
      </w:pPr>
      <w:r w:rsidRPr="3F0E4B39">
        <w:rPr>
          <w:rStyle w:val="SubtleEmphasis"/>
          <w:i w:val="0"/>
          <w:iCs w:val="0"/>
          <w:color w:val="000000" w:themeColor="text1"/>
        </w:rPr>
        <w:t>Recharge rates for the Georgina groundwater flow path increase from south to north, consistent with the climate gradient</w:t>
      </w:r>
      <w:r>
        <w:rPr>
          <w:rStyle w:val="SubtleEmphasis"/>
          <w:i w:val="0"/>
          <w:iCs w:val="0"/>
          <w:color w:val="000000" w:themeColor="text1"/>
        </w:rPr>
        <w:t>,</w:t>
      </w:r>
      <w:r w:rsidRPr="3F0E4B39">
        <w:rPr>
          <w:rStyle w:val="SubtleEmphasis"/>
          <w:i w:val="0"/>
          <w:iCs w:val="0"/>
          <w:color w:val="000000" w:themeColor="text1"/>
        </w:rPr>
        <w:t xml:space="preserve"> and </w:t>
      </w:r>
      <w:r>
        <w:rPr>
          <w:rStyle w:val="SubtleEmphasis"/>
          <w:i w:val="0"/>
          <w:iCs w:val="0"/>
          <w:color w:val="000000" w:themeColor="text1"/>
        </w:rPr>
        <w:t>are smaller in areas of the Georgina</w:t>
      </w:r>
      <w:r w:rsidRPr="3F0E4B39">
        <w:rPr>
          <w:rStyle w:val="SubtleEmphasis"/>
          <w:i w:val="0"/>
          <w:iCs w:val="0"/>
          <w:color w:val="000000" w:themeColor="text1"/>
        </w:rPr>
        <w:t xml:space="preserve"> Basin </w:t>
      </w:r>
      <w:r>
        <w:rPr>
          <w:rStyle w:val="SubtleEmphasis"/>
          <w:i w:val="0"/>
          <w:iCs w:val="0"/>
          <w:color w:val="000000" w:themeColor="text1"/>
        </w:rPr>
        <w:t xml:space="preserve">with Cretaceous </w:t>
      </w:r>
      <w:r w:rsidRPr="3F0E4B39">
        <w:rPr>
          <w:rStyle w:val="SubtleEmphasis"/>
          <w:i w:val="0"/>
          <w:iCs w:val="0"/>
          <w:color w:val="000000" w:themeColor="text1"/>
        </w:rPr>
        <w:t xml:space="preserve">cover </w:t>
      </w:r>
      <w:r>
        <w:rPr>
          <w:rStyle w:val="SubtleEmphasis"/>
          <w:i w:val="0"/>
          <w:iCs w:val="0"/>
          <w:color w:val="000000" w:themeColor="text1"/>
        </w:rPr>
        <w:t>over the</w:t>
      </w:r>
      <w:r w:rsidRPr="3F0E4B39">
        <w:rPr>
          <w:rStyle w:val="SubtleEmphasis"/>
          <w:i w:val="0"/>
          <w:iCs w:val="0"/>
          <w:color w:val="000000" w:themeColor="text1"/>
        </w:rPr>
        <w:t xml:space="preserve"> CLA</w:t>
      </w:r>
      <w:r>
        <w:rPr>
          <w:rStyle w:val="SubtleEmphasis"/>
          <w:i w:val="0"/>
          <w:iCs w:val="0"/>
          <w:color w:val="000000" w:themeColor="text1"/>
        </w:rPr>
        <w:t>.</w:t>
      </w:r>
    </w:p>
    <w:p w14:paraId="228E8844" w14:textId="77777777" w:rsidR="0041413F" w:rsidRDefault="0041413F" w:rsidP="0041413F">
      <w:pPr>
        <w:pStyle w:val="BodyText"/>
        <w:numPr>
          <w:ilvl w:val="0"/>
          <w:numId w:val="50"/>
        </w:numPr>
        <w:ind w:left="284"/>
        <w:rPr>
          <w:rStyle w:val="SubtleEmphasis"/>
          <w:i w:val="0"/>
          <w:iCs w:val="0"/>
          <w:color w:val="000000" w:themeColor="text1"/>
        </w:rPr>
      </w:pPr>
      <w:r>
        <w:rPr>
          <w:rStyle w:val="SubtleEmphasis"/>
          <w:i w:val="0"/>
          <w:iCs w:val="0"/>
          <w:color w:val="000000" w:themeColor="text1"/>
        </w:rPr>
        <w:t>G</w:t>
      </w:r>
      <w:r w:rsidRPr="3F0E4B39">
        <w:rPr>
          <w:rStyle w:val="SubtleEmphasis"/>
          <w:i w:val="0"/>
          <w:iCs w:val="0"/>
          <w:color w:val="000000" w:themeColor="text1"/>
        </w:rPr>
        <w:t xml:space="preserve">roundwater transit time </w:t>
      </w:r>
      <w:r>
        <w:rPr>
          <w:rStyle w:val="SubtleEmphasis"/>
          <w:i w:val="0"/>
          <w:iCs w:val="0"/>
          <w:color w:val="000000" w:themeColor="text1"/>
        </w:rPr>
        <w:t>through the Georgina Basin portion of the CLA is</w:t>
      </w:r>
      <w:r w:rsidRPr="3F0E4B39">
        <w:rPr>
          <w:rStyle w:val="SubtleEmphasis"/>
          <w:i w:val="0"/>
          <w:iCs w:val="0"/>
          <w:color w:val="000000" w:themeColor="text1"/>
        </w:rPr>
        <w:t xml:space="preserve"> less than </w:t>
      </w:r>
      <w:r>
        <w:rPr>
          <w:rStyle w:val="SubtleEmphasis"/>
          <w:i w:val="0"/>
          <w:iCs w:val="0"/>
          <w:color w:val="000000" w:themeColor="text1"/>
        </w:rPr>
        <w:t>several thousand years.</w:t>
      </w:r>
    </w:p>
    <w:p w14:paraId="510E4D87" w14:textId="266F6A72" w:rsidR="0041413F" w:rsidRDefault="0041413F" w:rsidP="0041413F">
      <w:pPr>
        <w:pStyle w:val="BodyText"/>
        <w:numPr>
          <w:ilvl w:val="0"/>
          <w:numId w:val="50"/>
        </w:numPr>
        <w:ind w:left="284"/>
        <w:rPr>
          <w:rStyle w:val="SubtleEmphasis"/>
          <w:i w:val="0"/>
          <w:iCs w:val="0"/>
          <w:color w:val="000000" w:themeColor="text1"/>
        </w:rPr>
      </w:pPr>
      <w:r w:rsidRPr="5E7B47DD">
        <w:rPr>
          <w:rStyle w:val="SubtleEmphasis"/>
          <w:i w:val="0"/>
          <w:iCs w:val="0"/>
          <w:color w:val="000000" w:themeColor="text1"/>
        </w:rPr>
        <w:t>The relatively short timescale of groundwater flow along the Georgina flow path precludes the CLA as the source of the helium found in some springs and bores – it must originate from a deeper source (or sources).</w:t>
      </w:r>
      <w:r>
        <w:rPr>
          <w:rStyle w:val="SubtleEmphasis"/>
          <w:i w:val="0"/>
          <w:iCs w:val="0"/>
          <w:color w:val="000000" w:themeColor="text1"/>
        </w:rPr>
        <w:t xml:space="preserve"> This is important because it demonstrates a connection to deeper parts of the basin.</w:t>
      </w:r>
    </w:p>
    <w:p w14:paraId="2CC1100E" w14:textId="77777777" w:rsidR="0041413F" w:rsidRDefault="0041413F" w:rsidP="0041413F">
      <w:pPr>
        <w:pStyle w:val="BodyText"/>
        <w:numPr>
          <w:ilvl w:val="0"/>
          <w:numId w:val="50"/>
        </w:numPr>
        <w:ind w:left="284"/>
        <w:rPr>
          <w:rStyle w:val="SubtleEmphasis"/>
          <w:i w:val="0"/>
          <w:iCs w:val="0"/>
          <w:color w:val="000000" w:themeColor="text1"/>
        </w:rPr>
      </w:pPr>
      <w:r w:rsidRPr="5E7B47DD">
        <w:rPr>
          <w:rStyle w:val="SubtleEmphasis"/>
          <w:i w:val="0"/>
          <w:iCs w:val="0"/>
          <w:color w:val="000000" w:themeColor="text1"/>
        </w:rPr>
        <w:t>Future research is required to understand the nature of th</w:t>
      </w:r>
      <w:r>
        <w:rPr>
          <w:rStyle w:val="SubtleEmphasis"/>
          <w:i w:val="0"/>
          <w:iCs w:val="0"/>
          <w:color w:val="000000" w:themeColor="text1"/>
        </w:rPr>
        <w:t>e</w:t>
      </w:r>
      <w:r w:rsidRPr="5E7B47DD">
        <w:rPr>
          <w:rStyle w:val="SubtleEmphasis"/>
          <w:i w:val="0"/>
          <w:iCs w:val="0"/>
          <w:color w:val="000000" w:themeColor="text1"/>
        </w:rPr>
        <w:t xml:space="preserve"> vertical connectivity </w:t>
      </w:r>
      <w:r>
        <w:rPr>
          <w:rStyle w:val="SubtleEmphasis"/>
          <w:i w:val="0"/>
          <w:iCs w:val="0"/>
          <w:color w:val="000000" w:themeColor="text1"/>
        </w:rPr>
        <w:t xml:space="preserve">demonstrated by helium, to </w:t>
      </w:r>
      <w:r w:rsidRPr="5E7B47DD">
        <w:rPr>
          <w:rStyle w:val="SubtleEmphasis"/>
          <w:i w:val="0"/>
          <w:iCs w:val="0"/>
          <w:color w:val="000000" w:themeColor="text1"/>
        </w:rPr>
        <w:t xml:space="preserve">quantify </w:t>
      </w:r>
      <w:r>
        <w:rPr>
          <w:rStyle w:val="SubtleEmphasis"/>
          <w:i w:val="0"/>
          <w:iCs w:val="0"/>
          <w:color w:val="000000" w:themeColor="text1"/>
        </w:rPr>
        <w:t xml:space="preserve">the groundwater flow </w:t>
      </w:r>
      <w:r w:rsidRPr="5E7B47DD">
        <w:rPr>
          <w:rStyle w:val="SubtleEmphasis"/>
          <w:i w:val="0"/>
          <w:iCs w:val="0"/>
          <w:color w:val="000000" w:themeColor="text1"/>
        </w:rPr>
        <w:t>between the CLA and deeper geological formations</w:t>
      </w:r>
      <w:r>
        <w:rPr>
          <w:rStyle w:val="SubtleEmphasis"/>
          <w:i w:val="0"/>
          <w:iCs w:val="0"/>
          <w:color w:val="000000" w:themeColor="text1"/>
        </w:rPr>
        <w:t xml:space="preserve"> and to better quantify effective recharge using the most reliable tracer, tritium</w:t>
      </w:r>
      <w:r w:rsidRPr="5E7B47DD">
        <w:rPr>
          <w:rStyle w:val="SubtleEmphasis"/>
          <w:i w:val="0"/>
          <w:iCs w:val="0"/>
          <w:color w:val="000000" w:themeColor="text1"/>
        </w:rPr>
        <w:t>.</w:t>
      </w:r>
    </w:p>
    <w:p w14:paraId="50FE9F1F" w14:textId="3036726C" w:rsidR="00794661" w:rsidRDefault="00BD4F87" w:rsidP="00697227">
      <w:pPr>
        <w:pStyle w:val="Factsheetsubtitle"/>
      </w:pPr>
      <w:r>
        <w:t>The GBA Program</w:t>
      </w:r>
    </w:p>
    <w:p w14:paraId="33D06643" w14:textId="7EF272FE" w:rsidR="00BD4F87" w:rsidRPr="00BD4F87" w:rsidRDefault="00BD4F87" w:rsidP="00BD4F87">
      <w:pPr>
        <w:pStyle w:val="BodyText"/>
        <w:rPr>
          <w:color w:val="000000" w:themeColor="text1"/>
        </w:rPr>
      </w:pPr>
      <w:r>
        <w:t>The $35.4 million Geological and Bioregional Assessment (GBA) Program is assessing the potential impacts of shale and tight gas development on water and the environment to inform regulatory frameworks and appropriate management approaches. The geological and environmental knowledge, data and tools produced by the GBA Program will assist governments, industry, land</w:t>
      </w:r>
      <w:r w:rsidR="000D221C">
        <w:t xml:space="preserve"> users</w:t>
      </w:r>
      <w:r>
        <w:t xml:space="preserve"> and the community by informing decision-making and enabling the coordinated management of potential impacts.</w:t>
      </w:r>
    </w:p>
    <w:p w14:paraId="4AD0A6AB" w14:textId="2A63C80F" w:rsidR="00F75D72" w:rsidRDefault="00F75D72" w:rsidP="00697227">
      <w:pPr>
        <w:pStyle w:val="Factsheetsubtitle"/>
      </w:pPr>
      <w:r>
        <w:t>How to cite</w:t>
      </w:r>
    </w:p>
    <w:p w14:paraId="3B2F341F" w14:textId="77777777" w:rsidR="0041413F" w:rsidRDefault="0041413F" w:rsidP="0041413F">
      <w:pPr>
        <w:pStyle w:val="ListBullet"/>
        <w:numPr>
          <w:ilvl w:val="0"/>
          <w:numId w:val="0"/>
        </w:numPr>
        <w:rPr>
          <w:rStyle w:val="Hyperlink"/>
          <w:rFonts w:cs="Arial"/>
        </w:rPr>
      </w:pPr>
      <w:r w:rsidRPr="003D5C46">
        <w:t>Geological and Bioregional Assessment Program (2021) Fact sheet 2</w:t>
      </w:r>
      <w:r>
        <w:t>0</w:t>
      </w:r>
      <w:r w:rsidRPr="003D5C46">
        <w:t xml:space="preserve">: Regional tracer results </w:t>
      </w:r>
      <w:r>
        <w:t>from</w:t>
      </w:r>
      <w:r w:rsidRPr="003D5C46">
        <w:t xml:space="preserve"> the Cambrian Limestone Aquifer [online document]. Fact sheet for the Geological and Bioregional Assessment Program.</w:t>
      </w:r>
    </w:p>
    <w:p w14:paraId="1CEF6BA5" w14:textId="77777777" w:rsidR="0041413F" w:rsidRDefault="0041413F" w:rsidP="0041413F">
      <w:pPr>
        <w:pStyle w:val="Factsheetsubtitle"/>
      </w:pPr>
      <w:r>
        <w:t>Find out more</w:t>
      </w:r>
    </w:p>
    <w:p w14:paraId="28015F60" w14:textId="79243E63" w:rsidR="0041413F" w:rsidRPr="0041413F" w:rsidRDefault="0041413F" w:rsidP="0041413F">
      <w:pPr>
        <w:pStyle w:val="BodyText"/>
      </w:pPr>
      <w:r>
        <w:t xml:space="preserve">Datasets that support this work are available at </w:t>
      </w:r>
      <w:hyperlink r:id="rId17">
        <w:r w:rsidRPr="1E82C70A">
          <w:rPr>
            <w:rStyle w:val="Hyperlink"/>
          </w:rPr>
          <w:t>data.gov.au</w:t>
        </w:r>
      </w:hyperlink>
      <w:r>
        <w:t>:</w:t>
      </w:r>
    </w:p>
    <w:p w14:paraId="57B4B5D3" w14:textId="77777777" w:rsidR="0041413F" w:rsidRPr="00FC1FF1" w:rsidRDefault="0041413F" w:rsidP="0041413F">
      <w:pPr>
        <w:pStyle w:val="ListBullet"/>
        <w:rPr>
          <w:rFonts w:cs="Calibri"/>
          <w:color w:val="000000"/>
          <w:lang w:eastAsia="en-AU"/>
        </w:rPr>
      </w:pPr>
      <w:r w:rsidRPr="00FC1FF1">
        <w:rPr>
          <w:rFonts w:cs="Calibri"/>
          <w:color w:val="000000"/>
        </w:rPr>
        <w:t xml:space="preserve">Geological and Bioregional Assessment Program (2020) </w:t>
      </w:r>
      <w:hyperlink r:id="rId18" w:history="1">
        <w:r w:rsidRPr="00C15B1A">
          <w:rPr>
            <w:rStyle w:val="Hyperlink"/>
            <w:rFonts w:asciiTheme="minorHAnsi" w:hAnsiTheme="minorHAnsi" w:cstheme="minorHAnsi"/>
            <w:szCs w:val="22"/>
          </w:rPr>
          <w:t>Environmental tracer data 2019</w:t>
        </w:r>
      </w:hyperlink>
      <w:r w:rsidRPr="00FC1FF1">
        <w:rPr>
          <w:rFonts w:cs="Calibri"/>
          <w:color w:val="000000"/>
        </w:rPr>
        <w:t xml:space="preserve"> [tabular]</w:t>
      </w:r>
      <w:r>
        <w:rPr>
          <w:rFonts w:cs="Calibri"/>
          <w:color w:val="000000"/>
        </w:rPr>
        <w:t>.</w:t>
      </w:r>
      <w:r w:rsidRPr="00FC1FF1">
        <w:rPr>
          <w:rFonts w:cs="Calibri"/>
          <w:color w:val="000000"/>
        </w:rPr>
        <w:t xml:space="preserve"> </w:t>
      </w:r>
    </w:p>
    <w:p w14:paraId="4AB03239" w14:textId="2D66B7F3" w:rsidR="0041413F" w:rsidRDefault="0041413F" w:rsidP="0041413F">
      <w:pPr>
        <w:pStyle w:val="BodyText"/>
      </w:pPr>
      <w:r>
        <w:t xml:space="preserve">More information is available at </w:t>
      </w:r>
      <w:hyperlink r:id="rId19">
        <w:r w:rsidRPr="1E82C70A">
          <w:rPr>
            <w:rStyle w:val="Hyperlink"/>
          </w:rPr>
          <w:t>bioregionalassessments.gov.au/</w:t>
        </w:r>
        <w:proofErr w:type="spellStart"/>
        <w:r w:rsidRPr="1E82C70A">
          <w:rPr>
            <w:rStyle w:val="Hyperlink"/>
          </w:rPr>
          <w:t>gba</w:t>
        </w:r>
        <w:proofErr w:type="spellEnd"/>
      </w:hyperlink>
      <w:r w:rsidRPr="008E7458">
        <w:rPr>
          <w:rStyle w:val="Hyperlink"/>
          <w:color w:val="auto"/>
        </w:rPr>
        <w:t>.</w:t>
      </w:r>
    </w:p>
    <w:p w14:paraId="648394FD" w14:textId="77777777" w:rsidR="0041413F" w:rsidRPr="006F3FFB" w:rsidRDefault="0041413F" w:rsidP="0041413F">
      <w:pPr>
        <w:pStyle w:val="Factsheetsubtitle"/>
      </w:pPr>
      <w:r w:rsidRPr="006F3FFB">
        <w:t xml:space="preserve">Acknowledgements </w:t>
      </w:r>
    </w:p>
    <w:p w14:paraId="5E18D6EB" w14:textId="26F79769" w:rsidR="00CC2251" w:rsidRPr="0041413F" w:rsidRDefault="0041413F" w:rsidP="0041413F">
      <w:pPr>
        <w:pStyle w:val="BodyText"/>
      </w:pPr>
      <w:r w:rsidRPr="0041413F">
        <w:t xml:space="preserve">We acknowledge the Traditional Owners as the custodian of the land and springs at Mataranka (including the </w:t>
      </w:r>
      <w:proofErr w:type="spellStart"/>
      <w:r w:rsidRPr="0041413F">
        <w:t>Mangarrayi</w:t>
      </w:r>
      <w:proofErr w:type="spellEnd"/>
      <w:r w:rsidRPr="0041413F">
        <w:t xml:space="preserve"> and </w:t>
      </w:r>
      <w:proofErr w:type="spellStart"/>
      <w:r w:rsidRPr="0041413F">
        <w:t>Yangman</w:t>
      </w:r>
      <w:proofErr w:type="spellEnd"/>
      <w:r w:rsidRPr="0041413F">
        <w:t xml:space="preserve"> people) and are grateful for their support during the survey. We thank Elsey National Park and the NT Department of Environment, Parks and Water Security for granting access to some of the bores and the Northern Land Council for facilitating our collaboration with Traditional Owners.</w:t>
      </w:r>
    </w:p>
    <w:sectPr w:rsidR="00CC2251" w:rsidRPr="0041413F" w:rsidSect="008F358D">
      <w:footerReference w:type="default" r:id="rId20"/>
      <w:pgSz w:w="11906" w:h="16838" w:code="9"/>
      <w:pgMar w:top="1418" w:right="851" w:bottom="1134"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A38C4" w14:textId="77777777" w:rsidR="00884024" w:rsidRDefault="00884024" w:rsidP="009964E7">
      <w:r>
        <w:separator/>
      </w:r>
    </w:p>
    <w:p w14:paraId="57107312" w14:textId="77777777" w:rsidR="00884024" w:rsidRDefault="00884024"/>
  </w:endnote>
  <w:endnote w:type="continuationSeparator" w:id="0">
    <w:p w14:paraId="0D1B1940" w14:textId="77777777" w:rsidR="00884024" w:rsidRDefault="00884024" w:rsidP="009964E7">
      <w:r>
        <w:continuationSeparator/>
      </w:r>
    </w:p>
    <w:p w14:paraId="63A457B5" w14:textId="77777777" w:rsidR="00884024" w:rsidRDefault="00884024"/>
  </w:endnote>
  <w:endnote w:type="continuationNotice" w:id="1">
    <w:p w14:paraId="62E7C59C" w14:textId="77777777" w:rsidR="00884024" w:rsidRDefault="00884024"/>
    <w:p w14:paraId="7094E489" w14:textId="77777777" w:rsidR="00884024" w:rsidRDefault="00884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96FB2" w14:textId="77777777"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551FC012" wp14:editId="3E1867CD">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1D4E2F96" w14:textId="77777777" w:rsidR="00CE28F3" w:rsidRDefault="00CE28F3"/>
                        <w:p w14:paraId="5B844DDB" w14:textId="77777777"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DABA58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a="http://schemas.openxmlformats.org/drawingml/2006/main" xmlns:pic="http://schemas.openxmlformats.org/drawingml/2006/picture" xmlns:a14="http://schemas.microsoft.com/office/drawing/2010/main">
          <w:pict>
            <v:shapetype id="_x0000_t202" coordsize="21600,21600" o:spt="202" path="m,l,21600r21600,l21600,xe" w14:anchorId="551FC012">
              <v:stroke joinstyle="miter"/>
              <v:path gradientshapeok="t" o:connecttype="rect"/>
            </v:shapetype>
            <v:shape id="Text Box 1612190414"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">
              <v:textbox>
                <w:txbxContent>
                  <w:p w:rsidR="00CE28F3" w:rsidRDefault="00CE28F3" w14:paraId="1D4E2F96" w14:textId="77777777"/>
                  <w:p w:rsidR="00CE28F3" w:rsidP="00CE28F3" w:rsidRDefault="00CE28F3" w14:paraId="5B844DDB" w14:textId="77777777">
                    <w:pPr>
                      <w:pStyle w:val="CoverFooter"/>
                    </w:pPr>
                    <w:r>
                      <w:t xml:space="preserve">A scientific collaboration between the Department of </w:t>
                    </w:r>
                    <w:r w:rsidR="003F6F9E">
                      <w:t>Agriculture, Water and the Environment</w:t>
                    </w:r>
                    <w:r>
                      <w:t xml:space="preserve">, </w:t>
                    </w:r>
                  </w:p>
                  <w:p w:rsidR="00351669" w:rsidP="00CE28F3" w:rsidRDefault="00CE28F3" w14:paraId="7DABA58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49530794" wp14:editId="11568605">
          <wp:simplePos x="0" y="0"/>
          <wp:positionH relativeFrom="page">
            <wp:posOffset>-12065</wp:posOffset>
          </wp:positionH>
          <wp:positionV relativeFrom="paragraph">
            <wp:posOffset>-471805</wp:posOffset>
          </wp:positionV>
          <wp:extent cx="7571740" cy="1840865"/>
          <wp:effectExtent l="0" t="0" r="0" b="0"/>
          <wp:wrapNone/>
          <wp:docPr id="2"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BA1E1" w14:textId="77777777" w:rsidR="00884024" w:rsidRDefault="00884024">
      <w:r>
        <w:separator/>
      </w:r>
    </w:p>
    <w:p w14:paraId="6CAE3803" w14:textId="77777777" w:rsidR="00884024" w:rsidRDefault="00884024"/>
  </w:footnote>
  <w:footnote w:type="continuationSeparator" w:id="0">
    <w:p w14:paraId="25C800B1" w14:textId="77777777" w:rsidR="00884024" w:rsidRDefault="00884024">
      <w:r>
        <w:continuationSeparator/>
      </w:r>
    </w:p>
    <w:p w14:paraId="04CF4492" w14:textId="77777777" w:rsidR="00884024" w:rsidRDefault="00884024"/>
  </w:footnote>
  <w:footnote w:type="continuationNotice" w:id="1">
    <w:p w14:paraId="20456561" w14:textId="77777777" w:rsidR="00884024" w:rsidRDefault="00884024"/>
    <w:p w14:paraId="214EF1B0" w14:textId="77777777" w:rsidR="00884024" w:rsidRDefault="008840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DB862C8"/>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hybridMultilevel"/>
    <w:tmpl w:val="6C6E425A"/>
    <w:lvl w:ilvl="0" w:tplc="7F184000">
      <w:start w:val="1"/>
      <w:numFmt w:val="bullet"/>
      <w:pStyle w:val="ListBulletLevel1"/>
      <w:lvlText w:val=""/>
      <w:lvlJc w:val="left"/>
      <w:pPr>
        <w:tabs>
          <w:tab w:val="num" w:pos="312"/>
        </w:tabs>
        <w:ind w:left="312" w:hanging="312"/>
      </w:pPr>
      <w:rPr>
        <w:rFonts w:ascii="Symbol" w:hAnsi="Symbol" w:hint="default"/>
        <w:color w:val="auto"/>
        <w:sz w:val="16"/>
        <w:szCs w:val="16"/>
      </w:rPr>
    </w:lvl>
    <w:lvl w:ilvl="1" w:tplc="CCE89CA0">
      <w:start w:val="1"/>
      <w:numFmt w:val="bullet"/>
      <w:pStyle w:val="ListBulletLevel2"/>
      <w:lvlText w:val=""/>
      <w:lvlJc w:val="left"/>
      <w:pPr>
        <w:tabs>
          <w:tab w:val="num" w:pos="624"/>
        </w:tabs>
        <w:ind w:left="624" w:hanging="312"/>
      </w:pPr>
      <w:rPr>
        <w:rFonts w:ascii="Symbol" w:hAnsi="Symbol" w:hint="default"/>
        <w:color w:val="auto"/>
        <w:sz w:val="16"/>
        <w:szCs w:val="16"/>
      </w:rPr>
    </w:lvl>
    <w:lvl w:ilvl="2" w:tplc="40A67906">
      <w:start w:val="1"/>
      <w:numFmt w:val="none"/>
      <w:lvlText w:val=""/>
      <w:lvlJc w:val="left"/>
      <w:pPr>
        <w:ind w:left="1080" w:hanging="360"/>
      </w:pPr>
      <w:rPr>
        <w:rFonts w:hint="default"/>
      </w:rPr>
    </w:lvl>
    <w:lvl w:ilvl="3" w:tplc="5594837A">
      <w:start w:val="1"/>
      <w:numFmt w:val="none"/>
      <w:lvlText w:val=""/>
      <w:lvlJc w:val="left"/>
      <w:pPr>
        <w:ind w:left="1440" w:hanging="360"/>
      </w:pPr>
      <w:rPr>
        <w:rFonts w:hint="default"/>
      </w:rPr>
    </w:lvl>
    <w:lvl w:ilvl="4" w:tplc="7968EFD6">
      <w:start w:val="1"/>
      <w:numFmt w:val="none"/>
      <w:lvlText w:val=""/>
      <w:lvlJc w:val="left"/>
      <w:pPr>
        <w:ind w:left="1800" w:hanging="360"/>
      </w:pPr>
      <w:rPr>
        <w:rFonts w:hint="default"/>
      </w:rPr>
    </w:lvl>
    <w:lvl w:ilvl="5" w:tplc="A282FAE0">
      <w:start w:val="1"/>
      <w:numFmt w:val="none"/>
      <w:lvlText w:val=""/>
      <w:lvlJc w:val="left"/>
      <w:pPr>
        <w:ind w:left="2160" w:hanging="360"/>
      </w:pPr>
      <w:rPr>
        <w:rFonts w:hint="default"/>
      </w:rPr>
    </w:lvl>
    <w:lvl w:ilvl="6" w:tplc="08585654">
      <w:start w:val="1"/>
      <w:numFmt w:val="none"/>
      <w:lvlText w:val=""/>
      <w:lvlJc w:val="left"/>
      <w:pPr>
        <w:ind w:left="2520" w:hanging="360"/>
      </w:pPr>
      <w:rPr>
        <w:rFonts w:hint="default"/>
      </w:rPr>
    </w:lvl>
    <w:lvl w:ilvl="7" w:tplc="66DEBB6C">
      <w:start w:val="1"/>
      <w:numFmt w:val="none"/>
      <w:lvlText w:val=""/>
      <w:lvlJc w:val="left"/>
      <w:pPr>
        <w:ind w:left="2880" w:hanging="360"/>
      </w:pPr>
      <w:rPr>
        <w:rFonts w:hint="default"/>
      </w:rPr>
    </w:lvl>
    <w:lvl w:ilvl="8" w:tplc="A484F236">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hybridMultilevel"/>
    <w:tmpl w:val="0636A186"/>
    <w:lvl w:ilvl="0" w:tplc="84EE3FAC">
      <w:start w:val="1"/>
      <w:numFmt w:val="bullet"/>
      <w:lvlText w:val="o"/>
      <w:lvlJc w:val="left"/>
      <w:pPr>
        <w:tabs>
          <w:tab w:val="num" w:pos="720"/>
        </w:tabs>
        <w:ind w:left="720" w:hanging="360"/>
      </w:pPr>
      <w:rPr>
        <w:rFonts w:ascii="Courier New" w:hAnsi="Courier New" w:hint="default"/>
        <w:sz w:val="20"/>
      </w:rPr>
    </w:lvl>
    <w:lvl w:ilvl="1" w:tplc="1A98B390" w:tentative="1">
      <w:start w:val="1"/>
      <w:numFmt w:val="bullet"/>
      <w:lvlText w:val="o"/>
      <w:lvlJc w:val="left"/>
      <w:pPr>
        <w:tabs>
          <w:tab w:val="num" w:pos="1440"/>
        </w:tabs>
        <w:ind w:left="1440" w:hanging="360"/>
      </w:pPr>
      <w:rPr>
        <w:rFonts w:ascii="Courier New" w:hAnsi="Courier New" w:hint="default"/>
        <w:sz w:val="20"/>
      </w:rPr>
    </w:lvl>
    <w:lvl w:ilvl="2" w:tplc="32148EDE" w:tentative="1">
      <w:start w:val="1"/>
      <w:numFmt w:val="bullet"/>
      <w:lvlText w:val="o"/>
      <w:lvlJc w:val="left"/>
      <w:pPr>
        <w:tabs>
          <w:tab w:val="num" w:pos="2160"/>
        </w:tabs>
        <w:ind w:left="2160" w:hanging="360"/>
      </w:pPr>
      <w:rPr>
        <w:rFonts w:ascii="Courier New" w:hAnsi="Courier New" w:hint="default"/>
        <w:sz w:val="20"/>
      </w:rPr>
    </w:lvl>
    <w:lvl w:ilvl="3" w:tplc="6B367B74" w:tentative="1">
      <w:start w:val="1"/>
      <w:numFmt w:val="bullet"/>
      <w:lvlText w:val="o"/>
      <w:lvlJc w:val="left"/>
      <w:pPr>
        <w:tabs>
          <w:tab w:val="num" w:pos="2880"/>
        </w:tabs>
        <w:ind w:left="2880" w:hanging="360"/>
      </w:pPr>
      <w:rPr>
        <w:rFonts w:ascii="Courier New" w:hAnsi="Courier New" w:hint="default"/>
        <w:sz w:val="20"/>
      </w:rPr>
    </w:lvl>
    <w:lvl w:ilvl="4" w:tplc="7A6627F0" w:tentative="1">
      <w:start w:val="1"/>
      <w:numFmt w:val="bullet"/>
      <w:lvlText w:val="o"/>
      <w:lvlJc w:val="left"/>
      <w:pPr>
        <w:tabs>
          <w:tab w:val="num" w:pos="3600"/>
        </w:tabs>
        <w:ind w:left="3600" w:hanging="360"/>
      </w:pPr>
      <w:rPr>
        <w:rFonts w:ascii="Courier New" w:hAnsi="Courier New" w:hint="default"/>
        <w:sz w:val="20"/>
      </w:rPr>
    </w:lvl>
    <w:lvl w:ilvl="5" w:tplc="8F647378" w:tentative="1">
      <w:start w:val="1"/>
      <w:numFmt w:val="bullet"/>
      <w:lvlText w:val="o"/>
      <w:lvlJc w:val="left"/>
      <w:pPr>
        <w:tabs>
          <w:tab w:val="num" w:pos="4320"/>
        </w:tabs>
        <w:ind w:left="4320" w:hanging="360"/>
      </w:pPr>
      <w:rPr>
        <w:rFonts w:ascii="Courier New" w:hAnsi="Courier New" w:hint="default"/>
        <w:sz w:val="20"/>
      </w:rPr>
    </w:lvl>
    <w:lvl w:ilvl="6" w:tplc="484609FA" w:tentative="1">
      <w:start w:val="1"/>
      <w:numFmt w:val="bullet"/>
      <w:lvlText w:val="o"/>
      <w:lvlJc w:val="left"/>
      <w:pPr>
        <w:tabs>
          <w:tab w:val="num" w:pos="5040"/>
        </w:tabs>
        <w:ind w:left="5040" w:hanging="360"/>
      </w:pPr>
      <w:rPr>
        <w:rFonts w:ascii="Courier New" w:hAnsi="Courier New" w:hint="default"/>
        <w:sz w:val="20"/>
      </w:rPr>
    </w:lvl>
    <w:lvl w:ilvl="7" w:tplc="3B2A10D0" w:tentative="1">
      <w:start w:val="1"/>
      <w:numFmt w:val="bullet"/>
      <w:lvlText w:val="o"/>
      <w:lvlJc w:val="left"/>
      <w:pPr>
        <w:tabs>
          <w:tab w:val="num" w:pos="5760"/>
        </w:tabs>
        <w:ind w:left="5760" w:hanging="360"/>
      </w:pPr>
      <w:rPr>
        <w:rFonts w:ascii="Courier New" w:hAnsi="Courier New" w:hint="default"/>
        <w:sz w:val="20"/>
      </w:rPr>
    </w:lvl>
    <w:lvl w:ilvl="8" w:tplc="6F2A09AA"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hybridMultilevel"/>
    <w:tmpl w:val="F6D4E97C"/>
    <w:lvl w:ilvl="0" w:tplc="695C8674">
      <w:start w:val="1"/>
      <w:numFmt w:val="bullet"/>
      <w:lvlText w:val=""/>
      <w:lvlJc w:val="left"/>
      <w:pPr>
        <w:ind w:left="720" w:hanging="360"/>
      </w:pPr>
      <w:rPr>
        <w:rFonts w:ascii="Symbol" w:hAnsi="Symbol" w:hint="default"/>
        <w:color w:val="auto"/>
      </w:rPr>
    </w:lvl>
    <w:lvl w:ilvl="1" w:tplc="B6A41FEA">
      <w:start w:val="1"/>
      <w:numFmt w:val="bullet"/>
      <w:lvlText w:val=""/>
      <w:lvlJc w:val="left"/>
      <w:pPr>
        <w:tabs>
          <w:tab w:val="num" w:pos="851"/>
        </w:tabs>
        <w:ind w:left="851" w:hanging="284"/>
      </w:pPr>
      <w:rPr>
        <w:rFonts w:ascii="Symbol" w:hAnsi="Symbol" w:hint="default"/>
        <w:color w:val="auto"/>
      </w:rPr>
    </w:lvl>
    <w:lvl w:ilvl="2" w:tplc="DCD0D6D4">
      <w:start w:val="1"/>
      <w:numFmt w:val="none"/>
      <w:lvlText w:val=""/>
      <w:lvlJc w:val="left"/>
      <w:pPr>
        <w:ind w:left="1080" w:hanging="360"/>
      </w:pPr>
      <w:rPr>
        <w:rFonts w:hint="default"/>
      </w:rPr>
    </w:lvl>
    <w:lvl w:ilvl="3" w:tplc="2D683406">
      <w:start w:val="1"/>
      <w:numFmt w:val="none"/>
      <w:lvlText w:val=""/>
      <w:lvlJc w:val="left"/>
      <w:pPr>
        <w:ind w:left="1440" w:hanging="360"/>
      </w:pPr>
      <w:rPr>
        <w:rFonts w:hint="default"/>
      </w:rPr>
    </w:lvl>
    <w:lvl w:ilvl="4" w:tplc="40207740">
      <w:start w:val="1"/>
      <w:numFmt w:val="none"/>
      <w:lvlText w:val=""/>
      <w:lvlJc w:val="left"/>
      <w:pPr>
        <w:ind w:left="1800" w:hanging="360"/>
      </w:pPr>
      <w:rPr>
        <w:rFonts w:hint="default"/>
      </w:rPr>
    </w:lvl>
    <w:lvl w:ilvl="5" w:tplc="3E0E173A">
      <w:start w:val="1"/>
      <w:numFmt w:val="none"/>
      <w:lvlText w:val=""/>
      <w:lvlJc w:val="left"/>
      <w:pPr>
        <w:ind w:left="2160" w:hanging="360"/>
      </w:pPr>
      <w:rPr>
        <w:rFonts w:hint="default"/>
      </w:rPr>
    </w:lvl>
    <w:lvl w:ilvl="6" w:tplc="6954362A">
      <w:start w:val="1"/>
      <w:numFmt w:val="none"/>
      <w:lvlText w:val=""/>
      <w:lvlJc w:val="left"/>
      <w:pPr>
        <w:ind w:left="2520" w:hanging="360"/>
      </w:pPr>
      <w:rPr>
        <w:rFonts w:hint="default"/>
      </w:rPr>
    </w:lvl>
    <w:lvl w:ilvl="7" w:tplc="6CA2F1D6">
      <w:start w:val="1"/>
      <w:numFmt w:val="none"/>
      <w:lvlText w:val=""/>
      <w:lvlJc w:val="left"/>
      <w:pPr>
        <w:ind w:left="2880" w:hanging="360"/>
      </w:pPr>
      <w:rPr>
        <w:rFonts w:hint="default"/>
      </w:rPr>
    </w:lvl>
    <w:lvl w:ilvl="8" w:tplc="65B8BD98">
      <w:start w:val="1"/>
      <w:numFmt w:val="none"/>
      <w:lvlText w:val=""/>
      <w:lvlJc w:val="left"/>
      <w:pPr>
        <w:ind w:left="3240" w:hanging="360"/>
      </w:pPr>
      <w:rPr>
        <w:rFonts w:hint="default"/>
      </w:rPr>
    </w:lvl>
  </w:abstractNum>
  <w:abstractNum w:abstractNumId="7" w15:restartNumberingAfterBreak="0">
    <w:nsid w:val="0CEB3FD7"/>
    <w:multiLevelType w:val="multilevel"/>
    <w:tmpl w:val="D0CE2C42"/>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CB326C0"/>
    <w:multiLevelType w:val="hybridMultilevel"/>
    <w:tmpl w:val="803AA6DA"/>
    <w:lvl w:ilvl="0" w:tplc="6E2269C6">
      <w:start w:val="1"/>
      <w:numFmt w:val="bullet"/>
      <w:lvlText w:val=""/>
      <w:lvlJc w:val="left"/>
      <w:pPr>
        <w:ind w:left="720" w:hanging="360"/>
      </w:pPr>
      <w:rPr>
        <w:rFonts w:ascii="Symbol" w:hAnsi="Symbol" w:hint="default"/>
      </w:rPr>
    </w:lvl>
    <w:lvl w:ilvl="1" w:tplc="34843920">
      <w:start w:val="1"/>
      <w:numFmt w:val="bullet"/>
      <w:lvlText w:val="o"/>
      <w:lvlJc w:val="left"/>
      <w:pPr>
        <w:ind w:left="1440" w:hanging="360"/>
      </w:pPr>
      <w:rPr>
        <w:rFonts w:ascii="Courier New" w:hAnsi="Courier New" w:hint="default"/>
      </w:rPr>
    </w:lvl>
    <w:lvl w:ilvl="2" w:tplc="E94E08A8">
      <w:start w:val="1"/>
      <w:numFmt w:val="bullet"/>
      <w:lvlText w:val=""/>
      <w:lvlJc w:val="left"/>
      <w:pPr>
        <w:ind w:left="2160" w:hanging="360"/>
      </w:pPr>
      <w:rPr>
        <w:rFonts w:ascii="Wingdings" w:hAnsi="Wingdings" w:hint="default"/>
      </w:rPr>
    </w:lvl>
    <w:lvl w:ilvl="3" w:tplc="5AA61F96">
      <w:start w:val="1"/>
      <w:numFmt w:val="bullet"/>
      <w:lvlText w:val=""/>
      <w:lvlJc w:val="left"/>
      <w:pPr>
        <w:ind w:left="2880" w:hanging="360"/>
      </w:pPr>
      <w:rPr>
        <w:rFonts w:ascii="Symbol" w:hAnsi="Symbol" w:hint="default"/>
      </w:rPr>
    </w:lvl>
    <w:lvl w:ilvl="4" w:tplc="32E25F5E">
      <w:start w:val="1"/>
      <w:numFmt w:val="bullet"/>
      <w:lvlText w:val="o"/>
      <w:lvlJc w:val="left"/>
      <w:pPr>
        <w:ind w:left="3600" w:hanging="360"/>
      </w:pPr>
      <w:rPr>
        <w:rFonts w:ascii="Courier New" w:hAnsi="Courier New" w:hint="default"/>
      </w:rPr>
    </w:lvl>
    <w:lvl w:ilvl="5" w:tplc="352E9C9C">
      <w:start w:val="1"/>
      <w:numFmt w:val="bullet"/>
      <w:lvlText w:val=""/>
      <w:lvlJc w:val="left"/>
      <w:pPr>
        <w:ind w:left="4320" w:hanging="360"/>
      </w:pPr>
      <w:rPr>
        <w:rFonts w:ascii="Wingdings" w:hAnsi="Wingdings" w:hint="default"/>
      </w:rPr>
    </w:lvl>
    <w:lvl w:ilvl="6" w:tplc="BD120AF8">
      <w:start w:val="1"/>
      <w:numFmt w:val="bullet"/>
      <w:lvlText w:val=""/>
      <w:lvlJc w:val="left"/>
      <w:pPr>
        <w:ind w:left="5040" w:hanging="360"/>
      </w:pPr>
      <w:rPr>
        <w:rFonts w:ascii="Symbol" w:hAnsi="Symbol" w:hint="default"/>
      </w:rPr>
    </w:lvl>
    <w:lvl w:ilvl="7" w:tplc="21181F18">
      <w:start w:val="1"/>
      <w:numFmt w:val="bullet"/>
      <w:lvlText w:val="o"/>
      <w:lvlJc w:val="left"/>
      <w:pPr>
        <w:ind w:left="5760" w:hanging="360"/>
      </w:pPr>
      <w:rPr>
        <w:rFonts w:ascii="Courier New" w:hAnsi="Courier New" w:hint="default"/>
      </w:rPr>
    </w:lvl>
    <w:lvl w:ilvl="8" w:tplc="32A8E2AC">
      <w:start w:val="1"/>
      <w:numFmt w:val="bullet"/>
      <w:lvlText w:val=""/>
      <w:lvlJc w:val="left"/>
      <w:pPr>
        <w:ind w:left="6480" w:hanging="360"/>
      </w:pPr>
      <w:rPr>
        <w:rFonts w:ascii="Wingdings" w:hAnsi="Wingdings" w:hint="default"/>
      </w:rPr>
    </w:lvl>
  </w:abstractNum>
  <w:abstractNum w:abstractNumId="11"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3"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86735F"/>
    <w:multiLevelType w:val="hybridMultilevel"/>
    <w:tmpl w:val="34B69DEC"/>
    <w:styleLink w:val="TableBullets"/>
    <w:lvl w:ilvl="0" w:tplc="ACA252E2">
      <w:start w:val="1"/>
      <w:numFmt w:val="decimal"/>
      <w:lvlText w:val="%1."/>
      <w:lvlJc w:val="left"/>
      <w:pPr>
        <w:ind w:left="360" w:hanging="360"/>
      </w:pPr>
      <w:rPr>
        <w:rFonts w:cs="Times New Roman"/>
      </w:rPr>
    </w:lvl>
    <w:lvl w:ilvl="1" w:tplc="FFBED2B6">
      <w:numFmt w:val="decimal"/>
      <w:lvlText w:val=""/>
      <w:lvlJc w:val="left"/>
    </w:lvl>
    <w:lvl w:ilvl="2" w:tplc="316A0F68">
      <w:numFmt w:val="decimal"/>
      <w:lvlText w:val=""/>
      <w:lvlJc w:val="left"/>
    </w:lvl>
    <w:lvl w:ilvl="3" w:tplc="5532C7F6">
      <w:numFmt w:val="decimal"/>
      <w:lvlText w:val=""/>
      <w:lvlJc w:val="left"/>
    </w:lvl>
    <w:lvl w:ilvl="4" w:tplc="E70068AA">
      <w:numFmt w:val="decimal"/>
      <w:lvlText w:val=""/>
      <w:lvlJc w:val="left"/>
    </w:lvl>
    <w:lvl w:ilvl="5" w:tplc="C540A1E2">
      <w:numFmt w:val="decimal"/>
      <w:lvlText w:val=""/>
      <w:lvlJc w:val="left"/>
    </w:lvl>
    <w:lvl w:ilvl="6" w:tplc="FB602F3A">
      <w:numFmt w:val="decimal"/>
      <w:lvlText w:val=""/>
      <w:lvlJc w:val="left"/>
    </w:lvl>
    <w:lvl w:ilvl="7" w:tplc="34C4BF8A">
      <w:numFmt w:val="decimal"/>
      <w:lvlText w:val=""/>
      <w:lvlJc w:val="left"/>
    </w:lvl>
    <w:lvl w:ilvl="8" w:tplc="BF84C766">
      <w:numFmt w:val="decimal"/>
      <w:lvlText w:val=""/>
      <w:lvlJc w:val="left"/>
    </w:lvl>
  </w:abstractNum>
  <w:abstractNum w:abstractNumId="15"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6"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3" w15:restartNumberingAfterBreak="0">
    <w:nsid w:val="3FCD6172"/>
    <w:multiLevelType w:val="hybridMultilevel"/>
    <w:tmpl w:val="1A86F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4873E9"/>
    <w:multiLevelType w:val="hybridMultilevel"/>
    <w:tmpl w:val="06B48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A15E38"/>
    <w:multiLevelType w:val="hybridMultilevel"/>
    <w:tmpl w:val="C4F20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846ED3"/>
    <w:multiLevelType w:val="hybridMultilevel"/>
    <w:tmpl w:val="E800E2C0"/>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0" w15:restartNumberingAfterBreak="0">
    <w:nsid w:val="54767026"/>
    <w:multiLevelType w:val="hybridMultilevel"/>
    <w:tmpl w:val="684C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32"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5"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744F83"/>
    <w:multiLevelType w:val="hybridMultilevel"/>
    <w:tmpl w:val="F6D4E97C"/>
    <w:lvl w:ilvl="0" w:tplc="50FC465E">
      <w:start w:val="1"/>
      <w:numFmt w:val="bullet"/>
      <w:lvlText w:val=""/>
      <w:lvlJc w:val="left"/>
      <w:pPr>
        <w:ind w:left="720" w:hanging="360"/>
      </w:pPr>
      <w:rPr>
        <w:rFonts w:ascii="Symbol" w:hAnsi="Symbol" w:hint="default"/>
        <w:color w:val="auto"/>
      </w:rPr>
    </w:lvl>
    <w:lvl w:ilvl="1" w:tplc="E9089854">
      <w:start w:val="1"/>
      <w:numFmt w:val="bullet"/>
      <w:lvlText w:val=""/>
      <w:lvlJc w:val="left"/>
      <w:pPr>
        <w:tabs>
          <w:tab w:val="num" w:pos="851"/>
        </w:tabs>
        <w:ind w:left="851" w:hanging="284"/>
      </w:pPr>
      <w:rPr>
        <w:rFonts w:ascii="Symbol" w:hAnsi="Symbol" w:hint="default"/>
        <w:color w:val="auto"/>
      </w:rPr>
    </w:lvl>
    <w:lvl w:ilvl="2" w:tplc="63D6A65A">
      <w:start w:val="1"/>
      <w:numFmt w:val="none"/>
      <w:lvlText w:val=""/>
      <w:lvlJc w:val="left"/>
      <w:pPr>
        <w:ind w:left="1080" w:hanging="360"/>
      </w:pPr>
      <w:rPr>
        <w:rFonts w:hint="default"/>
      </w:rPr>
    </w:lvl>
    <w:lvl w:ilvl="3" w:tplc="68A02D2E">
      <w:start w:val="1"/>
      <w:numFmt w:val="none"/>
      <w:lvlText w:val=""/>
      <w:lvlJc w:val="left"/>
      <w:pPr>
        <w:ind w:left="1440" w:hanging="360"/>
      </w:pPr>
      <w:rPr>
        <w:rFonts w:hint="default"/>
      </w:rPr>
    </w:lvl>
    <w:lvl w:ilvl="4" w:tplc="82AEEB6A">
      <w:start w:val="1"/>
      <w:numFmt w:val="none"/>
      <w:lvlText w:val=""/>
      <w:lvlJc w:val="left"/>
      <w:pPr>
        <w:ind w:left="1800" w:hanging="360"/>
      </w:pPr>
      <w:rPr>
        <w:rFonts w:hint="default"/>
      </w:rPr>
    </w:lvl>
    <w:lvl w:ilvl="5" w:tplc="FA2ABFC8">
      <w:start w:val="1"/>
      <w:numFmt w:val="none"/>
      <w:lvlText w:val=""/>
      <w:lvlJc w:val="left"/>
      <w:pPr>
        <w:ind w:left="2160" w:hanging="360"/>
      </w:pPr>
      <w:rPr>
        <w:rFonts w:hint="default"/>
      </w:rPr>
    </w:lvl>
    <w:lvl w:ilvl="6" w:tplc="D062C96C">
      <w:start w:val="1"/>
      <w:numFmt w:val="none"/>
      <w:lvlText w:val=""/>
      <w:lvlJc w:val="left"/>
      <w:pPr>
        <w:ind w:left="2520" w:hanging="360"/>
      </w:pPr>
      <w:rPr>
        <w:rFonts w:hint="default"/>
      </w:rPr>
    </w:lvl>
    <w:lvl w:ilvl="7" w:tplc="AF74AB22">
      <w:start w:val="1"/>
      <w:numFmt w:val="none"/>
      <w:lvlText w:val=""/>
      <w:lvlJc w:val="left"/>
      <w:pPr>
        <w:ind w:left="2880" w:hanging="360"/>
      </w:pPr>
      <w:rPr>
        <w:rFonts w:hint="default"/>
      </w:rPr>
    </w:lvl>
    <w:lvl w:ilvl="8" w:tplc="D56C07FA">
      <w:start w:val="1"/>
      <w:numFmt w:val="none"/>
      <w:lvlText w:val=""/>
      <w:lvlJc w:val="left"/>
      <w:pPr>
        <w:ind w:left="3240" w:hanging="360"/>
      </w:pPr>
      <w:rPr>
        <w:rFonts w:hint="default"/>
      </w:rPr>
    </w:lvl>
  </w:abstractNum>
  <w:abstractNum w:abstractNumId="39"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40"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5"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0"/>
  </w:num>
  <w:num w:numId="2">
    <w:abstractNumId w:val="14"/>
  </w:num>
  <w:num w:numId="3">
    <w:abstractNumId w:val="39"/>
  </w:num>
  <w:num w:numId="4">
    <w:abstractNumId w:val="13"/>
  </w:num>
  <w:num w:numId="5">
    <w:abstractNumId w:val="43"/>
  </w:num>
  <w:num w:numId="6">
    <w:abstractNumId w:val="19"/>
  </w:num>
  <w:num w:numId="7">
    <w:abstractNumId w:val="7"/>
  </w:num>
  <w:num w:numId="8">
    <w:abstractNumId w:val="42"/>
  </w:num>
  <w:num w:numId="9">
    <w:abstractNumId w:val="5"/>
  </w:num>
  <w:num w:numId="10">
    <w:abstractNumId w:val="0"/>
  </w:num>
  <w:num w:numId="11">
    <w:abstractNumId w:val="7"/>
  </w:num>
  <w:num w:numId="12">
    <w:abstractNumId w:val="12"/>
  </w:num>
  <w:num w:numId="13">
    <w:abstractNumId w:val="1"/>
  </w:num>
  <w:num w:numId="14">
    <w:abstractNumId w:val="38"/>
  </w:num>
  <w:num w:numId="15">
    <w:abstractNumId w:val="8"/>
  </w:num>
  <w:num w:numId="16">
    <w:abstractNumId w:val="6"/>
  </w:num>
  <w:num w:numId="17">
    <w:abstractNumId w:val="18"/>
  </w:num>
  <w:num w:numId="18">
    <w:abstractNumId w:val="45"/>
  </w:num>
  <w:num w:numId="19">
    <w:abstractNumId w:val="9"/>
  </w:num>
  <w:num w:numId="20">
    <w:abstractNumId w:val="15"/>
  </w:num>
  <w:num w:numId="21">
    <w:abstractNumId w:val="33"/>
  </w:num>
  <w:num w:numId="22">
    <w:abstractNumId w:val="16"/>
  </w:num>
  <w:num w:numId="23">
    <w:abstractNumId w:val="3"/>
  </w:num>
  <w:num w:numId="24">
    <w:abstractNumId w:val="21"/>
  </w:num>
  <w:num w:numId="25">
    <w:abstractNumId w:val="36"/>
  </w:num>
  <w:num w:numId="26">
    <w:abstractNumId w:val="37"/>
  </w:num>
  <w:num w:numId="27">
    <w:abstractNumId w:val="4"/>
  </w:num>
  <w:num w:numId="28">
    <w:abstractNumId w:val="2"/>
  </w:num>
  <w:num w:numId="29">
    <w:abstractNumId w:val="31"/>
  </w:num>
  <w:num w:numId="30">
    <w:abstractNumId w:val="29"/>
  </w:num>
  <w:num w:numId="31">
    <w:abstractNumId w:val="22"/>
  </w:num>
  <w:num w:numId="32">
    <w:abstractNumId w:val="28"/>
  </w:num>
  <w:num w:numId="33">
    <w:abstractNumId w:val="25"/>
  </w:num>
  <w:num w:numId="34">
    <w:abstractNumId w:val="32"/>
  </w:num>
  <w:num w:numId="35">
    <w:abstractNumId w:val="11"/>
  </w:num>
  <w:num w:numId="36">
    <w:abstractNumId w:val="41"/>
  </w:num>
  <w:num w:numId="37">
    <w:abstractNumId w:val="46"/>
  </w:num>
  <w:num w:numId="38">
    <w:abstractNumId w:val="34"/>
  </w:num>
  <w:num w:numId="39">
    <w:abstractNumId w:val="44"/>
  </w:num>
  <w:num w:numId="40">
    <w:abstractNumId w:val="35"/>
  </w:num>
  <w:num w:numId="41">
    <w:abstractNumId w:val="40"/>
  </w:num>
  <w:num w:numId="42">
    <w:abstractNumId w:val="42"/>
  </w:num>
  <w:num w:numId="43">
    <w:abstractNumId w:val="42"/>
  </w:num>
  <w:num w:numId="44">
    <w:abstractNumId w:val="17"/>
  </w:num>
  <w:num w:numId="45">
    <w:abstractNumId w:val="20"/>
  </w:num>
  <w:num w:numId="46">
    <w:abstractNumId w:val="27"/>
  </w:num>
  <w:num w:numId="47">
    <w:abstractNumId w:val="26"/>
  </w:num>
  <w:num w:numId="48">
    <w:abstractNumId w:val="30"/>
  </w:num>
  <w:num w:numId="49">
    <w:abstractNumId w:val="24"/>
  </w:num>
  <w:num w:numId="50">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B53C9"/>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B75"/>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5E85"/>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CB8"/>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9F"/>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21C"/>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0AA"/>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BBD"/>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7B7"/>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2"/>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4FED"/>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6F8E"/>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56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3BD"/>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97B"/>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3E"/>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990"/>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1"/>
    <w:rsid w:val="002F045F"/>
    <w:rsid w:val="002F05C9"/>
    <w:rsid w:val="002F0664"/>
    <w:rsid w:val="002F06CC"/>
    <w:rsid w:val="002F08A8"/>
    <w:rsid w:val="002F0D19"/>
    <w:rsid w:val="002F130F"/>
    <w:rsid w:val="002F17E4"/>
    <w:rsid w:val="002F1826"/>
    <w:rsid w:val="002F1831"/>
    <w:rsid w:val="002F18E6"/>
    <w:rsid w:val="002F196C"/>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267"/>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4D"/>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369"/>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AFB"/>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AD2"/>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13F"/>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E95"/>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0B"/>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3C9"/>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2B9"/>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8CF"/>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4FB8"/>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2E88"/>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A57"/>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1F4"/>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60B"/>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594"/>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92"/>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5FB"/>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288"/>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2ECC"/>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661"/>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186"/>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9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4EB"/>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75"/>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7CE"/>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024"/>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88C"/>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58"/>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58D"/>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23F"/>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4D"/>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D14"/>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ABF"/>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2E"/>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1EE"/>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8B"/>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6F53"/>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024"/>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4F87"/>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C0F"/>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22"/>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891"/>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DDC"/>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34"/>
    <w:rsid w:val="00CA7BCF"/>
    <w:rsid w:val="00CA7BF5"/>
    <w:rsid w:val="00CA7CFC"/>
    <w:rsid w:val="00CA7D0D"/>
    <w:rsid w:val="00CA7D50"/>
    <w:rsid w:val="00CA7EBF"/>
    <w:rsid w:val="00CB0240"/>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251"/>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DA2"/>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A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DA5"/>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E4B"/>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B54"/>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88B"/>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67C"/>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B7FF6"/>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D72"/>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316"/>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ABCD2"/>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194FCD3"/>
    <w:rsid w:val="025A4060"/>
    <w:rsid w:val="02FFC925"/>
    <w:rsid w:val="036136AE"/>
    <w:rsid w:val="0374C1DE"/>
    <w:rsid w:val="03F610C1"/>
    <w:rsid w:val="04663478"/>
    <w:rsid w:val="04BA22BC"/>
    <w:rsid w:val="06F62C73"/>
    <w:rsid w:val="07151BFB"/>
    <w:rsid w:val="08753343"/>
    <w:rsid w:val="0905BF31"/>
    <w:rsid w:val="09D87239"/>
    <w:rsid w:val="09DAA7B5"/>
    <w:rsid w:val="09E89039"/>
    <w:rsid w:val="0A67B257"/>
    <w:rsid w:val="0AAAC018"/>
    <w:rsid w:val="0AE9C665"/>
    <w:rsid w:val="0B43F1A0"/>
    <w:rsid w:val="0C011AFF"/>
    <w:rsid w:val="0C988812"/>
    <w:rsid w:val="0D8B36F1"/>
    <w:rsid w:val="0D926613"/>
    <w:rsid w:val="0E904202"/>
    <w:rsid w:val="0F53E449"/>
    <w:rsid w:val="102C1263"/>
    <w:rsid w:val="10423575"/>
    <w:rsid w:val="10A4E01A"/>
    <w:rsid w:val="110DCD22"/>
    <w:rsid w:val="1175F04F"/>
    <w:rsid w:val="121C0D08"/>
    <w:rsid w:val="1363B325"/>
    <w:rsid w:val="143DECA5"/>
    <w:rsid w:val="14716877"/>
    <w:rsid w:val="1545B801"/>
    <w:rsid w:val="17255061"/>
    <w:rsid w:val="17A2BE2D"/>
    <w:rsid w:val="17F5C8C5"/>
    <w:rsid w:val="18191354"/>
    <w:rsid w:val="18BDE2F5"/>
    <w:rsid w:val="18CEACA3"/>
    <w:rsid w:val="191952A6"/>
    <w:rsid w:val="1949A5B3"/>
    <w:rsid w:val="1960DDE0"/>
    <w:rsid w:val="1A192924"/>
    <w:rsid w:val="1BBB5D4C"/>
    <w:rsid w:val="1DC9416E"/>
    <w:rsid w:val="1E46B9BD"/>
    <w:rsid w:val="1E82C70A"/>
    <w:rsid w:val="1F9384FB"/>
    <w:rsid w:val="1FBB2545"/>
    <w:rsid w:val="1FE57496"/>
    <w:rsid w:val="208A26CB"/>
    <w:rsid w:val="20BB2009"/>
    <w:rsid w:val="2169866B"/>
    <w:rsid w:val="2380FEA2"/>
    <w:rsid w:val="23A8FDD2"/>
    <w:rsid w:val="25635122"/>
    <w:rsid w:val="256F98D9"/>
    <w:rsid w:val="257E46D3"/>
    <w:rsid w:val="25885026"/>
    <w:rsid w:val="266C32E3"/>
    <w:rsid w:val="269650F7"/>
    <w:rsid w:val="26E98CD1"/>
    <w:rsid w:val="26FFA0A0"/>
    <w:rsid w:val="29080A86"/>
    <w:rsid w:val="291B904C"/>
    <w:rsid w:val="2979BE50"/>
    <w:rsid w:val="29AC8302"/>
    <w:rsid w:val="2A0FB36D"/>
    <w:rsid w:val="2A196C72"/>
    <w:rsid w:val="2A6D8143"/>
    <w:rsid w:val="2B089F68"/>
    <w:rsid w:val="2B158EB1"/>
    <w:rsid w:val="2B875550"/>
    <w:rsid w:val="2BCC3D03"/>
    <w:rsid w:val="2BE445AC"/>
    <w:rsid w:val="2C9FC0E0"/>
    <w:rsid w:val="2CD30A97"/>
    <w:rsid w:val="2D655E31"/>
    <w:rsid w:val="2DD93BAE"/>
    <w:rsid w:val="2E7FF425"/>
    <w:rsid w:val="2E964568"/>
    <w:rsid w:val="2E9C37E4"/>
    <w:rsid w:val="2F025F4B"/>
    <w:rsid w:val="2F08AE46"/>
    <w:rsid w:val="2F354B39"/>
    <w:rsid w:val="31B7B385"/>
    <w:rsid w:val="33FB3B2C"/>
    <w:rsid w:val="34999F35"/>
    <w:rsid w:val="3538706E"/>
    <w:rsid w:val="353B1D04"/>
    <w:rsid w:val="35A97A53"/>
    <w:rsid w:val="35CAA73B"/>
    <w:rsid w:val="3776A3ED"/>
    <w:rsid w:val="381B1FED"/>
    <w:rsid w:val="38A0159D"/>
    <w:rsid w:val="38CDF563"/>
    <w:rsid w:val="38FFDD6A"/>
    <w:rsid w:val="397DFD0B"/>
    <w:rsid w:val="39A891A4"/>
    <w:rsid w:val="39DB979F"/>
    <w:rsid w:val="39F8D2F7"/>
    <w:rsid w:val="3A9BADCB"/>
    <w:rsid w:val="3AD11DCE"/>
    <w:rsid w:val="3ADF75CA"/>
    <w:rsid w:val="3B52C0AF"/>
    <w:rsid w:val="3C579640"/>
    <w:rsid w:val="3CA61DF1"/>
    <w:rsid w:val="3CC690A2"/>
    <w:rsid w:val="3D6B4476"/>
    <w:rsid w:val="3E645A0A"/>
    <w:rsid w:val="3EF5F6FE"/>
    <w:rsid w:val="3EFCF03E"/>
    <w:rsid w:val="3F5CA9DA"/>
    <w:rsid w:val="3F9E65A2"/>
    <w:rsid w:val="40F1C6F2"/>
    <w:rsid w:val="413434D0"/>
    <w:rsid w:val="4137B432"/>
    <w:rsid w:val="4214A824"/>
    <w:rsid w:val="42498D32"/>
    <w:rsid w:val="424BF5C0"/>
    <w:rsid w:val="42E28FD7"/>
    <w:rsid w:val="4319E25C"/>
    <w:rsid w:val="434131B2"/>
    <w:rsid w:val="43F82287"/>
    <w:rsid w:val="444423A8"/>
    <w:rsid w:val="46E518FB"/>
    <w:rsid w:val="471AD7F9"/>
    <w:rsid w:val="47B6FB9D"/>
    <w:rsid w:val="47ECE440"/>
    <w:rsid w:val="4810F767"/>
    <w:rsid w:val="48AE894A"/>
    <w:rsid w:val="49E08251"/>
    <w:rsid w:val="49E8D6D1"/>
    <w:rsid w:val="49F09BCA"/>
    <w:rsid w:val="4AB3FCEA"/>
    <w:rsid w:val="4AB43E57"/>
    <w:rsid w:val="4AB7BA95"/>
    <w:rsid w:val="4B58BA57"/>
    <w:rsid w:val="4C18B734"/>
    <w:rsid w:val="4C8A20B4"/>
    <w:rsid w:val="4C8E377A"/>
    <w:rsid w:val="4D2E7105"/>
    <w:rsid w:val="4D81FA6D"/>
    <w:rsid w:val="4DC3F864"/>
    <w:rsid w:val="4E03F6C1"/>
    <w:rsid w:val="4EBF4D50"/>
    <w:rsid w:val="4EDEF2EC"/>
    <w:rsid w:val="4FA7DAF1"/>
    <w:rsid w:val="4FB63BAD"/>
    <w:rsid w:val="4FF86564"/>
    <w:rsid w:val="5029D57F"/>
    <w:rsid w:val="505D1E8A"/>
    <w:rsid w:val="50BAFFBD"/>
    <w:rsid w:val="5135DFBA"/>
    <w:rsid w:val="519435C5"/>
    <w:rsid w:val="51D76EC9"/>
    <w:rsid w:val="5250A9C1"/>
    <w:rsid w:val="52FA0771"/>
    <w:rsid w:val="5358635A"/>
    <w:rsid w:val="54BDACDF"/>
    <w:rsid w:val="5522A6E7"/>
    <w:rsid w:val="55989FEF"/>
    <w:rsid w:val="55CB40A7"/>
    <w:rsid w:val="56084A10"/>
    <w:rsid w:val="5615C955"/>
    <w:rsid w:val="5808EE4F"/>
    <w:rsid w:val="586623CB"/>
    <w:rsid w:val="58A56397"/>
    <w:rsid w:val="58D6E006"/>
    <w:rsid w:val="59B87007"/>
    <w:rsid w:val="5A0D207E"/>
    <w:rsid w:val="5A85896D"/>
    <w:rsid w:val="5B34858B"/>
    <w:rsid w:val="5BF82D97"/>
    <w:rsid w:val="5D0F64F8"/>
    <w:rsid w:val="5DDADA9F"/>
    <w:rsid w:val="5E4D6992"/>
    <w:rsid w:val="5E5BC96D"/>
    <w:rsid w:val="5EBA5D21"/>
    <w:rsid w:val="5EDBC44E"/>
    <w:rsid w:val="5F93BBEC"/>
    <w:rsid w:val="5FFD4E57"/>
    <w:rsid w:val="60698414"/>
    <w:rsid w:val="6165C075"/>
    <w:rsid w:val="62D46351"/>
    <w:rsid w:val="62D4BD03"/>
    <w:rsid w:val="631B8A4E"/>
    <w:rsid w:val="6322D929"/>
    <w:rsid w:val="6385EB8B"/>
    <w:rsid w:val="64070552"/>
    <w:rsid w:val="64883C70"/>
    <w:rsid w:val="64A164CD"/>
    <w:rsid w:val="65431716"/>
    <w:rsid w:val="657CB986"/>
    <w:rsid w:val="65C8A375"/>
    <w:rsid w:val="66BBFF07"/>
    <w:rsid w:val="671230CD"/>
    <w:rsid w:val="67DBBA97"/>
    <w:rsid w:val="67E79FE5"/>
    <w:rsid w:val="68B4BFC4"/>
    <w:rsid w:val="691353AB"/>
    <w:rsid w:val="6988689C"/>
    <w:rsid w:val="69B89DEF"/>
    <w:rsid w:val="69E9B50B"/>
    <w:rsid w:val="6AB5DC61"/>
    <w:rsid w:val="6B38BCC2"/>
    <w:rsid w:val="6B8F702A"/>
    <w:rsid w:val="6CBDB501"/>
    <w:rsid w:val="6CDBD15F"/>
    <w:rsid w:val="6DE0CF29"/>
    <w:rsid w:val="6E18D2C7"/>
    <w:rsid w:val="6E24283A"/>
    <w:rsid w:val="6E88DC97"/>
    <w:rsid w:val="6F06E111"/>
    <w:rsid w:val="6F8F149E"/>
    <w:rsid w:val="6FAB5192"/>
    <w:rsid w:val="6FB51C16"/>
    <w:rsid w:val="6FE5AB0B"/>
    <w:rsid w:val="70EA4D7E"/>
    <w:rsid w:val="71A60E90"/>
    <w:rsid w:val="7221E692"/>
    <w:rsid w:val="738FF7B9"/>
    <w:rsid w:val="739AA779"/>
    <w:rsid w:val="73B33039"/>
    <w:rsid w:val="742E3B26"/>
    <w:rsid w:val="744AB365"/>
    <w:rsid w:val="74834F19"/>
    <w:rsid w:val="75D72281"/>
    <w:rsid w:val="764654F8"/>
    <w:rsid w:val="76B33FCF"/>
    <w:rsid w:val="778F9EF5"/>
    <w:rsid w:val="77B9BA10"/>
    <w:rsid w:val="7844B55F"/>
    <w:rsid w:val="7876F9B7"/>
    <w:rsid w:val="791246F9"/>
    <w:rsid w:val="79C241ED"/>
    <w:rsid w:val="79EF8561"/>
    <w:rsid w:val="7ABD7EEA"/>
    <w:rsid w:val="7AF1DF59"/>
    <w:rsid w:val="7BA47455"/>
    <w:rsid w:val="7CAB05B6"/>
    <w:rsid w:val="7D263C24"/>
    <w:rsid w:val="7DBDEA7F"/>
    <w:rsid w:val="7E1DF729"/>
    <w:rsid w:val="7E70262D"/>
    <w:rsid w:val="7EC9D508"/>
    <w:rsid w:val="7FC5B523"/>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6A0D9865"/>
  <w15:docId w15:val="{3E4F63E0-9912-4345-8D3A-D9E77E8C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7"/>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7"/>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7"/>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7"/>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7"/>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8"/>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2"/>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10"/>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2"/>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3"/>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3"/>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28952924">
      <w:bodyDiv w:val="1"/>
      <w:marLeft w:val="0"/>
      <w:marRight w:val="0"/>
      <w:marTop w:val="0"/>
      <w:marBottom w:val="0"/>
      <w:divBdr>
        <w:top w:val="none" w:sz="0" w:space="0" w:color="auto"/>
        <w:left w:val="none" w:sz="0" w:space="0" w:color="auto"/>
        <w:bottom w:val="none" w:sz="0" w:space="0" w:color="auto"/>
        <w:right w:val="none" w:sz="0" w:space="0" w:color="auto"/>
      </w:divBdr>
      <w:divsChild>
        <w:div w:id="612127133">
          <w:marLeft w:val="0"/>
          <w:marRight w:val="0"/>
          <w:marTop w:val="0"/>
          <w:marBottom w:val="0"/>
          <w:divBdr>
            <w:top w:val="none" w:sz="0" w:space="0" w:color="auto"/>
            <w:left w:val="none" w:sz="0" w:space="0" w:color="auto"/>
            <w:bottom w:val="none" w:sz="0" w:space="0" w:color="auto"/>
            <w:right w:val="none" w:sz="0" w:space="0" w:color="auto"/>
          </w:divBdr>
        </w:div>
      </w:divsChild>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39347547">
      <w:bodyDiv w:val="1"/>
      <w:marLeft w:val="0"/>
      <w:marRight w:val="0"/>
      <w:marTop w:val="0"/>
      <w:marBottom w:val="0"/>
      <w:divBdr>
        <w:top w:val="none" w:sz="0" w:space="0" w:color="auto"/>
        <w:left w:val="none" w:sz="0" w:space="0" w:color="auto"/>
        <w:bottom w:val="none" w:sz="0" w:space="0" w:color="auto"/>
        <w:right w:val="none" w:sz="0" w:space="0" w:color="auto"/>
      </w:divBdr>
      <w:divsChild>
        <w:div w:id="1457068877">
          <w:marLeft w:val="0"/>
          <w:marRight w:val="0"/>
          <w:marTop w:val="0"/>
          <w:marBottom w:val="0"/>
          <w:divBdr>
            <w:top w:val="none" w:sz="0" w:space="0" w:color="auto"/>
            <w:left w:val="none" w:sz="0" w:space="0" w:color="auto"/>
            <w:bottom w:val="none" w:sz="0" w:space="0" w:color="auto"/>
            <w:right w:val="none" w:sz="0" w:space="0" w:color="auto"/>
          </w:divBdr>
        </w:div>
      </w:divsChild>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s://data.gov.au/data/dataset/3aa021a8-f4cf-45cb-abf1-63742efb48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ta.gov.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hyperlink" Target="https://www.bioregionalassessments.gov.au/gb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25d\Documents\GBA\Documents\GBA-FieldworkFact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20. Axel Suckow lead author</Notes0>
    <Metadata xmlns="f6b232a6-7847-4fcd-9f2f-4076cd779963">
      <Url xsi:nil="true"/>
      <Description xsi:nil="true"/>
    </Metadata>
    <_dlc_DocId xmlns="1ce706f3-5237-42b3-876d-cf68da5c0e0a">NN2TW47UTC5W-1349389608-7844</_dlc_DocId>
    <_dlc_DocIdUrl xmlns="1ce706f3-5237-42b3-876d-cf68da5c0e0a">
      <Url>https://csiroau.sharepoint.com/sites/GeologicalBio-regionalAssessment/_layouts/15/DocIdRedir.aspx?ID=NN2TW47UTC5W-1349389608-7844</Url>
      <Description>NN2TW47UTC5W-1349389608-7844</Description>
    </_dlc_DocIdUrl>
    <GBAregion xmlns="f6b232a6-7847-4fcd-9f2f-4076cd77996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F21A3-E0E1-45E3-BD3F-5419BDE51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3.xml><?xml version="1.0" encoding="utf-8"?>
<ds:datastoreItem xmlns:ds="http://schemas.openxmlformats.org/officeDocument/2006/customXml" ds:itemID="{75781E82-D441-4C2F-B7EA-50DF8BDB6121}">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4.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5.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6.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GBA-FieldworkFactSheetTemplate.dotx</Template>
  <TotalTime>16</TotalTime>
  <Pages>2</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Fact sheet 20: Regional tracer results from the Cambrian Limestone Aquifer</vt:lpstr>
    </vt:vector>
  </TitlesOfParts>
  <Manager/>
  <Company>CSIRO</Company>
  <LinksUpToDate>false</LinksUpToDate>
  <CharactersWithSpaces>5555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20: Regional tracer results from the Cambrian Limestone Aquifer</dc:title>
  <dc:subject/>
  <dc:creator>Australian Government Bioregional Assessments</dc:creator>
  <cp:keywords/>
  <dc:description/>
  <cp:lastModifiedBy>Merrin, Linda (L&amp;W, Clayton)</cp:lastModifiedBy>
  <cp:revision>14</cp:revision>
  <cp:lastPrinted>2021-08-27T07:56:00Z</cp:lastPrinted>
  <dcterms:created xsi:type="dcterms:W3CDTF">2021-08-20T07:30:00Z</dcterms:created>
  <dcterms:modified xsi:type="dcterms:W3CDTF">2021-08-27T07:56:00Z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03a38ead-7e9b-4d4a-953b-5583b375d67a</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