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ABDF28" w14:textId="77777777" w:rsidR="00521C94" w:rsidRDefault="00521C94">
      <w:pPr>
        <w:pStyle w:val="BodyText"/>
        <w:rPr>
          <w:rFonts w:ascii="Times New Roman"/>
        </w:rPr>
      </w:pPr>
      <w:bookmarkStart w:id="0" w:name="_GoBack"/>
      <w:bookmarkEnd w:id="0"/>
    </w:p>
    <w:p w14:paraId="3C9CEBDB" w14:textId="77777777" w:rsidR="00521C94" w:rsidRDefault="00521C94">
      <w:pPr>
        <w:pStyle w:val="BodyText"/>
        <w:rPr>
          <w:rFonts w:ascii="Times New Roman"/>
        </w:rPr>
      </w:pPr>
    </w:p>
    <w:p w14:paraId="6B1100BB" w14:textId="77777777" w:rsidR="00521C94" w:rsidRDefault="00521C94">
      <w:pPr>
        <w:pStyle w:val="BodyText"/>
        <w:rPr>
          <w:rFonts w:ascii="Times New Roman"/>
        </w:rPr>
      </w:pPr>
    </w:p>
    <w:p w14:paraId="0655ED6A" w14:textId="77777777" w:rsidR="00521C94" w:rsidRDefault="00521C94">
      <w:pPr>
        <w:pStyle w:val="BodyText"/>
        <w:rPr>
          <w:rFonts w:ascii="Times New Roman"/>
        </w:rPr>
      </w:pPr>
    </w:p>
    <w:p w14:paraId="2981A924" w14:textId="77777777" w:rsidR="00521C94" w:rsidRDefault="00521C94">
      <w:pPr>
        <w:pStyle w:val="BodyText"/>
        <w:rPr>
          <w:rFonts w:ascii="Times New Roman"/>
        </w:rPr>
      </w:pPr>
    </w:p>
    <w:p w14:paraId="6E42954E" w14:textId="77777777" w:rsidR="00521C94" w:rsidRDefault="00521C94">
      <w:pPr>
        <w:pStyle w:val="BodyText"/>
        <w:rPr>
          <w:rFonts w:ascii="Times New Roman"/>
        </w:rPr>
      </w:pPr>
    </w:p>
    <w:p w14:paraId="0B66B944" w14:textId="77777777" w:rsidR="00521C94" w:rsidRDefault="00521C94">
      <w:pPr>
        <w:pStyle w:val="BodyText"/>
        <w:rPr>
          <w:rFonts w:ascii="Times New Roman"/>
        </w:rPr>
      </w:pPr>
    </w:p>
    <w:p w14:paraId="7EDE16C7" w14:textId="77777777" w:rsidR="00521C94" w:rsidRDefault="00521C94">
      <w:pPr>
        <w:pStyle w:val="BodyText"/>
        <w:rPr>
          <w:rFonts w:ascii="Times New Roman"/>
        </w:rPr>
      </w:pPr>
    </w:p>
    <w:p w14:paraId="291CCF86" w14:textId="77777777" w:rsidR="00521C94" w:rsidRDefault="00521C94">
      <w:pPr>
        <w:pStyle w:val="BodyText"/>
        <w:rPr>
          <w:rFonts w:ascii="Times New Roman"/>
        </w:rPr>
      </w:pPr>
    </w:p>
    <w:p w14:paraId="51520BA4" w14:textId="77777777" w:rsidR="00521C94" w:rsidRDefault="00521C94">
      <w:pPr>
        <w:pStyle w:val="BodyText"/>
        <w:rPr>
          <w:rFonts w:ascii="Times New Roman"/>
        </w:rPr>
      </w:pPr>
    </w:p>
    <w:p w14:paraId="539562C0" w14:textId="77777777" w:rsidR="00521C94" w:rsidRDefault="00521C94">
      <w:pPr>
        <w:pStyle w:val="BodyText"/>
        <w:rPr>
          <w:rFonts w:ascii="Times New Roman"/>
        </w:rPr>
      </w:pPr>
    </w:p>
    <w:p w14:paraId="24FA473A" w14:textId="77777777" w:rsidR="00521C94" w:rsidRDefault="00521C94">
      <w:pPr>
        <w:pStyle w:val="BodyText"/>
        <w:rPr>
          <w:rFonts w:ascii="Times New Roman"/>
        </w:rPr>
      </w:pPr>
    </w:p>
    <w:p w14:paraId="308B4FFE" w14:textId="77777777" w:rsidR="00521C94" w:rsidRDefault="00521C94">
      <w:pPr>
        <w:pStyle w:val="BodyText"/>
        <w:rPr>
          <w:rFonts w:ascii="Times New Roman"/>
        </w:rPr>
      </w:pPr>
    </w:p>
    <w:p w14:paraId="6B888788" w14:textId="77777777" w:rsidR="00521C94" w:rsidRDefault="00521C94">
      <w:pPr>
        <w:pStyle w:val="BodyText"/>
        <w:rPr>
          <w:rFonts w:ascii="Times New Roman"/>
        </w:rPr>
      </w:pPr>
    </w:p>
    <w:p w14:paraId="6FC45873" w14:textId="77777777" w:rsidR="00521C94" w:rsidRDefault="00521C94">
      <w:pPr>
        <w:pStyle w:val="BodyText"/>
        <w:rPr>
          <w:rFonts w:ascii="Times New Roman"/>
        </w:rPr>
      </w:pPr>
    </w:p>
    <w:p w14:paraId="5A823148" w14:textId="77777777" w:rsidR="00521C94" w:rsidRDefault="00521C94">
      <w:pPr>
        <w:pStyle w:val="BodyText"/>
        <w:rPr>
          <w:rFonts w:ascii="Times New Roman"/>
        </w:rPr>
      </w:pPr>
    </w:p>
    <w:p w14:paraId="4FA97A96" w14:textId="77777777" w:rsidR="00521C94" w:rsidRDefault="00521C94">
      <w:pPr>
        <w:pStyle w:val="BodyText"/>
        <w:rPr>
          <w:rFonts w:ascii="Times New Roman"/>
        </w:rPr>
      </w:pPr>
    </w:p>
    <w:p w14:paraId="33D0A7C2" w14:textId="77777777" w:rsidR="00521C94" w:rsidRDefault="00521C94">
      <w:pPr>
        <w:pStyle w:val="BodyText"/>
        <w:rPr>
          <w:rFonts w:ascii="Times New Roman"/>
        </w:rPr>
      </w:pPr>
    </w:p>
    <w:p w14:paraId="66C07A17" w14:textId="77777777" w:rsidR="00521C94" w:rsidRDefault="00521C94">
      <w:pPr>
        <w:pStyle w:val="BodyText"/>
        <w:rPr>
          <w:rFonts w:ascii="Times New Roman"/>
        </w:rPr>
      </w:pPr>
    </w:p>
    <w:p w14:paraId="0118C28A" w14:textId="77777777" w:rsidR="00521C94" w:rsidRDefault="00521C94">
      <w:pPr>
        <w:pStyle w:val="BodyText"/>
        <w:rPr>
          <w:rFonts w:ascii="Times New Roman"/>
        </w:rPr>
      </w:pPr>
    </w:p>
    <w:p w14:paraId="2DEBD71D" w14:textId="77777777" w:rsidR="00521C94" w:rsidRDefault="00521C94">
      <w:pPr>
        <w:pStyle w:val="BodyText"/>
        <w:spacing w:before="2"/>
        <w:rPr>
          <w:rFonts w:ascii="Times New Roman"/>
          <w:sz w:val="16"/>
        </w:rPr>
      </w:pPr>
    </w:p>
    <w:p w14:paraId="4BA8491B" w14:textId="77777777" w:rsidR="00521C94" w:rsidRDefault="004F687E">
      <w:pPr>
        <w:spacing w:before="3"/>
        <w:ind w:left="113"/>
        <w:rPr>
          <w:b/>
          <w:sz w:val="48"/>
        </w:rPr>
      </w:pPr>
      <w:r>
        <w:rPr>
          <w:noProof/>
        </w:rPr>
        <w:drawing>
          <wp:anchor distT="0" distB="0" distL="0" distR="0" simplePos="0" relativeHeight="251661312" behindDoc="0" locked="0" layoutInCell="1" allowOverlap="1" wp14:anchorId="271BF407" wp14:editId="766D8A9B">
            <wp:simplePos x="0" y="0"/>
            <wp:positionH relativeFrom="page">
              <wp:posOffset>1158021</wp:posOffset>
            </wp:positionH>
            <wp:positionV relativeFrom="paragraph">
              <wp:posOffset>-1398100</wp:posOffset>
            </wp:positionV>
            <wp:extent cx="721224" cy="528637"/>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21224" cy="528637"/>
                    </a:xfrm>
                    <a:prstGeom prst="rect">
                      <a:avLst/>
                    </a:prstGeom>
                  </pic:spPr>
                </pic:pic>
              </a:graphicData>
            </a:graphic>
          </wp:anchor>
        </w:drawing>
      </w:r>
      <w:r>
        <w:rPr>
          <w:noProof/>
        </w:rPr>
        <w:drawing>
          <wp:anchor distT="0" distB="0" distL="0" distR="0" simplePos="0" relativeHeight="251662336" behindDoc="0" locked="0" layoutInCell="1" allowOverlap="1" wp14:anchorId="636B42E2" wp14:editId="24F1CB91">
            <wp:simplePos x="0" y="0"/>
            <wp:positionH relativeFrom="page">
              <wp:posOffset>826757</wp:posOffset>
            </wp:positionH>
            <wp:positionV relativeFrom="paragraph">
              <wp:posOffset>-804257</wp:posOffset>
            </wp:positionV>
            <wp:extent cx="1388814" cy="102012"/>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388814" cy="102012"/>
                    </a:xfrm>
                    <a:prstGeom prst="rect">
                      <a:avLst/>
                    </a:prstGeom>
                  </pic:spPr>
                </pic:pic>
              </a:graphicData>
            </a:graphic>
          </wp:anchor>
        </w:drawing>
      </w:r>
      <w:r>
        <w:rPr>
          <w:noProof/>
        </w:rPr>
        <w:drawing>
          <wp:anchor distT="0" distB="0" distL="0" distR="0" simplePos="0" relativeHeight="251663360" behindDoc="0" locked="0" layoutInCell="1" allowOverlap="1" wp14:anchorId="6B1B4FFE" wp14:editId="11D8A6B5">
            <wp:simplePos x="0" y="0"/>
            <wp:positionH relativeFrom="page">
              <wp:posOffset>750430</wp:posOffset>
            </wp:positionH>
            <wp:positionV relativeFrom="paragraph">
              <wp:posOffset>-637064</wp:posOffset>
            </wp:positionV>
            <wp:extent cx="1536129" cy="31432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1536129" cy="314325"/>
                    </a:xfrm>
                    <a:prstGeom prst="rect">
                      <a:avLst/>
                    </a:prstGeom>
                  </pic:spPr>
                </pic:pic>
              </a:graphicData>
            </a:graphic>
          </wp:anchor>
        </w:drawing>
      </w:r>
      <w:r w:rsidR="00B51743">
        <w:pict w14:anchorId="3F8022BB">
          <v:group id="_x0000_s1035" style="position:absolute;left:0;text-align:left;margin-left:362.75pt;margin-top:-95.6pt;width:175.85pt;height:61.65pt;z-index:251664384;mso-position-horizontal-relative:page;mso-position-vertical-relative:text" coordorigin="7255,-1912" coordsize="3517,12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7255;top:-1912;width:3517;height:1233">
              <v:imagedata r:id="rId11" o:title=""/>
            </v:shape>
            <v:shape id="_x0000_s1036" type="#_x0000_t75" style="position:absolute;left:7272;top:-1367;width:317;height:133">
              <v:imagedata r:id="rId12" o:title=""/>
            </v:shape>
            <w10:wrap anchorx="page"/>
          </v:group>
        </w:pict>
      </w:r>
      <w:r w:rsidR="00B51743">
        <w:pict w14:anchorId="31C12385">
          <v:line id="_x0000_s1034" style="position:absolute;left:0;text-align:left;z-index:251665408;mso-position-horizontal-relative:page;mso-position-vertical-relative:text" from="213.1pt,-102.7pt" to="213.1pt,-30.45pt" strokecolor="#808285" strokeweight=".5pt">
            <w10:wrap anchorx="page"/>
          </v:line>
        </w:pict>
      </w:r>
      <w:r w:rsidR="00B51743">
        <w:pict w14:anchorId="597C7903">
          <v:line id="_x0000_s1033" style="position:absolute;left:0;text-align:left;z-index:251666432;mso-position-horizontal-relative:page;mso-position-vertical-relative:text" from="333.8pt,-102.7pt" to="333.8pt,-30.45pt" strokecolor="#808285" strokeweight=".5pt">
            <w10:wrap anchorx="page"/>
          </v:line>
        </w:pict>
      </w:r>
      <w:r>
        <w:rPr>
          <w:noProof/>
        </w:rPr>
        <w:drawing>
          <wp:anchor distT="0" distB="0" distL="0" distR="0" simplePos="0" relativeHeight="251667456" behindDoc="0" locked="0" layoutInCell="1" allowOverlap="1" wp14:anchorId="173B3DD0" wp14:editId="56BF003F">
            <wp:simplePos x="0" y="0"/>
            <wp:positionH relativeFrom="page">
              <wp:posOffset>3072853</wp:posOffset>
            </wp:positionH>
            <wp:positionV relativeFrom="paragraph">
              <wp:posOffset>-1203675</wp:posOffset>
            </wp:positionV>
            <wp:extent cx="795099" cy="760095"/>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3" cstate="print"/>
                    <a:stretch>
                      <a:fillRect/>
                    </a:stretch>
                  </pic:blipFill>
                  <pic:spPr>
                    <a:xfrm>
                      <a:off x="0" y="0"/>
                      <a:ext cx="795099" cy="760095"/>
                    </a:xfrm>
                    <a:prstGeom prst="rect">
                      <a:avLst/>
                    </a:prstGeom>
                  </pic:spPr>
                </pic:pic>
              </a:graphicData>
            </a:graphic>
          </wp:anchor>
        </w:drawing>
      </w:r>
      <w:r>
        <w:rPr>
          <w:b/>
          <w:color w:val="754221"/>
          <w:sz w:val="48"/>
        </w:rPr>
        <w:t>The GBA Program</w:t>
      </w:r>
    </w:p>
    <w:p w14:paraId="1209606C" w14:textId="77777777" w:rsidR="00521C94" w:rsidRDefault="004F687E">
      <w:pPr>
        <w:spacing w:before="50" w:line="211" w:lineRule="auto"/>
        <w:ind w:left="113" w:right="244"/>
        <w:rPr>
          <w:sz w:val="28"/>
        </w:rPr>
      </w:pPr>
      <w:r>
        <w:rPr>
          <w:color w:val="754221"/>
          <w:sz w:val="28"/>
        </w:rPr>
        <w:t xml:space="preserve">The Geological and Bioregional Assessment (GBA) Program is assessing the potential environmental impacts of shale and tight gas development to </w:t>
      </w:r>
      <w:r>
        <w:rPr>
          <w:color w:val="754221"/>
          <w:spacing w:val="-2"/>
          <w:sz w:val="28"/>
        </w:rPr>
        <w:t xml:space="preserve">inform </w:t>
      </w:r>
      <w:r>
        <w:rPr>
          <w:color w:val="754221"/>
          <w:sz w:val="28"/>
        </w:rPr>
        <w:t xml:space="preserve">regulatory frameworks and appropriate management approaches. The geological and environmental knowledge, data and tools produced by the GBA Program will assist governments, </w:t>
      </w:r>
      <w:r>
        <w:rPr>
          <w:color w:val="754221"/>
          <w:spacing w:val="-3"/>
          <w:sz w:val="28"/>
        </w:rPr>
        <w:t xml:space="preserve">industry, </w:t>
      </w:r>
      <w:r>
        <w:rPr>
          <w:color w:val="754221"/>
          <w:sz w:val="28"/>
        </w:rPr>
        <w:t>landowners and the community by informing decision making and enabling the coordinated management of potential impacts.</w:t>
      </w:r>
    </w:p>
    <w:p w14:paraId="0CC4D5AC" w14:textId="77777777" w:rsidR="00521C94" w:rsidRDefault="00521C94">
      <w:pPr>
        <w:pStyle w:val="BodyText"/>
        <w:spacing w:before="9"/>
        <w:rPr>
          <w:sz w:val="22"/>
        </w:rPr>
      </w:pPr>
    </w:p>
    <w:p w14:paraId="7645D111" w14:textId="77777777" w:rsidR="00521C94" w:rsidRDefault="00521C94">
      <w:pPr>
        <w:sectPr w:rsidR="00521C94">
          <w:type w:val="continuous"/>
          <w:pgSz w:w="11910" w:h="16840"/>
          <w:pgMar w:top="0" w:right="1020" w:bottom="0" w:left="1020" w:header="720" w:footer="720" w:gutter="0"/>
          <w:cols w:space="720"/>
        </w:sectPr>
      </w:pPr>
    </w:p>
    <w:p w14:paraId="6F72721C" w14:textId="77777777" w:rsidR="00521C94" w:rsidRDefault="004F687E">
      <w:pPr>
        <w:pStyle w:val="BodyText"/>
        <w:spacing w:before="60" w:line="254" w:lineRule="auto"/>
        <w:ind w:left="113" w:right="164"/>
      </w:pPr>
      <w:r>
        <w:t xml:space="preserve">A </w:t>
      </w:r>
      <w:r>
        <w:rPr>
          <w:spacing w:val="-2"/>
        </w:rPr>
        <w:t xml:space="preserve">series </w:t>
      </w:r>
      <w:r>
        <w:t xml:space="preserve">of </w:t>
      </w:r>
      <w:r>
        <w:rPr>
          <w:spacing w:val="-3"/>
        </w:rPr>
        <w:t xml:space="preserve">independent scientific studies </w:t>
      </w:r>
      <w:r>
        <w:t xml:space="preserve">in </w:t>
      </w:r>
      <w:r>
        <w:rPr>
          <w:spacing w:val="-3"/>
        </w:rPr>
        <w:t>three geological</w:t>
      </w:r>
      <w:r>
        <w:rPr>
          <w:spacing w:val="-8"/>
        </w:rPr>
        <w:t xml:space="preserve"> </w:t>
      </w:r>
      <w:r>
        <w:rPr>
          <w:spacing w:val="-3"/>
        </w:rPr>
        <w:t>basins</w:t>
      </w:r>
      <w:r>
        <w:rPr>
          <w:spacing w:val="-7"/>
        </w:rPr>
        <w:t xml:space="preserve"> </w:t>
      </w:r>
      <w:r>
        <w:t>–</w:t>
      </w:r>
      <w:r>
        <w:rPr>
          <w:spacing w:val="-7"/>
        </w:rPr>
        <w:t xml:space="preserve"> </w:t>
      </w:r>
      <w:r>
        <w:t>the</w:t>
      </w:r>
      <w:r>
        <w:rPr>
          <w:spacing w:val="-8"/>
        </w:rPr>
        <w:t xml:space="preserve"> </w:t>
      </w:r>
      <w:r>
        <w:rPr>
          <w:spacing w:val="-3"/>
        </w:rPr>
        <w:t>Cooper</w:t>
      </w:r>
      <w:r>
        <w:rPr>
          <w:spacing w:val="-6"/>
        </w:rPr>
        <w:t xml:space="preserve"> </w:t>
      </w:r>
      <w:r>
        <w:t>Basin</w:t>
      </w:r>
      <w:r>
        <w:rPr>
          <w:spacing w:val="-7"/>
        </w:rPr>
        <w:t xml:space="preserve"> </w:t>
      </w:r>
      <w:r>
        <w:t>in</w:t>
      </w:r>
      <w:r>
        <w:rPr>
          <w:spacing w:val="-7"/>
        </w:rPr>
        <w:t xml:space="preserve"> </w:t>
      </w:r>
      <w:r>
        <w:t>Queensland</w:t>
      </w:r>
      <w:r>
        <w:rPr>
          <w:spacing w:val="-6"/>
        </w:rPr>
        <w:t xml:space="preserve"> </w:t>
      </w:r>
      <w:r>
        <w:rPr>
          <w:spacing w:val="-2"/>
        </w:rPr>
        <w:t xml:space="preserve">and </w:t>
      </w:r>
      <w:r>
        <w:t xml:space="preserve">SA, the Isa </w:t>
      </w:r>
      <w:r>
        <w:rPr>
          <w:spacing w:val="-3"/>
        </w:rPr>
        <w:t xml:space="preserve">Superbasin </w:t>
      </w:r>
      <w:r>
        <w:t xml:space="preserve">in Queensland and the </w:t>
      </w:r>
      <w:r>
        <w:rPr>
          <w:spacing w:val="-3"/>
        </w:rPr>
        <w:t xml:space="preserve">Beetaloo Sub-basin </w:t>
      </w:r>
      <w:r>
        <w:t xml:space="preserve">in the NT – </w:t>
      </w:r>
      <w:r>
        <w:rPr>
          <w:spacing w:val="-3"/>
        </w:rPr>
        <w:t xml:space="preserve">are being conducted </w:t>
      </w:r>
      <w:r>
        <w:t xml:space="preserve">by </w:t>
      </w:r>
      <w:r>
        <w:rPr>
          <w:spacing w:val="-3"/>
        </w:rPr>
        <w:t xml:space="preserve">CSIRO </w:t>
      </w:r>
      <w:r>
        <w:t xml:space="preserve">and </w:t>
      </w:r>
      <w:r>
        <w:rPr>
          <w:spacing w:val="-3"/>
        </w:rPr>
        <w:t xml:space="preserve">Geoscience Australia, supported </w:t>
      </w:r>
      <w:r>
        <w:t>by the</w:t>
      </w:r>
      <w:r>
        <w:rPr>
          <w:spacing w:val="-19"/>
        </w:rPr>
        <w:t xml:space="preserve"> </w:t>
      </w:r>
      <w:r>
        <w:rPr>
          <w:spacing w:val="-3"/>
        </w:rPr>
        <w:t>Bureau</w:t>
      </w:r>
    </w:p>
    <w:p w14:paraId="14907C9C" w14:textId="77777777" w:rsidR="00521C94" w:rsidRDefault="004F687E">
      <w:pPr>
        <w:pStyle w:val="BodyText"/>
        <w:spacing w:before="6" w:line="254" w:lineRule="auto"/>
        <w:ind w:left="113" w:right="3"/>
      </w:pPr>
      <w:r>
        <w:t xml:space="preserve">of </w:t>
      </w:r>
      <w:r>
        <w:rPr>
          <w:spacing w:val="-3"/>
        </w:rPr>
        <w:t xml:space="preserve">Meteorology </w:t>
      </w:r>
      <w:r>
        <w:t xml:space="preserve">and </w:t>
      </w:r>
      <w:r>
        <w:rPr>
          <w:spacing w:val="-3"/>
        </w:rPr>
        <w:t xml:space="preserve">managed </w:t>
      </w:r>
      <w:r>
        <w:t xml:space="preserve">by the </w:t>
      </w:r>
      <w:r>
        <w:rPr>
          <w:spacing w:val="-3"/>
        </w:rPr>
        <w:t xml:space="preserve">Department of Agriculture, </w:t>
      </w:r>
      <w:r>
        <w:rPr>
          <w:spacing w:val="-5"/>
        </w:rPr>
        <w:t xml:space="preserve">Water </w:t>
      </w:r>
      <w:r>
        <w:t xml:space="preserve">and the </w:t>
      </w:r>
      <w:r>
        <w:rPr>
          <w:spacing w:val="-4"/>
        </w:rPr>
        <w:t xml:space="preserve">Environment. </w:t>
      </w:r>
      <w:r>
        <w:rPr>
          <w:spacing w:val="-3"/>
        </w:rPr>
        <w:t xml:space="preserve">These scientific studies </w:t>
      </w:r>
      <w:r>
        <w:t xml:space="preserve">aim to </w:t>
      </w:r>
      <w:r>
        <w:rPr>
          <w:spacing w:val="-3"/>
        </w:rPr>
        <w:t xml:space="preserve">provide baseline </w:t>
      </w:r>
      <w:r>
        <w:rPr>
          <w:spacing w:val="-4"/>
        </w:rPr>
        <w:t xml:space="preserve">information </w:t>
      </w:r>
      <w:r>
        <w:rPr>
          <w:spacing w:val="-3"/>
        </w:rPr>
        <w:t>that:</w:t>
      </w:r>
    </w:p>
    <w:p w14:paraId="06091776" w14:textId="77777777" w:rsidR="00521C94" w:rsidRDefault="00521C94">
      <w:pPr>
        <w:pStyle w:val="BodyText"/>
        <w:spacing w:before="10"/>
        <w:rPr>
          <w:sz w:val="18"/>
        </w:rPr>
      </w:pPr>
    </w:p>
    <w:p w14:paraId="25D5B27B" w14:textId="77777777" w:rsidR="00521C94" w:rsidRDefault="004F687E">
      <w:pPr>
        <w:pStyle w:val="BodyText"/>
        <w:spacing w:before="1" w:line="254" w:lineRule="auto"/>
        <w:ind w:left="1077" w:right="3"/>
      </w:pPr>
      <w:r>
        <w:rPr>
          <w:noProof/>
        </w:rPr>
        <w:drawing>
          <wp:anchor distT="0" distB="0" distL="0" distR="0" simplePos="0" relativeHeight="251668480" behindDoc="0" locked="0" layoutInCell="1" allowOverlap="1" wp14:anchorId="787946C0" wp14:editId="5F9C3A18">
            <wp:simplePos x="0" y="0"/>
            <wp:positionH relativeFrom="page">
              <wp:posOffset>789556</wp:posOffset>
            </wp:positionH>
            <wp:positionV relativeFrom="paragraph">
              <wp:posOffset>35055</wp:posOffset>
            </wp:positionV>
            <wp:extent cx="478634" cy="478634"/>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4" cstate="print"/>
                    <a:stretch>
                      <a:fillRect/>
                    </a:stretch>
                  </pic:blipFill>
                  <pic:spPr>
                    <a:xfrm>
                      <a:off x="0" y="0"/>
                      <a:ext cx="478634" cy="478634"/>
                    </a:xfrm>
                    <a:prstGeom prst="rect">
                      <a:avLst/>
                    </a:prstGeom>
                  </pic:spPr>
                </pic:pic>
              </a:graphicData>
            </a:graphic>
          </wp:anchor>
        </w:drawing>
      </w:r>
      <w:r>
        <w:t>identifies and evaluates areas of high potential for shale and tight gas for future development and any potential connections with water resources</w:t>
      </w:r>
    </w:p>
    <w:p w14:paraId="122CDD65" w14:textId="081CD7EF" w:rsidR="00521C94" w:rsidRDefault="004F687E">
      <w:pPr>
        <w:pStyle w:val="Heading1"/>
        <w:spacing w:before="28"/>
      </w:pPr>
      <w:r>
        <w:rPr>
          <w:noProof/>
        </w:rPr>
        <w:drawing>
          <wp:anchor distT="0" distB="0" distL="0" distR="0" simplePos="0" relativeHeight="251498496" behindDoc="1" locked="0" layoutInCell="1" allowOverlap="1" wp14:anchorId="7BA4F9E1" wp14:editId="439D9392">
            <wp:simplePos x="0" y="0"/>
            <wp:positionH relativeFrom="page">
              <wp:posOffset>3367405</wp:posOffset>
            </wp:positionH>
            <wp:positionV relativeFrom="paragraph">
              <wp:posOffset>178435</wp:posOffset>
            </wp:positionV>
            <wp:extent cx="3482340" cy="2559050"/>
            <wp:effectExtent l="0" t="0" r="0" b="0"/>
            <wp:wrapNone/>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82340" cy="2559050"/>
                    </a:xfrm>
                    <a:prstGeom prst="rect">
                      <a:avLst/>
                    </a:prstGeom>
                  </pic:spPr>
                </pic:pic>
              </a:graphicData>
            </a:graphic>
            <wp14:sizeRelV relativeFrom="margin">
              <wp14:pctHeight>0</wp14:pctHeight>
            </wp14:sizeRelV>
          </wp:anchor>
        </w:drawing>
      </w:r>
      <w:r>
        <w:rPr>
          <w:b w:val="0"/>
        </w:rPr>
        <w:br w:type="column"/>
      </w:r>
      <w:r>
        <w:rPr>
          <w:color w:val="02293F"/>
        </w:rPr>
        <w:t>Beetaloo GBA region</w:t>
      </w:r>
    </w:p>
    <w:p w14:paraId="5E3634D2" w14:textId="77777777" w:rsidR="00521C94" w:rsidRDefault="004F687E">
      <w:pPr>
        <w:pStyle w:val="BodyText"/>
        <w:spacing w:before="86" w:line="254" w:lineRule="auto"/>
        <w:ind w:left="113" w:right="317"/>
      </w:pPr>
      <w:r>
        <w:t>The Beetaloo GBA region (see figure below) is located about 500 km south of Darwin and is</w:t>
      </w:r>
      <w:r>
        <w:rPr>
          <w:spacing w:val="-30"/>
        </w:rPr>
        <w:t xml:space="preserve"> </w:t>
      </w:r>
      <w:r>
        <w:t xml:space="preserve">sparsely populated, with Daly </w:t>
      </w:r>
      <w:r>
        <w:rPr>
          <w:spacing w:val="-3"/>
        </w:rPr>
        <w:t xml:space="preserve">Waters </w:t>
      </w:r>
      <w:r>
        <w:t>and Elliott the highest populated settlements. The Beetaloo GBA</w:t>
      </w:r>
      <w:r>
        <w:rPr>
          <w:spacing w:val="-17"/>
        </w:rPr>
        <w:t xml:space="preserve"> </w:t>
      </w:r>
      <w:r>
        <w:t>region</w:t>
      </w:r>
    </w:p>
    <w:p w14:paraId="609540EB" w14:textId="77777777" w:rsidR="00521C94" w:rsidRDefault="004F687E">
      <w:pPr>
        <w:pStyle w:val="BodyText"/>
        <w:spacing w:before="5" w:line="254" w:lineRule="auto"/>
        <w:ind w:left="113" w:right="386"/>
      </w:pPr>
      <w:r>
        <w:t>has been defined specifically for GBA purposes as the Sub-basin defined by the Northern Territory</w:t>
      </w:r>
    </w:p>
    <w:p w14:paraId="58E84F09" w14:textId="77777777" w:rsidR="00521C94" w:rsidRDefault="004F687E">
      <w:pPr>
        <w:pStyle w:val="BodyText"/>
        <w:spacing w:before="2" w:line="254" w:lineRule="auto"/>
        <w:ind w:left="113" w:right="50"/>
      </w:pPr>
      <w:r>
        <w:t>Geological Survey and covers an area of about 28,000 km</w:t>
      </w:r>
      <w:r>
        <w:rPr>
          <w:position w:val="7"/>
          <w:sz w:val="11"/>
        </w:rPr>
        <w:t xml:space="preserve">2 </w:t>
      </w:r>
      <w:r>
        <w:t>in the NT. An additional boundary - the Beetaloo GBA extended region, is used to allow potential environmental and hydrological impacts immediately adjacent to the Beetaloo GBA region to be investigated.</w:t>
      </w:r>
    </w:p>
    <w:p w14:paraId="632CFA0A" w14:textId="77777777" w:rsidR="00521C94" w:rsidRDefault="00521C94">
      <w:pPr>
        <w:spacing w:line="254" w:lineRule="auto"/>
        <w:sectPr w:rsidR="00521C94">
          <w:type w:val="continuous"/>
          <w:pgSz w:w="11910" w:h="16840"/>
          <w:pgMar w:top="0" w:right="1020" w:bottom="0" w:left="1020" w:header="720" w:footer="720" w:gutter="0"/>
          <w:cols w:num="2" w:space="720" w:equalWidth="0">
            <w:col w:w="4684" w:space="419"/>
            <w:col w:w="4767"/>
          </w:cols>
        </w:sectPr>
      </w:pPr>
    </w:p>
    <w:p w14:paraId="4F812F71" w14:textId="77777777" w:rsidR="00521C94" w:rsidRDefault="00521C94">
      <w:pPr>
        <w:pStyle w:val="BodyText"/>
        <w:spacing w:before="8"/>
        <w:rPr>
          <w:sz w:val="13"/>
        </w:rPr>
      </w:pPr>
    </w:p>
    <w:p w14:paraId="2A05EBC7" w14:textId="77777777" w:rsidR="00521C94" w:rsidRDefault="00521C94">
      <w:pPr>
        <w:rPr>
          <w:sz w:val="13"/>
        </w:rPr>
        <w:sectPr w:rsidR="00521C94">
          <w:type w:val="continuous"/>
          <w:pgSz w:w="11910" w:h="16840"/>
          <w:pgMar w:top="0" w:right="1020" w:bottom="0" w:left="1020" w:header="720" w:footer="720" w:gutter="0"/>
          <w:cols w:space="720"/>
        </w:sectPr>
      </w:pPr>
    </w:p>
    <w:p w14:paraId="4032F015" w14:textId="1E74F662" w:rsidR="00521C94" w:rsidRDefault="004F687E">
      <w:pPr>
        <w:pStyle w:val="BodyText"/>
        <w:spacing w:before="60" w:line="254" w:lineRule="auto"/>
        <w:ind w:left="1077" w:right="-3"/>
      </w:pPr>
      <w:r>
        <w:rPr>
          <w:noProof/>
        </w:rPr>
        <w:drawing>
          <wp:anchor distT="0" distB="0" distL="0" distR="0" simplePos="0" relativeHeight="251669504" behindDoc="0" locked="0" layoutInCell="1" allowOverlap="1" wp14:anchorId="076D9EC9" wp14:editId="5594A67E">
            <wp:simplePos x="0" y="0"/>
            <wp:positionH relativeFrom="page">
              <wp:posOffset>789556</wp:posOffset>
            </wp:positionH>
            <wp:positionV relativeFrom="paragraph">
              <wp:posOffset>87910</wp:posOffset>
            </wp:positionV>
            <wp:extent cx="478634" cy="472077"/>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6" cstate="print"/>
                    <a:stretch>
                      <a:fillRect/>
                    </a:stretch>
                  </pic:blipFill>
                  <pic:spPr>
                    <a:xfrm>
                      <a:off x="0" y="0"/>
                      <a:ext cx="478634" cy="472077"/>
                    </a:xfrm>
                    <a:prstGeom prst="rect">
                      <a:avLst/>
                    </a:prstGeom>
                  </pic:spPr>
                </pic:pic>
              </a:graphicData>
            </a:graphic>
          </wp:anchor>
        </w:drawing>
      </w:r>
      <w:r>
        <w:t>collates and summarises key information about geological structure, groundwater movement through geological layers, surface water systems and ecological systems</w:t>
      </w:r>
    </w:p>
    <w:p w14:paraId="7D3137B5" w14:textId="77777777" w:rsidR="00521C94" w:rsidRDefault="00521C94">
      <w:pPr>
        <w:pStyle w:val="BodyText"/>
        <w:rPr>
          <w:sz w:val="19"/>
        </w:rPr>
      </w:pPr>
    </w:p>
    <w:p w14:paraId="6433120A" w14:textId="77777777" w:rsidR="00521C94" w:rsidRDefault="004F687E">
      <w:pPr>
        <w:pStyle w:val="BodyText"/>
        <w:spacing w:before="1" w:line="254" w:lineRule="auto"/>
        <w:ind w:left="1077" w:right="-3"/>
      </w:pPr>
      <w:r>
        <w:rPr>
          <w:noProof/>
        </w:rPr>
        <w:drawing>
          <wp:anchor distT="0" distB="0" distL="0" distR="0" simplePos="0" relativeHeight="251670528" behindDoc="0" locked="0" layoutInCell="1" allowOverlap="1" wp14:anchorId="125983BF" wp14:editId="0F1FEA65">
            <wp:simplePos x="0" y="0"/>
            <wp:positionH relativeFrom="page">
              <wp:posOffset>783005</wp:posOffset>
            </wp:positionH>
            <wp:positionV relativeFrom="paragraph">
              <wp:posOffset>49127</wp:posOffset>
            </wp:positionV>
            <wp:extent cx="478628" cy="478625"/>
            <wp:effectExtent l="0" t="0" r="0" b="0"/>
            <wp:wrapNone/>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17" cstate="print"/>
                    <a:stretch>
                      <a:fillRect/>
                    </a:stretch>
                  </pic:blipFill>
                  <pic:spPr>
                    <a:xfrm>
                      <a:off x="0" y="0"/>
                      <a:ext cx="478628" cy="478625"/>
                    </a:xfrm>
                    <a:prstGeom prst="rect">
                      <a:avLst/>
                    </a:prstGeom>
                  </pic:spPr>
                </pic:pic>
              </a:graphicData>
            </a:graphic>
          </wp:anchor>
        </w:drawing>
      </w:r>
      <w:r>
        <w:t>evaluates possible ways that unconventional gas resource development might impact the things we value, such</w:t>
      </w:r>
    </w:p>
    <w:p w14:paraId="1647EA12" w14:textId="77777777" w:rsidR="00521C94" w:rsidRDefault="004F687E">
      <w:pPr>
        <w:pStyle w:val="BodyText"/>
        <w:spacing w:before="3" w:line="254" w:lineRule="auto"/>
        <w:ind w:left="1077" w:right="572"/>
      </w:pPr>
      <w:r>
        <w:t>as the safety of communities, groundwaters, protected species, as well as culturally and</w:t>
      </w:r>
      <w:r>
        <w:rPr>
          <w:spacing w:val="-19"/>
        </w:rPr>
        <w:t xml:space="preserve"> </w:t>
      </w:r>
      <w:r>
        <w:t>ecologically important</w:t>
      </w:r>
      <w:r>
        <w:rPr>
          <w:spacing w:val="-1"/>
        </w:rPr>
        <w:t xml:space="preserve"> </w:t>
      </w:r>
      <w:r>
        <w:t>matters.</w:t>
      </w:r>
    </w:p>
    <w:p w14:paraId="5FEB5F3F" w14:textId="77777777" w:rsidR="00521C94" w:rsidRDefault="004F687E">
      <w:pPr>
        <w:pStyle w:val="BodyText"/>
        <w:rPr>
          <w:sz w:val="14"/>
        </w:rPr>
      </w:pPr>
      <w:r>
        <w:br w:type="column"/>
      </w:r>
    </w:p>
    <w:p w14:paraId="63B1E241" w14:textId="77777777" w:rsidR="00521C94" w:rsidRDefault="00521C94">
      <w:pPr>
        <w:pStyle w:val="BodyText"/>
        <w:spacing w:before="11"/>
        <w:rPr>
          <w:sz w:val="18"/>
        </w:rPr>
      </w:pPr>
    </w:p>
    <w:p w14:paraId="3A41C6CF" w14:textId="77777777" w:rsidR="00521C94" w:rsidRDefault="004F687E">
      <w:pPr>
        <w:spacing w:line="600" w:lineRule="auto"/>
        <w:ind w:left="213" w:right="-19" w:firstLine="23"/>
        <w:rPr>
          <w:sz w:val="14"/>
        </w:rPr>
      </w:pPr>
      <w:r>
        <w:rPr>
          <w:sz w:val="14"/>
        </w:rPr>
        <w:t xml:space="preserve">Katherine </w:t>
      </w:r>
      <w:r>
        <w:rPr>
          <w:spacing w:val="-1"/>
          <w:sz w:val="14"/>
        </w:rPr>
        <w:t>Mataranka</w:t>
      </w:r>
    </w:p>
    <w:p w14:paraId="0874BBF5" w14:textId="77777777" w:rsidR="00521C94" w:rsidRDefault="004F687E">
      <w:pPr>
        <w:pStyle w:val="BodyText"/>
        <w:spacing w:before="7"/>
        <w:rPr>
          <w:sz w:val="15"/>
        </w:rPr>
      </w:pPr>
      <w:r>
        <w:br w:type="column"/>
      </w:r>
    </w:p>
    <w:p w14:paraId="015B67CC" w14:textId="77777777" w:rsidR="00521C94" w:rsidRDefault="004F687E">
      <w:pPr>
        <w:spacing w:line="717" w:lineRule="auto"/>
        <w:ind w:left="924" w:right="675" w:firstLine="436"/>
        <w:rPr>
          <w:sz w:val="14"/>
        </w:rPr>
      </w:pPr>
      <w:r>
        <w:rPr>
          <w:sz w:val="14"/>
        </w:rPr>
        <w:t>Numbulwar Ngukurr</w:t>
      </w:r>
    </w:p>
    <w:p w14:paraId="2AA99CA8" w14:textId="77777777" w:rsidR="00521C94" w:rsidRDefault="004F687E">
      <w:pPr>
        <w:spacing w:before="57" w:line="196" w:lineRule="auto"/>
        <w:ind w:left="763" w:right="718"/>
        <w:rPr>
          <w:b/>
          <w:sz w:val="18"/>
        </w:rPr>
      </w:pPr>
      <w:r>
        <w:rPr>
          <w:b/>
          <w:sz w:val="18"/>
        </w:rPr>
        <w:t>Beetaloo GBA extended region</w:t>
      </w:r>
    </w:p>
    <w:p w14:paraId="47EB9E91" w14:textId="77777777" w:rsidR="00521C94" w:rsidRDefault="00521C94">
      <w:pPr>
        <w:pStyle w:val="BodyText"/>
        <w:spacing w:before="4"/>
        <w:rPr>
          <w:b/>
          <w:sz w:val="18"/>
        </w:rPr>
      </w:pPr>
    </w:p>
    <w:p w14:paraId="352EF53C" w14:textId="77777777" w:rsidR="00521C94" w:rsidRDefault="004F687E">
      <w:pPr>
        <w:ind w:left="302"/>
        <w:rPr>
          <w:sz w:val="14"/>
        </w:rPr>
      </w:pPr>
      <w:r>
        <w:rPr>
          <w:sz w:val="14"/>
        </w:rPr>
        <w:t>Daly Waters</w:t>
      </w:r>
    </w:p>
    <w:p w14:paraId="6582C4C7" w14:textId="77777777" w:rsidR="00521C94" w:rsidRDefault="004F687E">
      <w:pPr>
        <w:spacing w:before="46" w:line="196" w:lineRule="auto"/>
        <w:ind w:left="305" w:right="1558" w:firstLine="85"/>
        <w:rPr>
          <w:b/>
          <w:sz w:val="18"/>
        </w:rPr>
      </w:pPr>
      <w:r>
        <w:rPr>
          <w:b/>
          <w:color w:val="00734C"/>
          <w:sz w:val="18"/>
        </w:rPr>
        <w:t>Beetaloo GBA region</w:t>
      </w:r>
    </w:p>
    <w:p w14:paraId="64C3F928" w14:textId="77777777" w:rsidR="00521C94" w:rsidRDefault="00521C94">
      <w:pPr>
        <w:pStyle w:val="BodyText"/>
        <w:rPr>
          <w:b/>
          <w:sz w:val="18"/>
        </w:rPr>
      </w:pPr>
    </w:p>
    <w:p w14:paraId="4D3A5ED4" w14:textId="77777777" w:rsidR="00521C94" w:rsidRDefault="00521C94">
      <w:pPr>
        <w:pStyle w:val="BodyText"/>
        <w:spacing w:before="7"/>
        <w:rPr>
          <w:b/>
          <w:sz w:val="24"/>
        </w:rPr>
      </w:pPr>
    </w:p>
    <w:p w14:paraId="5354C90D" w14:textId="77777777" w:rsidR="00521C94" w:rsidRDefault="004F687E">
      <w:pPr>
        <w:ind w:left="-17"/>
        <w:rPr>
          <w:sz w:val="14"/>
          <w:szCs w:val="14"/>
        </w:rPr>
      </w:pPr>
      <w:r>
        <w:rPr>
          <w:w w:val="105"/>
          <w:sz w:val="14"/>
          <w:szCs w:val="14"/>
        </w:rPr>
        <w:t>Ellio�</w:t>
      </w:r>
    </w:p>
    <w:p w14:paraId="76B1CFFC" w14:textId="77777777" w:rsidR="00521C94" w:rsidRDefault="00521C94">
      <w:pPr>
        <w:rPr>
          <w:sz w:val="14"/>
          <w:szCs w:val="14"/>
        </w:rPr>
        <w:sectPr w:rsidR="00521C94">
          <w:type w:val="continuous"/>
          <w:pgSz w:w="11910" w:h="16840"/>
          <w:pgMar w:top="0" w:right="1020" w:bottom="0" w:left="1020" w:header="720" w:footer="720" w:gutter="0"/>
          <w:cols w:num="3" w:space="720" w:equalWidth="0">
            <w:col w:w="4558" w:space="1721"/>
            <w:col w:w="826" w:space="39"/>
            <w:col w:w="2726"/>
          </w:cols>
        </w:sectPr>
      </w:pPr>
    </w:p>
    <w:p w14:paraId="1E84F5B4" w14:textId="77777777" w:rsidR="00521C94" w:rsidRDefault="004F687E">
      <w:pPr>
        <w:pStyle w:val="BodyText"/>
        <w:spacing w:before="5"/>
        <w:rPr>
          <w:sz w:val="16"/>
        </w:rPr>
      </w:pPr>
      <w:r>
        <w:rPr>
          <w:noProof/>
        </w:rPr>
        <w:drawing>
          <wp:anchor distT="0" distB="0" distL="0" distR="0" simplePos="0" relativeHeight="251485184" behindDoc="1" locked="0" layoutInCell="1" allowOverlap="1" wp14:anchorId="566FCB0E" wp14:editId="19CDB1ED">
            <wp:simplePos x="0" y="0"/>
            <wp:positionH relativeFrom="page">
              <wp:posOffset>0</wp:posOffset>
            </wp:positionH>
            <wp:positionV relativeFrom="page">
              <wp:posOffset>0</wp:posOffset>
            </wp:positionV>
            <wp:extent cx="7559992" cy="1590316"/>
            <wp:effectExtent l="0" t="0" r="0" b="0"/>
            <wp:wrapNone/>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18" cstate="print"/>
                    <a:stretch>
                      <a:fillRect/>
                    </a:stretch>
                  </pic:blipFill>
                  <pic:spPr>
                    <a:xfrm>
                      <a:off x="0" y="0"/>
                      <a:ext cx="7559992" cy="1590316"/>
                    </a:xfrm>
                    <a:prstGeom prst="rect">
                      <a:avLst/>
                    </a:prstGeom>
                  </pic:spPr>
                </pic:pic>
              </a:graphicData>
            </a:graphic>
          </wp:anchor>
        </w:drawing>
      </w:r>
      <w:r w:rsidR="00B51743">
        <w:pict w14:anchorId="032FA2C6">
          <v:group id="_x0000_s1030" style="position:absolute;margin-left:0;margin-top:783.3pt;width:595.3pt;height:58.65pt;z-index:251660288;mso-position-horizontal-relative:page;mso-position-vertical-relative:page" coordorigin=",15666" coordsize="11906,1173">
            <v:shape id="_x0000_s1032" type="#_x0000_t75" style="position:absolute;top:15665;width:11906;height:1173">
              <v:imagedata r:id="rId19" o:title=""/>
            </v:shape>
            <v:shapetype id="_x0000_t202" coordsize="21600,21600" o:spt="202" path="m,l,21600r21600,l21600,xe">
              <v:stroke joinstyle="miter"/>
              <v:path gradientshapeok="t" o:connecttype="rect"/>
            </v:shapetype>
            <v:shape id="_x0000_s1031" type="#_x0000_t202" style="position:absolute;top:15665;width:11906;height:1173" filled="f" stroked="f">
              <v:textbox inset="0,0,0,0">
                <w:txbxContent>
                  <w:p w14:paraId="5C0BF4D3" w14:textId="77777777" w:rsidR="00521C94" w:rsidRDefault="004F687E">
                    <w:pPr>
                      <w:spacing w:before="220" w:line="426" w:lineRule="exact"/>
                      <w:ind w:left="1571"/>
                      <w:rPr>
                        <w:b/>
                        <w:sz w:val="36"/>
                      </w:rPr>
                    </w:pPr>
                    <w:r>
                      <w:rPr>
                        <w:b/>
                        <w:color w:val="FFFFFF"/>
                        <w:sz w:val="36"/>
                      </w:rPr>
                      <w:t>Find out more</w:t>
                    </w:r>
                  </w:p>
                  <w:p w14:paraId="51BC1719" w14:textId="77777777" w:rsidR="00521C94" w:rsidRDefault="00B51743">
                    <w:pPr>
                      <w:spacing w:line="231" w:lineRule="exact"/>
                      <w:ind w:left="1571"/>
                      <w:rPr>
                        <w:sz w:val="20"/>
                      </w:rPr>
                    </w:pPr>
                    <w:hyperlink r:id="rId20">
                      <w:r w:rsidR="004F687E">
                        <w:rPr>
                          <w:color w:val="FFFFFF"/>
                          <w:sz w:val="20"/>
                        </w:rPr>
                        <w:t>www.bioregionalassessments.gov.au/geological-and-bioregional-assessment-program</w:t>
                      </w:r>
                    </w:hyperlink>
                  </w:p>
                </w:txbxContent>
              </v:textbox>
            </v:shape>
            <w10:wrap anchorx="page" anchory="page"/>
          </v:group>
        </w:pict>
      </w:r>
    </w:p>
    <w:p w14:paraId="6DD2B74E" w14:textId="77777777" w:rsidR="00521C94" w:rsidRDefault="004F687E">
      <w:pPr>
        <w:spacing w:before="82"/>
        <w:ind w:right="704"/>
        <w:jc w:val="right"/>
        <w:rPr>
          <w:sz w:val="11"/>
        </w:rPr>
      </w:pPr>
      <w:r>
        <w:rPr>
          <w:w w:val="105"/>
          <w:sz w:val="11"/>
        </w:rPr>
        <w:t>Kilometers</w:t>
      </w:r>
    </w:p>
    <w:p w14:paraId="47CF1F06" w14:textId="77777777" w:rsidR="00521C94" w:rsidRDefault="00521C94">
      <w:pPr>
        <w:pStyle w:val="BodyText"/>
        <w:spacing w:before="2"/>
        <w:rPr>
          <w:sz w:val="10"/>
        </w:rPr>
      </w:pPr>
    </w:p>
    <w:p w14:paraId="6FE61466" w14:textId="77777777" w:rsidR="00521C94" w:rsidRDefault="004F687E">
      <w:pPr>
        <w:tabs>
          <w:tab w:val="left" w:pos="680"/>
        </w:tabs>
        <w:ind w:right="127"/>
        <w:jc w:val="right"/>
        <w:rPr>
          <w:sz w:val="11"/>
        </w:rPr>
      </w:pPr>
      <w:r>
        <w:rPr>
          <w:w w:val="105"/>
          <w:sz w:val="11"/>
        </w:rPr>
        <w:t xml:space="preserve">0  </w:t>
      </w:r>
      <w:r>
        <w:rPr>
          <w:spacing w:val="20"/>
          <w:w w:val="105"/>
          <w:sz w:val="11"/>
        </w:rPr>
        <w:t xml:space="preserve"> </w:t>
      </w:r>
      <w:r>
        <w:rPr>
          <w:w w:val="105"/>
          <w:sz w:val="11"/>
        </w:rPr>
        <w:t xml:space="preserve">25 </w:t>
      </w:r>
      <w:r>
        <w:rPr>
          <w:spacing w:val="14"/>
          <w:w w:val="105"/>
          <w:sz w:val="11"/>
        </w:rPr>
        <w:t xml:space="preserve"> </w:t>
      </w:r>
      <w:r>
        <w:rPr>
          <w:w w:val="105"/>
          <w:sz w:val="11"/>
        </w:rPr>
        <w:t>50</w:t>
      </w:r>
      <w:r>
        <w:rPr>
          <w:w w:val="105"/>
          <w:sz w:val="11"/>
        </w:rPr>
        <w:tab/>
        <w:t>100 150</w:t>
      </w:r>
      <w:r>
        <w:rPr>
          <w:spacing w:val="21"/>
          <w:w w:val="105"/>
          <w:sz w:val="11"/>
        </w:rPr>
        <w:t xml:space="preserve"> </w:t>
      </w:r>
      <w:r>
        <w:rPr>
          <w:w w:val="105"/>
          <w:sz w:val="11"/>
        </w:rPr>
        <w:t>200</w:t>
      </w:r>
    </w:p>
    <w:p w14:paraId="68A98A7C" w14:textId="77777777" w:rsidR="00521C94" w:rsidRDefault="00521C94">
      <w:pPr>
        <w:jc w:val="right"/>
        <w:rPr>
          <w:sz w:val="11"/>
        </w:rPr>
        <w:sectPr w:rsidR="00521C94">
          <w:type w:val="continuous"/>
          <w:pgSz w:w="11910" w:h="16840"/>
          <w:pgMar w:top="0" w:right="1020" w:bottom="0" w:left="1020" w:header="720" w:footer="720" w:gutter="0"/>
          <w:cols w:space="720"/>
        </w:sectPr>
      </w:pPr>
    </w:p>
    <w:p w14:paraId="4B329395" w14:textId="77777777" w:rsidR="00521C94" w:rsidRDefault="00B51743">
      <w:pPr>
        <w:pStyle w:val="Heading1"/>
        <w:spacing w:before="65" w:line="196" w:lineRule="auto"/>
        <w:ind w:right="2"/>
      </w:pPr>
      <w:r>
        <w:lastRenderedPageBreak/>
        <w:pict w14:anchorId="558438F4">
          <v:group id="_x0000_s1027" style="position:absolute;left:0;text-align:left;margin-left:0;margin-top:716.35pt;width:595.3pt;height:125.55pt;z-index:251673600;mso-position-horizontal-relative:page;mso-position-vertical-relative:page" coordorigin=",14327" coordsize="11906,2511">
            <v:shape id="_x0000_s1029" type="#_x0000_t75" style="position:absolute;top:14355;width:11906;height:2483">
              <v:imagedata r:id="rId21" o:title=""/>
            </v:shape>
            <v:shape id="_x0000_s1028" type="#_x0000_t75" style="position:absolute;top:14327;width:11906;height:1094">
              <v:imagedata r:id="rId22" o:title=""/>
            </v:shape>
            <w10:wrap anchorx="page" anchory="page"/>
          </v:group>
        </w:pict>
      </w:r>
      <w:r w:rsidR="004F687E">
        <w:rPr>
          <w:color w:val="02293F"/>
        </w:rPr>
        <w:t>Beetaloo GBA region Baseline Survey Program</w:t>
      </w:r>
    </w:p>
    <w:p w14:paraId="6E54A17A" w14:textId="77777777" w:rsidR="00521C94" w:rsidRDefault="004F687E">
      <w:pPr>
        <w:pStyle w:val="BodyText"/>
        <w:spacing w:before="103" w:line="254" w:lineRule="auto"/>
        <w:ind w:left="113" w:right="102"/>
      </w:pPr>
      <w:r>
        <w:t>The objective of the Beetaloo GBA region Baseline Survey Program is to compile a comprehensive baseline dataset of terrestrial and aquatic biodiversity distribution in the region. These data can be used</w:t>
      </w:r>
    </w:p>
    <w:p w14:paraId="3FC3CA2B" w14:textId="77777777" w:rsidR="00521C94" w:rsidRDefault="004F687E">
      <w:pPr>
        <w:pStyle w:val="BodyText"/>
        <w:spacing w:before="5" w:line="254" w:lineRule="auto"/>
        <w:ind w:left="113" w:right="288"/>
      </w:pPr>
      <w:r>
        <w:t>as baseline information against which assessments of ecological change over time, including those in response to human activities, can be made.</w:t>
      </w:r>
    </w:p>
    <w:p w14:paraId="552FAF68" w14:textId="77777777" w:rsidR="00521C94" w:rsidRDefault="00521C94">
      <w:pPr>
        <w:pStyle w:val="BodyText"/>
        <w:spacing w:before="10"/>
        <w:rPr>
          <w:sz w:val="18"/>
        </w:rPr>
      </w:pPr>
    </w:p>
    <w:p w14:paraId="2169162E" w14:textId="77777777" w:rsidR="00521C94" w:rsidRDefault="004F687E">
      <w:pPr>
        <w:pStyle w:val="BodyText"/>
        <w:spacing w:before="1" w:line="254" w:lineRule="auto"/>
        <w:ind w:left="113" w:right="2"/>
      </w:pPr>
      <w:r>
        <w:t>The program is being delivered through the collaboration of researchers at Charles Darwin University (CDU), Griffith University (GU) and the NT Department of Environment and Natural Resources (DENR). The program has been developed in consultation with NT DENR to ensure that it informs the broader Strategic Regional Environmental and Baseline Assessment (SREBA) as recommended by the Scientific Inquiry into Hydraulic Fracturing in the Northern Territory.</w:t>
      </w:r>
    </w:p>
    <w:p w14:paraId="57849DAE" w14:textId="77777777" w:rsidR="00521C94" w:rsidRDefault="00521C94">
      <w:pPr>
        <w:pStyle w:val="BodyText"/>
        <w:spacing w:before="6"/>
        <w:rPr>
          <w:sz w:val="19"/>
        </w:rPr>
      </w:pPr>
    </w:p>
    <w:p w14:paraId="15A1F42E" w14:textId="77777777" w:rsidR="00521C94" w:rsidRDefault="004F687E">
      <w:pPr>
        <w:pStyle w:val="BodyText"/>
        <w:spacing w:before="1" w:line="254" w:lineRule="auto"/>
        <w:ind w:left="113" w:right="17"/>
      </w:pPr>
      <w:r>
        <w:t>The biodiversity of the Beetaloo GBA region is relatively understudied in comparison to other parts of Australia.</w:t>
      </w:r>
    </w:p>
    <w:p w14:paraId="012145A2" w14:textId="77777777" w:rsidR="00521C94" w:rsidRDefault="004F687E">
      <w:pPr>
        <w:pStyle w:val="BodyText"/>
        <w:spacing w:before="2" w:line="254" w:lineRule="auto"/>
        <w:ind w:left="113" w:right="153"/>
      </w:pPr>
      <w:r>
        <w:t>While this program cannot describe the entire range of environmental and ecological variability that exists</w:t>
      </w:r>
    </w:p>
    <w:p w14:paraId="7478FED0" w14:textId="77777777" w:rsidR="00521C94" w:rsidRDefault="004F687E">
      <w:pPr>
        <w:pStyle w:val="BodyText"/>
        <w:spacing w:before="2" w:line="254" w:lineRule="auto"/>
        <w:ind w:left="113" w:right="45"/>
      </w:pPr>
      <w:r>
        <w:t xml:space="preserve">across the region, it does represent a very valuable first step in obtaining the biodiversity information needed to protect important species and ecosystems, and to develop the baseline against which ecological changes over time, and in response to human activities, can be assessed. </w:t>
      </w:r>
      <w:r>
        <w:rPr>
          <w:spacing w:val="-9"/>
        </w:rPr>
        <w:t xml:space="preserve">To </w:t>
      </w:r>
      <w:r>
        <w:t xml:space="preserve">meet the requirements of SREBA, further studies are being planned by the Northern </w:t>
      </w:r>
      <w:r>
        <w:rPr>
          <w:spacing w:val="-3"/>
        </w:rPr>
        <w:t xml:space="preserve">Territory </w:t>
      </w:r>
      <w:r>
        <w:t>Government</w:t>
      </w:r>
      <w:r>
        <w:rPr>
          <w:spacing w:val="-6"/>
        </w:rPr>
        <w:t xml:space="preserve"> </w:t>
      </w:r>
      <w:r>
        <w:t>to</w:t>
      </w:r>
      <w:r>
        <w:rPr>
          <w:spacing w:val="-6"/>
        </w:rPr>
        <w:t xml:space="preserve"> </w:t>
      </w:r>
      <w:r>
        <w:t>fully</w:t>
      </w:r>
      <w:r>
        <w:rPr>
          <w:spacing w:val="-6"/>
        </w:rPr>
        <w:t xml:space="preserve"> </w:t>
      </w:r>
      <w:r>
        <w:t>characterise</w:t>
      </w:r>
      <w:r>
        <w:rPr>
          <w:spacing w:val="-5"/>
        </w:rPr>
        <w:t xml:space="preserve"> </w:t>
      </w:r>
      <w:r>
        <w:t>terrestrial</w:t>
      </w:r>
      <w:r>
        <w:rPr>
          <w:spacing w:val="-6"/>
        </w:rPr>
        <w:t xml:space="preserve"> </w:t>
      </w:r>
      <w:r>
        <w:t>and</w:t>
      </w:r>
      <w:r>
        <w:rPr>
          <w:spacing w:val="-6"/>
        </w:rPr>
        <w:t xml:space="preserve"> </w:t>
      </w:r>
      <w:r>
        <w:t xml:space="preserve">aquatic </w:t>
      </w:r>
      <w:r>
        <w:rPr>
          <w:spacing w:val="-3"/>
        </w:rPr>
        <w:t>biodiversity.</w:t>
      </w:r>
    </w:p>
    <w:p w14:paraId="60D45CC9" w14:textId="77777777" w:rsidR="00521C94" w:rsidRDefault="00521C94">
      <w:pPr>
        <w:pStyle w:val="BodyText"/>
      </w:pPr>
    </w:p>
    <w:p w14:paraId="4DF86DB3" w14:textId="77777777" w:rsidR="00521C94" w:rsidRDefault="00B51743">
      <w:pPr>
        <w:pStyle w:val="BodyText"/>
        <w:spacing w:before="7"/>
      </w:pPr>
      <w:r>
        <w:pict w14:anchorId="4C89DD3B">
          <v:shape id="_x0000_s1026" type="#_x0000_t202" style="position:absolute;margin-left:56.7pt;margin-top:13.8pt;width:226.8pt;height:170.2pt;z-index:-251643904;mso-wrap-distance-left:0;mso-wrap-distance-right:0;mso-position-horizontal-relative:page" fillcolor="#02293f" stroked="f">
            <v:textbox inset="0,0,0,0">
              <w:txbxContent>
                <w:p w14:paraId="17C429AE" w14:textId="77777777" w:rsidR="00521C94" w:rsidRDefault="004F687E">
                  <w:pPr>
                    <w:spacing w:before="154"/>
                    <w:ind w:left="226"/>
                    <w:rPr>
                      <w:b/>
                      <w:sz w:val="36"/>
                    </w:rPr>
                  </w:pPr>
                  <w:r>
                    <w:rPr>
                      <w:b/>
                      <w:color w:val="FFFFFF"/>
                      <w:sz w:val="36"/>
                    </w:rPr>
                    <w:t>We need your help</w:t>
                  </w:r>
                </w:p>
                <w:p w14:paraId="5B7FAB76" w14:textId="77777777" w:rsidR="00521C94" w:rsidRDefault="004F687E">
                  <w:pPr>
                    <w:pStyle w:val="BodyText"/>
                    <w:spacing w:before="86" w:line="254" w:lineRule="auto"/>
                    <w:ind w:left="226" w:right="251"/>
                  </w:pPr>
                  <w:r>
                    <w:rPr>
                      <w:color w:val="FFFFFF"/>
                    </w:rPr>
                    <w:t>With help from local communities, Traditional Owners, and pastoralists, the GBA Program is seeking permission to access and sample selected springs, streams, billabongs and waterholes across the region.</w:t>
                  </w:r>
                </w:p>
                <w:p w14:paraId="4BE1B0FF" w14:textId="77777777" w:rsidR="00521C94" w:rsidRDefault="00521C94">
                  <w:pPr>
                    <w:pStyle w:val="BodyText"/>
                    <w:spacing w:before="1"/>
                    <w:rPr>
                      <w:sz w:val="19"/>
                    </w:rPr>
                  </w:pPr>
                </w:p>
                <w:p w14:paraId="2C500C64" w14:textId="77777777" w:rsidR="00521C94" w:rsidRDefault="004F687E">
                  <w:pPr>
                    <w:pStyle w:val="BodyText"/>
                    <w:spacing w:line="254" w:lineRule="auto"/>
                    <w:ind w:left="226" w:right="1069"/>
                  </w:pPr>
                  <w:r>
                    <w:rPr>
                      <w:color w:val="FFFFFF"/>
                    </w:rPr>
                    <w:t xml:space="preserve">For more information, please contact: Dr. Erica Garcia </w:t>
                  </w:r>
                  <w:hyperlink r:id="rId23">
                    <w:r>
                      <w:rPr>
                        <w:color w:val="FFFFFF"/>
                      </w:rPr>
                      <w:t>Erica.gar</w:t>
                    </w:r>
                  </w:hyperlink>
                  <w:hyperlink r:id="rId24">
                    <w:r>
                      <w:rPr>
                        <w:color w:val="FFFFFF"/>
                      </w:rPr>
                      <w:t>cia@cdu.edu.au</w:t>
                    </w:r>
                  </w:hyperlink>
                </w:p>
                <w:p w14:paraId="15F8256F" w14:textId="77777777" w:rsidR="00521C94" w:rsidRDefault="004F687E">
                  <w:pPr>
                    <w:pStyle w:val="BodyText"/>
                    <w:spacing w:before="4"/>
                    <w:ind w:left="226"/>
                  </w:pPr>
                  <w:r>
                    <w:rPr>
                      <w:color w:val="FFFFFF"/>
                    </w:rPr>
                    <w:t>+61 8 89467445</w:t>
                  </w:r>
                </w:p>
              </w:txbxContent>
            </v:textbox>
            <w10:wrap type="topAndBottom" anchorx="page"/>
          </v:shape>
        </w:pict>
      </w:r>
    </w:p>
    <w:p w14:paraId="4E954E55" w14:textId="77777777" w:rsidR="00521C94" w:rsidRDefault="004F687E">
      <w:pPr>
        <w:pStyle w:val="BodyText"/>
        <w:spacing w:before="2"/>
        <w:rPr>
          <w:sz w:val="6"/>
        </w:rPr>
      </w:pPr>
      <w:r>
        <w:br w:type="column"/>
      </w:r>
    </w:p>
    <w:p w14:paraId="50EAF8B5" w14:textId="77777777" w:rsidR="00521C94" w:rsidRDefault="004F687E">
      <w:pPr>
        <w:pStyle w:val="BodyText"/>
        <w:ind w:left="114"/>
      </w:pPr>
      <w:r>
        <w:rPr>
          <w:noProof/>
        </w:rPr>
        <w:drawing>
          <wp:inline distT="0" distB="0" distL="0" distR="0" wp14:anchorId="5FF90330" wp14:editId="6EFC31B6">
            <wp:extent cx="2885990" cy="2633472"/>
            <wp:effectExtent l="0" t="0" r="0" b="0"/>
            <wp:docPr id="1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25" cstate="print"/>
                    <a:stretch>
                      <a:fillRect/>
                    </a:stretch>
                  </pic:blipFill>
                  <pic:spPr>
                    <a:xfrm>
                      <a:off x="0" y="0"/>
                      <a:ext cx="2885990" cy="2633472"/>
                    </a:xfrm>
                    <a:prstGeom prst="rect">
                      <a:avLst/>
                    </a:prstGeom>
                  </pic:spPr>
                </pic:pic>
              </a:graphicData>
            </a:graphic>
          </wp:inline>
        </w:drawing>
      </w:r>
    </w:p>
    <w:p w14:paraId="61540BD2" w14:textId="77777777" w:rsidR="00521C94" w:rsidRDefault="00521C94">
      <w:pPr>
        <w:pStyle w:val="BodyText"/>
        <w:spacing w:before="6"/>
        <w:rPr>
          <w:sz w:val="28"/>
        </w:rPr>
      </w:pPr>
    </w:p>
    <w:p w14:paraId="70566FD9" w14:textId="77777777" w:rsidR="00521C94" w:rsidRDefault="004F687E">
      <w:pPr>
        <w:pStyle w:val="Heading1"/>
        <w:spacing w:line="400" w:lineRule="exact"/>
        <w:ind w:left="114"/>
      </w:pPr>
      <w:r>
        <w:rPr>
          <w:color w:val="02293F"/>
        </w:rPr>
        <w:t>Aquatic Biodiversity Baseline</w:t>
      </w:r>
    </w:p>
    <w:p w14:paraId="3F0DBBA3" w14:textId="77777777" w:rsidR="00521C94" w:rsidRDefault="004F687E">
      <w:pPr>
        <w:spacing w:line="400" w:lineRule="exact"/>
        <w:ind w:left="114"/>
        <w:rPr>
          <w:b/>
          <w:sz w:val="36"/>
        </w:rPr>
      </w:pPr>
      <w:r>
        <w:rPr>
          <w:b/>
          <w:color w:val="02293F"/>
          <w:sz w:val="36"/>
        </w:rPr>
        <w:t>Field Survey</w:t>
      </w:r>
    </w:p>
    <w:p w14:paraId="0CE433F6" w14:textId="77777777" w:rsidR="00521C94" w:rsidRDefault="004F687E">
      <w:pPr>
        <w:pStyle w:val="BodyText"/>
        <w:spacing w:before="86" w:line="254" w:lineRule="auto"/>
        <w:ind w:left="114" w:right="169"/>
      </w:pPr>
      <w:r>
        <w:t xml:space="preserve">Field observations and measurements of surface </w:t>
      </w:r>
      <w:r>
        <w:rPr>
          <w:spacing w:val="-2"/>
        </w:rPr>
        <w:t xml:space="preserve">waters </w:t>
      </w:r>
      <w:r>
        <w:t xml:space="preserve">from properties across the Beetaloo GBA region will help the GBA Program and Northern </w:t>
      </w:r>
      <w:r>
        <w:rPr>
          <w:spacing w:val="-3"/>
        </w:rPr>
        <w:t xml:space="preserve">Territory </w:t>
      </w:r>
      <w:r>
        <w:t>Government to better understand the region’s aquatic ecosystems and the flora and fauna that live within them.</w:t>
      </w:r>
    </w:p>
    <w:p w14:paraId="29AA0C61" w14:textId="77777777" w:rsidR="00521C94" w:rsidRDefault="00521C94">
      <w:pPr>
        <w:pStyle w:val="BodyText"/>
        <w:spacing w:before="2"/>
        <w:rPr>
          <w:sz w:val="19"/>
        </w:rPr>
      </w:pPr>
    </w:p>
    <w:p w14:paraId="7BA9BEED" w14:textId="77777777" w:rsidR="00521C94" w:rsidRDefault="004F687E">
      <w:pPr>
        <w:pStyle w:val="BodyText"/>
        <w:spacing w:line="254" w:lineRule="auto"/>
        <w:ind w:left="114" w:right="378"/>
      </w:pPr>
      <w:r>
        <w:t>Fieldwork and modelling, planned for 2020 and 2021, will address knowledge gaps related to two components:</w:t>
      </w:r>
    </w:p>
    <w:p w14:paraId="3A0E7432" w14:textId="77777777" w:rsidR="00521C94" w:rsidRDefault="00521C94">
      <w:pPr>
        <w:pStyle w:val="BodyText"/>
        <w:spacing w:before="11"/>
        <w:rPr>
          <w:sz w:val="18"/>
        </w:rPr>
      </w:pPr>
    </w:p>
    <w:p w14:paraId="578C83CB" w14:textId="77777777" w:rsidR="00521C94" w:rsidRDefault="004F687E">
      <w:pPr>
        <w:pStyle w:val="ListParagraph"/>
        <w:numPr>
          <w:ilvl w:val="0"/>
          <w:numId w:val="1"/>
        </w:numPr>
        <w:tabs>
          <w:tab w:val="left" w:pos="568"/>
        </w:tabs>
        <w:spacing w:line="254" w:lineRule="auto"/>
        <w:rPr>
          <w:sz w:val="20"/>
        </w:rPr>
      </w:pPr>
      <w:r>
        <w:rPr>
          <w:sz w:val="20"/>
        </w:rPr>
        <w:t xml:space="preserve">Aquatic ecosystems, water </w:t>
      </w:r>
      <w:r>
        <w:rPr>
          <w:spacing w:val="-3"/>
          <w:sz w:val="20"/>
        </w:rPr>
        <w:t xml:space="preserve">quality, </w:t>
      </w:r>
      <w:r>
        <w:rPr>
          <w:sz w:val="20"/>
        </w:rPr>
        <w:t>vegetation and fauna (fish, reptiles, amphibians and</w:t>
      </w:r>
      <w:r>
        <w:rPr>
          <w:spacing w:val="-31"/>
          <w:sz w:val="20"/>
        </w:rPr>
        <w:t xml:space="preserve"> </w:t>
      </w:r>
      <w:r>
        <w:rPr>
          <w:sz w:val="20"/>
        </w:rPr>
        <w:t>selected invertebrate</w:t>
      </w:r>
      <w:r>
        <w:rPr>
          <w:spacing w:val="-1"/>
          <w:sz w:val="20"/>
        </w:rPr>
        <w:t xml:space="preserve"> </w:t>
      </w:r>
      <w:r>
        <w:rPr>
          <w:sz w:val="20"/>
        </w:rPr>
        <w:t>groups)</w:t>
      </w:r>
    </w:p>
    <w:p w14:paraId="44A8F696" w14:textId="77777777" w:rsidR="00521C94" w:rsidRDefault="00521C94">
      <w:pPr>
        <w:pStyle w:val="BodyText"/>
        <w:spacing w:before="11"/>
        <w:rPr>
          <w:sz w:val="18"/>
        </w:rPr>
      </w:pPr>
    </w:p>
    <w:p w14:paraId="2108AB4A" w14:textId="77777777" w:rsidR="00521C94" w:rsidRDefault="004F687E">
      <w:pPr>
        <w:pStyle w:val="ListParagraph"/>
        <w:numPr>
          <w:ilvl w:val="0"/>
          <w:numId w:val="1"/>
        </w:numPr>
        <w:tabs>
          <w:tab w:val="left" w:pos="568"/>
        </w:tabs>
        <w:spacing w:line="254" w:lineRule="auto"/>
        <w:ind w:right="179"/>
        <w:rPr>
          <w:sz w:val="20"/>
        </w:rPr>
      </w:pPr>
      <w:r>
        <w:rPr>
          <w:sz w:val="20"/>
        </w:rPr>
        <w:t>Aquatic Ecological Protected Matters including models of predicted distributions based on survey</w:t>
      </w:r>
      <w:r>
        <w:rPr>
          <w:spacing w:val="-7"/>
          <w:sz w:val="20"/>
        </w:rPr>
        <w:t xml:space="preserve"> </w:t>
      </w:r>
      <w:r>
        <w:rPr>
          <w:sz w:val="20"/>
        </w:rPr>
        <w:t>records</w:t>
      </w:r>
      <w:r>
        <w:rPr>
          <w:spacing w:val="-8"/>
          <w:sz w:val="20"/>
        </w:rPr>
        <w:t xml:space="preserve"> </w:t>
      </w:r>
      <w:r>
        <w:rPr>
          <w:sz w:val="20"/>
        </w:rPr>
        <w:t>and</w:t>
      </w:r>
      <w:r>
        <w:rPr>
          <w:spacing w:val="-8"/>
          <w:sz w:val="20"/>
        </w:rPr>
        <w:t xml:space="preserve"> </w:t>
      </w:r>
      <w:r>
        <w:rPr>
          <w:sz w:val="20"/>
        </w:rPr>
        <w:t>habitat</w:t>
      </w:r>
      <w:r>
        <w:rPr>
          <w:spacing w:val="-6"/>
          <w:sz w:val="20"/>
        </w:rPr>
        <w:t xml:space="preserve"> </w:t>
      </w:r>
      <w:r>
        <w:rPr>
          <w:sz w:val="20"/>
        </w:rPr>
        <w:t>preferences</w:t>
      </w:r>
      <w:r>
        <w:rPr>
          <w:spacing w:val="-7"/>
          <w:sz w:val="20"/>
        </w:rPr>
        <w:t xml:space="preserve"> </w:t>
      </w:r>
      <w:r>
        <w:rPr>
          <w:sz w:val="20"/>
        </w:rPr>
        <w:t>of</w:t>
      </w:r>
      <w:r>
        <w:rPr>
          <w:spacing w:val="-8"/>
          <w:sz w:val="20"/>
        </w:rPr>
        <w:t xml:space="preserve"> </w:t>
      </w:r>
      <w:r>
        <w:rPr>
          <w:sz w:val="20"/>
        </w:rPr>
        <w:t>aquatic organisms.</w:t>
      </w:r>
    </w:p>
    <w:p w14:paraId="64A004B5" w14:textId="77777777" w:rsidR="00521C94" w:rsidRDefault="00521C94">
      <w:pPr>
        <w:pStyle w:val="BodyText"/>
        <w:spacing w:before="11"/>
        <w:rPr>
          <w:sz w:val="18"/>
        </w:rPr>
      </w:pPr>
    </w:p>
    <w:p w14:paraId="69E170E3" w14:textId="77777777" w:rsidR="00521C94" w:rsidRDefault="004F687E">
      <w:pPr>
        <w:pStyle w:val="BodyText"/>
        <w:spacing w:before="1" w:line="254" w:lineRule="auto"/>
        <w:ind w:left="113" w:right="275"/>
        <w:jc w:val="both"/>
      </w:pPr>
      <w:r>
        <w:rPr>
          <w:spacing w:val="-4"/>
        </w:rPr>
        <w:t xml:space="preserve">We </w:t>
      </w:r>
      <w:r>
        <w:t>will employ a variety of trapping techniques such as cast nets, seine nets, fyke nets, dip nets, cathedral traps,</w:t>
      </w:r>
      <w:r>
        <w:rPr>
          <w:spacing w:val="-7"/>
        </w:rPr>
        <w:t xml:space="preserve"> </w:t>
      </w:r>
      <w:r>
        <w:t>angling,</w:t>
      </w:r>
      <w:r>
        <w:rPr>
          <w:spacing w:val="-6"/>
        </w:rPr>
        <w:t xml:space="preserve"> </w:t>
      </w:r>
      <w:r>
        <w:t>Direct</w:t>
      </w:r>
      <w:r>
        <w:rPr>
          <w:spacing w:val="-5"/>
        </w:rPr>
        <w:t xml:space="preserve"> </w:t>
      </w:r>
      <w:r>
        <w:t>Current</w:t>
      </w:r>
      <w:r>
        <w:rPr>
          <w:spacing w:val="-6"/>
        </w:rPr>
        <w:t xml:space="preserve"> </w:t>
      </w:r>
      <w:r>
        <w:t>(DC)</w:t>
      </w:r>
      <w:r>
        <w:rPr>
          <w:spacing w:val="-7"/>
        </w:rPr>
        <w:t xml:space="preserve"> </w:t>
      </w:r>
      <w:r>
        <w:t>electrofishing</w:t>
      </w:r>
      <w:r>
        <w:rPr>
          <w:spacing w:val="-6"/>
        </w:rPr>
        <w:t xml:space="preserve"> </w:t>
      </w:r>
      <w:r>
        <w:t>(both</w:t>
      </w:r>
    </w:p>
    <w:p w14:paraId="08B4AC34" w14:textId="77777777" w:rsidR="00521C94" w:rsidRDefault="004F687E">
      <w:pPr>
        <w:pStyle w:val="BodyText"/>
        <w:spacing w:before="3" w:line="254" w:lineRule="auto"/>
        <w:ind w:left="113" w:right="131"/>
        <w:jc w:val="both"/>
      </w:pPr>
      <w:r>
        <w:t>boat mounted and backpack) to</w:t>
      </w:r>
      <w:r>
        <w:rPr>
          <w:spacing w:val="-33"/>
        </w:rPr>
        <w:t xml:space="preserve"> </w:t>
      </w:r>
      <w:r>
        <w:t>ensure that we capture a comprehensive and accurate list of species</w:t>
      </w:r>
      <w:r>
        <w:rPr>
          <w:spacing w:val="-25"/>
        </w:rPr>
        <w:t xml:space="preserve"> </w:t>
      </w:r>
      <w:r>
        <w:t>present</w:t>
      </w:r>
    </w:p>
    <w:p w14:paraId="163F0469" w14:textId="77777777" w:rsidR="00521C94" w:rsidRDefault="004F687E">
      <w:pPr>
        <w:pStyle w:val="BodyText"/>
        <w:spacing w:before="3" w:line="254" w:lineRule="auto"/>
        <w:ind w:left="113" w:right="237"/>
        <w:jc w:val="both"/>
      </w:pPr>
      <w:r>
        <w:t xml:space="preserve">at a site. </w:t>
      </w:r>
      <w:r>
        <w:rPr>
          <w:spacing w:val="-4"/>
        </w:rPr>
        <w:t xml:space="preserve">We </w:t>
      </w:r>
      <w:r>
        <w:t xml:space="preserve">will not employ all trapping techniques at all sites. </w:t>
      </w:r>
      <w:r>
        <w:rPr>
          <w:spacing w:val="-4"/>
        </w:rPr>
        <w:t xml:space="preserve">We </w:t>
      </w:r>
      <w:r>
        <w:t>will also measure relevant environmental attributes at each site (including water body type,</w:t>
      </w:r>
    </w:p>
    <w:p w14:paraId="0A98E87F" w14:textId="77777777" w:rsidR="00521C94" w:rsidRDefault="004F687E">
      <w:pPr>
        <w:pStyle w:val="BodyText"/>
        <w:spacing w:before="3" w:line="254" w:lineRule="auto"/>
        <w:ind w:left="113" w:right="336"/>
        <w:jc w:val="both"/>
      </w:pPr>
      <w:r>
        <w:t xml:space="preserve">size and depth, water </w:t>
      </w:r>
      <w:r>
        <w:rPr>
          <w:spacing w:val="-3"/>
        </w:rPr>
        <w:t xml:space="preserve">quality, </w:t>
      </w:r>
      <w:r>
        <w:t>and riparian vegetation cover).</w:t>
      </w:r>
    </w:p>
    <w:sectPr w:rsidR="00521C94">
      <w:pgSz w:w="11910" w:h="16840"/>
      <w:pgMar w:top="1040" w:right="1020" w:bottom="0" w:left="1020" w:header="720" w:footer="720" w:gutter="0"/>
      <w:cols w:num="2" w:space="720" w:equalWidth="0">
        <w:col w:w="4673" w:space="429"/>
        <w:col w:w="4768"/>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806D8"/>
    <w:multiLevelType w:val="hybridMultilevel"/>
    <w:tmpl w:val="5C00C632"/>
    <w:lvl w:ilvl="0" w:tplc="022223E8">
      <w:start w:val="1"/>
      <w:numFmt w:val="decimal"/>
      <w:lvlText w:val="%1."/>
      <w:lvlJc w:val="left"/>
      <w:pPr>
        <w:ind w:left="567" w:hanging="284"/>
        <w:jc w:val="left"/>
      </w:pPr>
      <w:rPr>
        <w:rFonts w:ascii="Calibri" w:eastAsia="Calibri" w:hAnsi="Calibri" w:cs="Calibri" w:hint="default"/>
        <w:spacing w:val="-15"/>
        <w:w w:val="99"/>
        <w:sz w:val="20"/>
        <w:szCs w:val="20"/>
        <w:lang w:val="en-GB" w:eastAsia="en-GB" w:bidi="en-GB"/>
      </w:rPr>
    </w:lvl>
    <w:lvl w:ilvl="1" w:tplc="F8DA749E">
      <w:numFmt w:val="bullet"/>
      <w:lvlText w:val="•"/>
      <w:lvlJc w:val="left"/>
      <w:pPr>
        <w:ind w:left="980" w:hanging="284"/>
      </w:pPr>
      <w:rPr>
        <w:rFonts w:hint="default"/>
        <w:lang w:val="en-GB" w:eastAsia="en-GB" w:bidi="en-GB"/>
      </w:rPr>
    </w:lvl>
    <w:lvl w:ilvl="2" w:tplc="48F8DDE0">
      <w:numFmt w:val="bullet"/>
      <w:lvlText w:val="•"/>
      <w:lvlJc w:val="left"/>
      <w:pPr>
        <w:ind w:left="1400" w:hanging="284"/>
      </w:pPr>
      <w:rPr>
        <w:rFonts w:hint="default"/>
        <w:lang w:val="en-GB" w:eastAsia="en-GB" w:bidi="en-GB"/>
      </w:rPr>
    </w:lvl>
    <w:lvl w:ilvl="3" w:tplc="77A0D8AE">
      <w:numFmt w:val="bullet"/>
      <w:lvlText w:val="•"/>
      <w:lvlJc w:val="left"/>
      <w:pPr>
        <w:ind w:left="1821" w:hanging="284"/>
      </w:pPr>
      <w:rPr>
        <w:rFonts w:hint="default"/>
        <w:lang w:val="en-GB" w:eastAsia="en-GB" w:bidi="en-GB"/>
      </w:rPr>
    </w:lvl>
    <w:lvl w:ilvl="4" w:tplc="1488F23E">
      <w:numFmt w:val="bullet"/>
      <w:lvlText w:val="•"/>
      <w:lvlJc w:val="left"/>
      <w:pPr>
        <w:ind w:left="2241" w:hanging="284"/>
      </w:pPr>
      <w:rPr>
        <w:rFonts w:hint="default"/>
        <w:lang w:val="en-GB" w:eastAsia="en-GB" w:bidi="en-GB"/>
      </w:rPr>
    </w:lvl>
    <w:lvl w:ilvl="5" w:tplc="C4B4D1F6">
      <w:numFmt w:val="bullet"/>
      <w:lvlText w:val="•"/>
      <w:lvlJc w:val="left"/>
      <w:pPr>
        <w:ind w:left="2661" w:hanging="284"/>
      </w:pPr>
      <w:rPr>
        <w:rFonts w:hint="default"/>
        <w:lang w:val="en-GB" w:eastAsia="en-GB" w:bidi="en-GB"/>
      </w:rPr>
    </w:lvl>
    <w:lvl w:ilvl="6" w:tplc="75A2699C">
      <w:numFmt w:val="bullet"/>
      <w:lvlText w:val="•"/>
      <w:lvlJc w:val="left"/>
      <w:pPr>
        <w:ind w:left="3082" w:hanging="284"/>
      </w:pPr>
      <w:rPr>
        <w:rFonts w:hint="default"/>
        <w:lang w:val="en-GB" w:eastAsia="en-GB" w:bidi="en-GB"/>
      </w:rPr>
    </w:lvl>
    <w:lvl w:ilvl="7" w:tplc="0D6C362A">
      <w:numFmt w:val="bullet"/>
      <w:lvlText w:val="•"/>
      <w:lvlJc w:val="left"/>
      <w:pPr>
        <w:ind w:left="3502" w:hanging="284"/>
      </w:pPr>
      <w:rPr>
        <w:rFonts w:hint="default"/>
        <w:lang w:val="en-GB" w:eastAsia="en-GB" w:bidi="en-GB"/>
      </w:rPr>
    </w:lvl>
    <w:lvl w:ilvl="8" w:tplc="71CE6C8A">
      <w:numFmt w:val="bullet"/>
      <w:lvlText w:val="•"/>
      <w:lvlJc w:val="left"/>
      <w:pPr>
        <w:ind w:left="3922" w:hanging="284"/>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521C94"/>
    <w:rsid w:val="004F687E"/>
    <w:rsid w:val="00521C94"/>
    <w:rsid w:val="00B517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68386BF1"/>
  <w15:docId w15:val="{57FBFAB1-3517-4F72-B475-177E93E79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lang w:val="en-GB" w:eastAsia="en-GB" w:bidi="en-GB"/>
    </w:rPr>
  </w:style>
  <w:style w:type="paragraph" w:styleId="Heading1">
    <w:name w:val="heading 1"/>
    <w:basedOn w:val="Normal"/>
    <w:uiPriority w:val="9"/>
    <w:qFormat/>
    <w:pPr>
      <w:ind w:left="113"/>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567" w:right="176" w:hanging="284"/>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517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1743"/>
    <w:rPr>
      <w:rFonts w:ascii="Segoe UI" w:eastAsia="Calibri" w:hAnsi="Segoe UI"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hyperlink" Target="http://www.bioregionalassessments.gov.au/geological-and-bioregional-assessment-progra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mailto:cia@cdu.edu.au" TargetMode="Externa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hyperlink" Target="mailto:Erica.garcia@cdu.edu.au"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89B3241182B04099FAD2F063B4125A" ma:contentTypeVersion="13" ma:contentTypeDescription="Create a new document." ma:contentTypeScope="" ma:versionID="ee6c06e185cd7b27f25e074e7ff21146">
  <xsd:schema xmlns:xsd="http://www.w3.org/2001/XMLSchema" xmlns:xs="http://www.w3.org/2001/XMLSchema" xmlns:p="http://schemas.microsoft.com/office/2006/metadata/properties" xmlns:ns3="bf1280e1-93c1-41ac-b972-e718d527ccf3" xmlns:ns4="78a74446-de31-4b27-b648-38c6cd94a5b0" targetNamespace="http://schemas.microsoft.com/office/2006/metadata/properties" ma:root="true" ma:fieldsID="1ca0a7bb81d9c9cdc20fba01b43f0497" ns3:_="" ns4:_="">
    <xsd:import namespace="bf1280e1-93c1-41ac-b972-e718d527ccf3"/>
    <xsd:import namespace="78a74446-de31-4b27-b648-38c6cd94a5b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EventHashCode" minOccurs="0"/>
                <xsd:element ref="ns4:MediaServiceGenerationTime" minOccurs="0"/>
                <xsd:element ref="ns4:MediaServiceOCR"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1280e1-93c1-41ac-b972-e718d527ccf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a74446-de31-4b27-b648-38c6cd94a5b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ED398DF-8A6B-423C-85CA-956644CBCC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1280e1-93c1-41ac-b972-e718d527ccf3"/>
    <ds:schemaRef ds:uri="78a74446-de31-4b27-b648-38c6cd94a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D9D532-CBFE-4927-8A79-DAB0989F7DBC}">
  <ds:schemaRefs>
    <ds:schemaRef ds:uri="http://schemas.microsoft.com/sharepoint/v3/contenttype/forms"/>
  </ds:schemaRefs>
</ds:datastoreItem>
</file>

<file path=customXml/itemProps3.xml><?xml version="1.0" encoding="utf-8"?>
<ds:datastoreItem xmlns:ds="http://schemas.openxmlformats.org/officeDocument/2006/customXml" ds:itemID="{5A1A9BBC-F7B9-495F-B3E3-C48256C6DE9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732</Words>
  <Characters>4177</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Erica Garcia</cp:lastModifiedBy>
  <cp:revision>2</cp:revision>
  <dcterms:created xsi:type="dcterms:W3CDTF">2020-06-10T23:54:00Z</dcterms:created>
  <dcterms:modified xsi:type="dcterms:W3CDTF">2020-06-10T23:54:00Z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2020-06-10T00:00:00Z</vt:filetime>
  </property>
  <property fmtid="{D5CDD505-2E9C-101B-9397-08002B2CF9AE}" pid="3" name="Creator">
    <vt:lpwstr>Adobe InDesign 15.0 (Windows)</vt:lpwstr>
  </property>
  <property fmtid="{D5CDD505-2E9C-101B-9397-08002B2CF9AE}" pid="4" name="LastSaved">
    <vt:filetime>2020-06-10T00:00:00Z</vt:filetime>
  </property>
  <property fmtid="{D5CDD505-2E9C-101B-9397-08002B2CF9AE}" pid="5" name="ContentTypeId">
    <vt:lpwstr>0x0101002589B3241182B04099FAD2F063B4125A</vt:lpwstr>
  </property>
</Properties>
</file>