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E2126" w14:textId="77777777" w:rsidR="00F96771" w:rsidRDefault="0093224C">
      <w:pPr>
        <w:pStyle w:val="BodyText"/>
        <w:rPr>
          <w:rFonts w:ascii="Times New Roman"/>
          <w:sz w:val="20"/>
        </w:rPr>
      </w:pPr>
      <w:r>
        <w:rPr>
          <w:noProof/>
        </w:rPr>
        <w:drawing>
          <wp:anchor distT="0" distB="0" distL="0" distR="0" simplePos="0" relativeHeight="251658248" behindDoc="1" locked="0" layoutInCell="1" allowOverlap="1" wp14:anchorId="706E214F" wp14:editId="0D462AA1">
            <wp:simplePos x="0" y="0"/>
            <wp:positionH relativeFrom="page">
              <wp:posOffset>479</wp:posOffset>
            </wp:positionH>
            <wp:positionV relativeFrom="page">
              <wp:posOffset>3</wp:posOffset>
            </wp:positionV>
            <wp:extent cx="7559039" cy="1243583"/>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7559039" cy="1243583"/>
                    </a:xfrm>
                    <a:prstGeom prst="rect">
                      <a:avLst/>
                    </a:prstGeom>
                  </pic:spPr>
                </pic:pic>
              </a:graphicData>
            </a:graphic>
          </wp:anchor>
        </w:drawing>
      </w:r>
    </w:p>
    <w:p w14:paraId="706E2127" w14:textId="77777777" w:rsidR="00F96771" w:rsidRDefault="00F96771">
      <w:pPr>
        <w:pStyle w:val="BodyText"/>
        <w:rPr>
          <w:rFonts w:ascii="Times New Roman"/>
          <w:sz w:val="20"/>
        </w:rPr>
      </w:pPr>
    </w:p>
    <w:p w14:paraId="706E2128" w14:textId="77777777" w:rsidR="00F96771" w:rsidRDefault="00F96771">
      <w:pPr>
        <w:pStyle w:val="BodyText"/>
        <w:rPr>
          <w:rFonts w:ascii="Times New Roman"/>
          <w:sz w:val="20"/>
        </w:rPr>
      </w:pPr>
    </w:p>
    <w:p w14:paraId="706E2129" w14:textId="77777777" w:rsidR="00F96771" w:rsidRDefault="00F96771">
      <w:pPr>
        <w:pStyle w:val="BodyText"/>
        <w:rPr>
          <w:rFonts w:ascii="Times New Roman"/>
          <w:sz w:val="20"/>
        </w:rPr>
      </w:pPr>
    </w:p>
    <w:p w14:paraId="706E212A" w14:textId="77777777" w:rsidR="00F96771" w:rsidRDefault="00F96771">
      <w:pPr>
        <w:pStyle w:val="BodyText"/>
        <w:rPr>
          <w:rFonts w:ascii="Times New Roman"/>
          <w:sz w:val="20"/>
        </w:rPr>
      </w:pPr>
    </w:p>
    <w:p w14:paraId="706E212B" w14:textId="77777777" w:rsidR="00F96771" w:rsidRDefault="00F96771">
      <w:pPr>
        <w:pStyle w:val="BodyText"/>
        <w:rPr>
          <w:rFonts w:ascii="Times New Roman"/>
          <w:sz w:val="20"/>
        </w:rPr>
      </w:pPr>
    </w:p>
    <w:p w14:paraId="706E212C" w14:textId="77777777" w:rsidR="00F96771" w:rsidRDefault="00F96771">
      <w:pPr>
        <w:pStyle w:val="BodyText"/>
        <w:rPr>
          <w:rFonts w:ascii="Times New Roman"/>
          <w:sz w:val="20"/>
        </w:rPr>
      </w:pPr>
    </w:p>
    <w:p w14:paraId="706E212D" w14:textId="77777777" w:rsidR="00F96771" w:rsidRDefault="00F96771">
      <w:pPr>
        <w:pStyle w:val="BodyText"/>
        <w:rPr>
          <w:rFonts w:ascii="Times New Roman"/>
          <w:sz w:val="20"/>
        </w:rPr>
      </w:pPr>
    </w:p>
    <w:p w14:paraId="706E212E" w14:textId="77777777" w:rsidR="00F96771" w:rsidRDefault="00F96771">
      <w:pPr>
        <w:pStyle w:val="BodyText"/>
        <w:spacing w:before="9"/>
        <w:rPr>
          <w:rFonts w:ascii="Times New Roman"/>
          <w:sz w:val="28"/>
        </w:rPr>
      </w:pPr>
    </w:p>
    <w:p w14:paraId="706E212F" w14:textId="77777777" w:rsidR="00F96771" w:rsidRDefault="0093224C">
      <w:pPr>
        <w:pStyle w:val="Title"/>
        <w:spacing w:line="213" w:lineRule="auto"/>
      </w:pPr>
      <w:r>
        <w:rPr>
          <w:noProof/>
        </w:rPr>
        <w:drawing>
          <wp:anchor distT="0" distB="0" distL="0" distR="0" simplePos="0" relativeHeight="251658241" behindDoc="0" locked="0" layoutInCell="1" allowOverlap="1" wp14:anchorId="706E2151" wp14:editId="6B48F95B">
            <wp:simplePos x="0" y="0"/>
            <wp:positionH relativeFrom="page">
              <wp:posOffset>2272616</wp:posOffset>
            </wp:positionH>
            <wp:positionV relativeFrom="paragraph">
              <wp:posOffset>-32000</wp:posOffset>
            </wp:positionV>
            <wp:extent cx="690004" cy="666942"/>
            <wp:effectExtent l="0" t="0" r="0" b="0"/>
            <wp:wrapNone/>
            <wp:docPr id="3" name="image2.png" descr="Bioregional Assess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Bioregional Assessments logo"/>
                    <pic:cNvPicPr/>
                  </pic:nvPicPr>
                  <pic:blipFill>
                    <a:blip r:embed="rId9" cstate="print"/>
                    <a:stretch>
                      <a:fillRect/>
                    </a:stretch>
                  </pic:blipFill>
                  <pic:spPr>
                    <a:xfrm>
                      <a:off x="0" y="0"/>
                      <a:ext cx="690004" cy="666942"/>
                    </a:xfrm>
                    <a:prstGeom prst="rect">
                      <a:avLst/>
                    </a:prstGeom>
                  </pic:spPr>
                </pic:pic>
              </a:graphicData>
            </a:graphic>
          </wp:anchor>
        </w:drawing>
      </w:r>
      <w:r>
        <w:rPr>
          <w:noProof/>
        </w:rPr>
        <w:drawing>
          <wp:anchor distT="0" distB="0" distL="0" distR="0" simplePos="0" relativeHeight="251658242" behindDoc="0" locked="0" layoutInCell="1" allowOverlap="1" wp14:anchorId="706E2153" wp14:editId="087B557D">
            <wp:simplePos x="0" y="0"/>
            <wp:positionH relativeFrom="page">
              <wp:posOffset>612004</wp:posOffset>
            </wp:positionH>
            <wp:positionV relativeFrom="paragraph">
              <wp:posOffset>-39759</wp:posOffset>
            </wp:positionV>
            <wp:extent cx="1336446" cy="678573"/>
            <wp:effectExtent l="0" t="0" r="0" b="0"/>
            <wp:wrapNone/>
            <wp:docPr id="5" name="image3.png" descr="The 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The Australian Government crest"/>
                    <pic:cNvPicPr/>
                  </pic:nvPicPr>
                  <pic:blipFill>
                    <a:blip r:embed="rId10" cstate="print"/>
                    <a:stretch>
                      <a:fillRect/>
                    </a:stretch>
                  </pic:blipFill>
                  <pic:spPr>
                    <a:xfrm>
                      <a:off x="0" y="0"/>
                      <a:ext cx="1336446" cy="678573"/>
                    </a:xfrm>
                    <a:prstGeom prst="rect">
                      <a:avLst/>
                    </a:prstGeom>
                  </pic:spPr>
                </pic:pic>
              </a:graphicData>
            </a:graphic>
          </wp:anchor>
        </w:drawing>
      </w:r>
      <w:r w:rsidR="00293F8C">
        <w:rPr>
          <w:noProof/>
        </w:rPr>
      </w:r>
      <w:r w:rsidR="00293F8C">
        <w:rPr>
          <w:noProof/>
        </w:rPr>
        <w:pict w14:anchorId="706E2155">
          <v:group id="_x0000_s1033" alt="CSIRO logo" style="position:absolute;left:0;text-align:left;margin-left:253.6pt;margin-top:-2.9pt;width:53.25pt;height:53.25pt;z-index:251658243;mso-position-horizontal-relative:page;mso-position-vertical-relative:text" coordorigin="5072,-58" coordsize="1065,1065">
            <v:shape id="_x0000_s1038" alt="CSIRO logo" style="position:absolute;left:5071;top:-59;width:1065;height:1065" coordorigin="5072,-58" coordsize="1065,1065" path="m5604,-58r-72,5l5462,-39r-65,23l5335,14r-56,39l5227,98r-44,51l5144,205r-31,62l5091,332r-14,70l5072,474r5,72l5091,615r22,66l5144,742r39,57l5227,850r52,45l5335,933r62,31l5462,987r70,14l5604,1006r72,-5l5745,987r66,-23l5872,933r57,-38l5980,850r45,-51l6063,742r31,-61l6117,615r14,-69l6136,474r-5,-72l6117,332r-23,-65l6063,205r-38,-56l5980,98,5929,53,5872,14r-61,-30l5745,-39r-69,-14l5604,-58xe" fillcolor="#00afd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CSIRO logo" style="position:absolute;left:5220;top:584;width:306;height:171">
              <v:imagedata r:id="rId11" o:title=""/>
            </v:shape>
            <v:rect id="_x0000_s1036" alt="CSIRO logo" style="position:absolute;left:5566;top:587;width:37;height:165" stroked="f"/>
            <v:shape id="_x0000_s1035" type="#_x0000_t75" alt="CSIRO logo" style="position:absolute;left:5649;top:584;width:338;height:171">
              <v:imagedata r:id="rId12" o:title=""/>
            </v:shape>
            <v:shape id="_x0000_s1034" alt="CSIRO logo" style="position:absolute;left:5354;top:69;width:495;height:463" coordorigin="5354,70" coordsize="495,463" o:spt="100" adj="0,,0" path="m5407,208r-12,-12l5381,196r-15,l5354,208r,179l5366,399r29,l5407,387r,-179xm5495,132r-11,-12l5469,120r-15,l5443,132r,230l5454,374r30,l5495,362r,-230xm5584,81l5572,70r-15,l5543,70r-12,11l5531,336r12,12l5572,348r12,-12l5584,81xm5672,157r-12,-11l5646,146r-15,l5619,157r,255l5631,424r29,l5672,412r,-255xm5761,81l5749,70r-15,l5720,70r-12,11l5708,438r12,12l5749,450r12,-12l5761,81xm5763,503r-2,-11l5754,483r-9,-6l5734,475r-11,2l5714,483r-6,9l5706,503r2,12l5714,524r9,6l5734,532r11,-2l5754,524r7,-9l5763,503xm5849,208r-12,-12l5823,196r-15,l5796,208r,179l5808,399r29,l5849,387r,-179xe" stroked="f">
              <v:stroke joinstyle="round"/>
              <v:formulas/>
              <v:path arrowok="t" o:connecttype="segments"/>
            </v:shape>
            <w10:wrap anchorx="page"/>
          </v:group>
        </w:pict>
      </w:r>
      <w:r w:rsidR="00293F8C">
        <w:rPr>
          <w:noProof/>
        </w:rPr>
      </w:r>
      <w:r w:rsidR="00293F8C">
        <w:rPr>
          <w:noProof/>
        </w:rPr>
        <w:pict w14:anchorId="706E2156">
          <v:line id="_x0000_s1032" alt="" style="position:absolute;left:0;text-align:left;z-index:251658244;mso-wrap-edited:f;mso-width-percent:0;mso-height-percent:0;mso-position-horizontal-relative:page;mso-position-vertical-relative:text;mso-width-percent:0;mso-height-percent:0" from="244.05pt,-2.55pt" to="244.05pt,50.3pt" strokecolor="#231f20" strokeweight=".1108mm">
            <w10:wrap anchorx="page"/>
          </v:line>
        </w:pict>
      </w:r>
      <w:r w:rsidR="00293F8C">
        <w:rPr>
          <w:noProof/>
        </w:rPr>
      </w:r>
      <w:r w:rsidR="00293F8C">
        <w:rPr>
          <w:noProof/>
        </w:rPr>
        <w:pict w14:anchorId="706E2157">
          <v:line id="_x0000_s1031" alt="" style="position:absolute;left:0;text-align:left;z-index:251658245;mso-wrap-edited:f;mso-width-percent:0;mso-height-percent:0;mso-position-horizontal-relative:page;mso-position-vertical-relative:text;mso-width-percent:0;mso-height-percent:0" from="166.6pt,-2.55pt" to="166.6pt,50.3pt" strokecolor="#231f20" strokeweight=".1108mm">
            <w10:wrap anchorx="page"/>
          </v:line>
        </w:pict>
      </w:r>
      <w:r>
        <w:rPr>
          <w:color w:val="76421F"/>
        </w:rPr>
        <w:t>Introduction to causal networks</w:t>
      </w:r>
    </w:p>
    <w:p w14:paraId="706E2130" w14:textId="77777777" w:rsidR="00F96771" w:rsidRDefault="00F96771">
      <w:pPr>
        <w:pStyle w:val="BodyText"/>
        <w:rPr>
          <w:rFonts w:ascii="Calibri"/>
          <w:b/>
          <w:sz w:val="20"/>
        </w:rPr>
      </w:pPr>
    </w:p>
    <w:p w14:paraId="706E2131" w14:textId="77777777" w:rsidR="00F96771" w:rsidRDefault="00F96771">
      <w:pPr>
        <w:pStyle w:val="BodyText"/>
        <w:spacing w:before="9"/>
        <w:rPr>
          <w:rFonts w:ascii="Calibri"/>
          <w:b/>
          <w:sz w:val="28"/>
        </w:rPr>
      </w:pPr>
    </w:p>
    <w:p w14:paraId="706E2132" w14:textId="77777777" w:rsidR="00F96771" w:rsidRDefault="0093224C">
      <w:pPr>
        <w:pStyle w:val="Heading1"/>
        <w:spacing w:before="19"/>
      </w:pPr>
      <w:r>
        <w:rPr>
          <w:color w:val="006F97"/>
        </w:rPr>
        <w:t>Geological and Bioregional Assessment Program</w:t>
      </w:r>
    </w:p>
    <w:p w14:paraId="706E2133" w14:textId="77777777" w:rsidR="00F96771" w:rsidRDefault="0093224C">
      <w:pPr>
        <w:pStyle w:val="BodyText"/>
        <w:spacing w:before="65" w:line="235" w:lineRule="auto"/>
        <w:ind w:left="103" w:right="106"/>
      </w:pPr>
      <w:r>
        <w:rPr>
          <w:color w:val="231F20"/>
        </w:rPr>
        <w:t xml:space="preserve">The $35.4 million Geological and Bioregional Assessment (GBA) </w:t>
      </w:r>
      <w:r>
        <w:rPr>
          <w:color w:val="231F20"/>
          <w:spacing w:val="-3"/>
        </w:rPr>
        <w:t xml:space="preserve">Program </w:t>
      </w:r>
      <w:r>
        <w:rPr>
          <w:color w:val="231F20"/>
        </w:rPr>
        <w:t>is assessing the potential impacts of shale</w:t>
      </w:r>
      <w:r>
        <w:rPr>
          <w:color w:val="231F20"/>
          <w:spacing w:val="-10"/>
        </w:rPr>
        <w:t xml:space="preserve"> </w:t>
      </w:r>
      <w:r>
        <w:rPr>
          <w:color w:val="231F20"/>
        </w:rPr>
        <w:t>and</w:t>
      </w:r>
      <w:r>
        <w:rPr>
          <w:color w:val="231F20"/>
          <w:spacing w:val="-10"/>
        </w:rPr>
        <w:t xml:space="preserve"> </w:t>
      </w:r>
      <w:r>
        <w:rPr>
          <w:color w:val="231F20"/>
        </w:rPr>
        <w:t>tight</w:t>
      </w:r>
      <w:r>
        <w:rPr>
          <w:color w:val="231F20"/>
          <w:spacing w:val="-9"/>
        </w:rPr>
        <w:t xml:space="preserve"> </w:t>
      </w:r>
      <w:r>
        <w:rPr>
          <w:color w:val="231F20"/>
        </w:rPr>
        <w:t>gas</w:t>
      </w:r>
      <w:r>
        <w:rPr>
          <w:color w:val="231F20"/>
          <w:spacing w:val="-10"/>
        </w:rPr>
        <w:t xml:space="preserve"> </w:t>
      </w:r>
      <w:r>
        <w:rPr>
          <w:color w:val="231F20"/>
        </w:rPr>
        <w:t>development</w:t>
      </w:r>
      <w:r>
        <w:rPr>
          <w:color w:val="231F20"/>
          <w:spacing w:val="-9"/>
        </w:rPr>
        <w:t xml:space="preserve"> </w:t>
      </w:r>
      <w:r>
        <w:rPr>
          <w:color w:val="231F20"/>
        </w:rPr>
        <w:t>on</w:t>
      </w:r>
      <w:r>
        <w:rPr>
          <w:color w:val="231F20"/>
          <w:spacing w:val="-10"/>
        </w:rPr>
        <w:t xml:space="preserve"> </w:t>
      </w:r>
      <w:r>
        <w:rPr>
          <w:color w:val="231F20"/>
        </w:rPr>
        <w:t>water</w:t>
      </w:r>
      <w:r>
        <w:rPr>
          <w:color w:val="231F20"/>
          <w:spacing w:val="-9"/>
        </w:rPr>
        <w:t xml:space="preserve"> </w:t>
      </w:r>
      <w:r>
        <w:rPr>
          <w:color w:val="231F20"/>
        </w:rPr>
        <w:t>and</w:t>
      </w:r>
      <w:r>
        <w:rPr>
          <w:color w:val="231F20"/>
          <w:spacing w:val="-10"/>
        </w:rPr>
        <w:t xml:space="preserve"> </w:t>
      </w:r>
      <w:r>
        <w:rPr>
          <w:color w:val="231F20"/>
        </w:rPr>
        <w:t>the</w:t>
      </w:r>
      <w:r>
        <w:rPr>
          <w:color w:val="231F20"/>
          <w:spacing w:val="-9"/>
        </w:rPr>
        <w:t xml:space="preserve"> </w:t>
      </w:r>
      <w:r>
        <w:rPr>
          <w:color w:val="231F20"/>
        </w:rPr>
        <w:t>environment</w:t>
      </w:r>
      <w:r>
        <w:rPr>
          <w:color w:val="231F20"/>
          <w:spacing w:val="-10"/>
        </w:rPr>
        <w:t xml:space="preserve"> </w:t>
      </w:r>
      <w:r>
        <w:rPr>
          <w:color w:val="231F20"/>
        </w:rPr>
        <w:t>to</w:t>
      </w:r>
      <w:r>
        <w:rPr>
          <w:color w:val="231F20"/>
          <w:spacing w:val="-10"/>
        </w:rPr>
        <w:t xml:space="preserve"> </w:t>
      </w:r>
      <w:r>
        <w:rPr>
          <w:color w:val="231F20"/>
        </w:rPr>
        <w:t>inform</w:t>
      </w:r>
      <w:r>
        <w:rPr>
          <w:color w:val="231F20"/>
          <w:spacing w:val="-9"/>
        </w:rPr>
        <w:t xml:space="preserve"> </w:t>
      </w:r>
      <w:r>
        <w:rPr>
          <w:color w:val="231F20"/>
        </w:rPr>
        <w:t>regulatory</w:t>
      </w:r>
      <w:r>
        <w:rPr>
          <w:color w:val="231F20"/>
          <w:spacing w:val="-10"/>
        </w:rPr>
        <w:t xml:space="preserve"> </w:t>
      </w:r>
      <w:r>
        <w:rPr>
          <w:color w:val="231F20"/>
        </w:rPr>
        <w:t>frameworks</w:t>
      </w:r>
      <w:r>
        <w:rPr>
          <w:color w:val="231F20"/>
          <w:spacing w:val="-9"/>
        </w:rPr>
        <w:t xml:space="preserve"> </w:t>
      </w:r>
      <w:r>
        <w:rPr>
          <w:color w:val="231F20"/>
        </w:rPr>
        <w:t>and</w:t>
      </w:r>
      <w:r>
        <w:rPr>
          <w:color w:val="231F20"/>
          <w:spacing w:val="-10"/>
        </w:rPr>
        <w:t xml:space="preserve"> </w:t>
      </w:r>
      <w:r>
        <w:rPr>
          <w:color w:val="231F20"/>
        </w:rPr>
        <w:t>appropriate management</w:t>
      </w:r>
      <w:r>
        <w:rPr>
          <w:color w:val="231F20"/>
          <w:spacing w:val="-10"/>
        </w:rPr>
        <w:t xml:space="preserve"> </w:t>
      </w:r>
      <w:r>
        <w:rPr>
          <w:color w:val="231F20"/>
        </w:rPr>
        <w:t>approaches.</w:t>
      </w:r>
      <w:r>
        <w:rPr>
          <w:color w:val="231F20"/>
          <w:spacing w:val="-10"/>
        </w:rPr>
        <w:t xml:space="preserve"> </w:t>
      </w:r>
      <w:r>
        <w:rPr>
          <w:color w:val="231F20"/>
        </w:rPr>
        <w:t>The</w:t>
      </w:r>
      <w:r>
        <w:rPr>
          <w:color w:val="231F20"/>
          <w:spacing w:val="-10"/>
        </w:rPr>
        <w:t xml:space="preserve"> </w:t>
      </w:r>
      <w:r>
        <w:rPr>
          <w:color w:val="231F20"/>
        </w:rPr>
        <w:t>geological</w:t>
      </w:r>
      <w:r>
        <w:rPr>
          <w:color w:val="231F20"/>
          <w:spacing w:val="-9"/>
        </w:rPr>
        <w:t xml:space="preserve"> </w:t>
      </w:r>
      <w:r>
        <w:rPr>
          <w:color w:val="231F20"/>
        </w:rPr>
        <w:t>and</w:t>
      </w:r>
      <w:r>
        <w:rPr>
          <w:color w:val="231F20"/>
          <w:spacing w:val="-10"/>
        </w:rPr>
        <w:t xml:space="preserve"> </w:t>
      </w:r>
      <w:r>
        <w:rPr>
          <w:color w:val="231F20"/>
        </w:rPr>
        <w:t>environmental</w:t>
      </w:r>
      <w:r>
        <w:rPr>
          <w:color w:val="231F20"/>
          <w:spacing w:val="-10"/>
        </w:rPr>
        <w:t xml:space="preserve"> </w:t>
      </w:r>
      <w:r>
        <w:rPr>
          <w:color w:val="231F20"/>
        </w:rPr>
        <w:t>knowledge,</w:t>
      </w:r>
      <w:r>
        <w:rPr>
          <w:color w:val="231F20"/>
          <w:spacing w:val="-9"/>
        </w:rPr>
        <w:t xml:space="preserve"> </w:t>
      </w:r>
      <w:r>
        <w:rPr>
          <w:color w:val="231F20"/>
        </w:rPr>
        <w:t>data</w:t>
      </w:r>
      <w:r>
        <w:rPr>
          <w:color w:val="231F20"/>
          <w:spacing w:val="-10"/>
        </w:rPr>
        <w:t xml:space="preserve"> </w:t>
      </w:r>
      <w:r>
        <w:rPr>
          <w:color w:val="231F20"/>
        </w:rPr>
        <w:t>and</w:t>
      </w:r>
      <w:r>
        <w:rPr>
          <w:color w:val="231F20"/>
          <w:spacing w:val="-10"/>
        </w:rPr>
        <w:t xml:space="preserve"> </w:t>
      </w:r>
      <w:r>
        <w:rPr>
          <w:color w:val="231F20"/>
        </w:rPr>
        <w:t>tools</w:t>
      </w:r>
      <w:r>
        <w:rPr>
          <w:color w:val="231F20"/>
          <w:spacing w:val="-9"/>
        </w:rPr>
        <w:t xml:space="preserve"> </w:t>
      </w:r>
      <w:r>
        <w:rPr>
          <w:color w:val="231F20"/>
        </w:rPr>
        <w:t>produced</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 xml:space="preserve">program will assist governments, </w:t>
      </w:r>
      <w:r>
        <w:rPr>
          <w:color w:val="231F20"/>
          <w:spacing w:val="-3"/>
        </w:rPr>
        <w:t xml:space="preserve">industry, </w:t>
      </w:r>
      <w:r>
        <w:rPr>
          <w:color w:val="231F20"/>
        </w:rPr>
        <w:t>land users and the community by informing decision-making and enabling the coordinated management of potential</w:t>
      </w:r>
      <w:r>
        <w:rPr>
          <w:color w:val="231F20"/>
          <w:spacing w:val="-13"/>
        </w:rPr>
        <w:t xml:space="preserve"> </w:t>
      </w:r>
      <w:r>
        <w:rPr>
          <w:color w:val="231F20"/>
        </w:rPr>
        <w:t>impacts.</w:t>
      </w:r>
    </w:p>
    <w:p w14:paraId="706E2134" w14:textId="77777777" w:rsidR="00F96771" w:rsidRDefault="0093224C">
      <w:pPr>
        <w:pStyle w:val="BodyText"/>
        <w:spacing w:before="117" w:line="235" w:lineRule="auto"/>
        <w:ind w:left="103" w:right="210"/>
      </w:pPr>
      <w:r>
        <w:rPr>
          <w:color w:val="231F20"/>
        </w:rPr>
        <w:t xml:space="preserve">A series of independent scientific studies were conducted in 3 geological basin: the Cooper Basin in Queensland and South Australia, the Isa </w:t>
      </w:r>
      <w:proofErr w:type="spellStart"/>
      <w:r>
        <w:rPr>
          <w:color w:val="231F20"/>
        </w:rPr>
        <w:t>Superbasin</w:t>
      </w:r>
      <w:proofErr w:type="spellEnd"/>
      <w:r>
        <w:rPr>
          <w:color w:val="231F20"/>
        </w:rPr>
        <w:t xml:space="preserve"> in Queensland and the Beetaloo Sub-basin in the Northern Territory (referred to throughout as GBA regions). These studies have been conducted by CSIRO and Geoscience Australia, supported by the Bureau of Meteorology and managed by the Department of Agriculture, Water</w:t>
      </w:r>
    </w:p>
    <w:p w14:paraId="706E2135" w14:textId="77777777" w:rsidR="00F96771" w:rsidRDefault="0093224C">
      <w:pPr>
        <w:pStyle w:val="BodyText"/>
        <w:spacing w:line="268" w:lineRule="exact"/>
        <w:ind w:left="103"/>
      </w:pPr>
      <w:r>
        <w:rPr>
          <w:color w:val="231F20"/>
        </w:rPr>
        <w:t>and the Environment.</w:t>
      </w:r>
    </w:p>
    <w:p w14:paraId="706E2136" w14:textId="77777777" w:rsidR="00F96771" w:rsidRDefault="0093224C">
      <w:pPr>
        <w:pStyle w:val="BodyText"/>
        <w:spacing w:before="113" w:line="235" w:lineRule="auto"/>
        <w:ind w:left="103" w:right="413"/>
      </w:pPr>
      <w:r>
        <w:rPr>
          <w:color w:val="231F20"/>
        </w:rPr>
        <w:t>Assessments identified potential impacts on water and the environment. Causal networks were used to determine where potential impacts cannot be ruled out. Governments, industry and the community can then focus on areas that are potentially impacted and apply local-scale modelling when making regulatory, water management and planning decisions.</w:t>
      </w:r>
    </w:p>
    <w:p w14:paraId="706E2137" w14:textId="77777777" w:rsidR="00F96771" w:rsidRDefault="00F96771">
      <w:pPr>
        <w:pStyle w:val="BodyText"/>
        <w:spacing w:before="3"/>
        <w:rPr>
          <w:sz w:val="20"/>
        </w:rPr>
      </w:pPr>
    </w:p>
    <w:p w14:paraId="706E2138" w14:textId="77777777" w:rsidR="00F96771" w:rsidRDefault="0093224C">
      <w:pPr>
        <w:pStyle w:val="Heading1"/>
      </w:pPr>
      <w:r>
        <w:rPr>
          <w:color w:val="006F97"/>
        </w:rPr>
        <w:t>Introduction to causal networks</w:t>
      </w:r>
    </w:p>
    <w:p w14:paraId="706E2139" w14:textId="77777777" w:rsidR="00F96771" w:rsidRDefault="0093224C">
      <w:pPr>
        <w:pStyle w:val="BodyText"/>
        <w:spacing w:before="65" w:line="235" w:lineRule="auto"/>
        <w:ind w:left="103" w:right="170"/>
      </w:pPr>
      <w:r>
        <w:rPr>
          <w:color w:val="231F20"/>
        </w:rPr>
        <w:t>Assessing potential impacts of development activities requires tools to evaluate both direct and indirect impacts on ecological, economic and/or social values that are to be protected – referred to as endpoints. The GBA Program developed a new methodology for such impact assessment, based on causal networks.</w:t>
      </w:r>
    </w:p>
    <w:p w14:paraId="706E213A" w14:textId="77777777" w:rsidR="00F96771" w:rsidRDefault="0093224C">
      <w:pPr>
        <w:pStyle w:val="BodyText"/>
        <w:spacing w:before="116" w:line="235" w:lineRule="auto"/>
        <w:ind w:left="103" w:right="267"/>
      </w:pPr>
      <w:r>
        <w:rPr>
          <w:color w:val="231F20"/>
        </w:rPr>
        <w:t xml:space="preserve">Causal networks are pictorial models that show the pathways between development activities and the values to be protected, </w:t>
      </w:r>
      <w:r>
        <w:rPr>
          <w:color w:val="231F20"/>
          <w:spacing w:val="-3"/>
        </w:rPr>
        <w:t xml:space="preserve">for </w:t>
      </w:r>
      <w:r>
        <w:rPr>
          <w:color w:val="231F20"/>
        </w:rPr>
        <w:t>example, threatened species such as the grey grasswren or nationally protected areas such as wetlands and waterholes. A causal network consists of nodes connected by links (</w:t>
      </w:r>
      <w:hyperlink w:anchor="_bookmark0" w:history="1">
        <w:r>
          <w:rPr>
            <w:color w:val="006F97"/>
            <w:u w:val="dotted" w:color="006F97"/>
          </w:rPr>
          <w:t>Figure 1</w:t>
        </w:r>
      </w:hyperlink>
      <w:r>
        <w:rPr>
          <w:color w:val="231F20"/>
        </w:rPr>
        <w:t xml:space="preserve">). Nodes represent the </w:t>
      </w:r>
      <w:r>
        <w:rPr>
          <w:color w:val="231F20"/>
          <w:spacing w:val="-3"/>
        </w:rPr>
        <w:t xml:space="preserve">different </w:t>
      </w:r>
      <w:r>
        <w:rPr>
          <w:color w:val="231F20"/>
        </w:rPr>
        <w:t xml:space="preserve">components of the </w:t>
      </w:r>
      <w:r>
        <w:rPr>
          <w:color w:val="231F20"/>
          <w:spacing w:val="-3"/>
        </w:rPr>
        <w:t xml:space="preserve">system. </w:t>
      </w:r>
      <w:r>
        <w:rPr>
          <w:color w:val="231F20"/>
        </w:rPr>
        <w:t xml:space="preserve">Links – represented by lines – show the </w:t>
      </w:r>
      <w:proofErr w:type="spellStart"/>
      <w:r>
        <w:rPr>
          <w:color w:val="231F20"/>
        </w:rPr>
        <w:t>hypothesised</w:t>
      </w:r>
      <w:proofErr w:type="spellEnd"/>
      <w:r>
        <w:rPr>
          <w:color w:val="231F20"/>
        </w:rPr>
        <w:t xml:space="preserve"> cause-and-effect relationships between nodes, based on the current understanding of the </w:t>
      </w:r>
      <w:r>
        <w:rPr>
          <w:color w:val="231F20"/>
          <w:spacing w:val="-3"/>
        </w:rPr>
        <w:t>system.</w:t>
      </w:r>
    </w:p>
    <w:p w14:paraId="706E213B" w14:textId="77777777" w:rsidR="00F96771" w:rsidRDefault="00F96771">
      <w:pPr>
        <w:pStyle w:val="BodyText"/>
        <w:spacing w:before="3"/>
        <w:rPr>
          <w:sz w:val="20"/>
        </w:rPr>
      </w:pPr>
    </w:p>
    <w:p w14:paraId="706E213C" w14:textId="77777777" w:rsidR="00F96771" w:rsidRDefault="0093224C">
      <w:pPr>
        <w:pStyle w:val="Heading1"/>
      </w:pPr>
      <w:r>
        <w:rPr>
          <w:color w:val="006F97"/>
        </w:rPr>
        <w:t>GBA Explorer</w:t>
      </w:r>
    </w:p>
    <w:p w14:paraId="706E213D" w14:textId="77777777" w:rsidR="00F96771" w:rsidRDefault="0093224C">
      <w:pPr>
        <w:pStyle w:val="BodyText"/>
        <w:spacing w:before="65" w:line="235" w:lineRule="auto"/>
        <w:ind w:left="103" w:right="306"/>
      </w:pPr>
      <w:r>
        <w:rPr>
          <w:color w:val="231F20"/>
        </w:rPr>
        <w:t xml:space="preserve">Presenting and communicating the information captured by the causal network is challenging. The innovative </w:t>
      </w:r>
      <w:hyperlink r:id="rId13">
        <w:r>
          <w:rPr>
            <w:color w:val="006F97"/>
            <w:u w:val="dotted" w:color="006F97"/>
          </w:rPr>
          <w:t>GBA Explorer</w:t>
        </w:r>
        <w:r>
          <w:rPr>
            <w:color w:val="006F97"/>
          </w:rPr>
          <w:t xml:space="preserve"> </w:t>
        </w:r>
      </w:hyperlink>
      <w:r>
        <w:rPr>
          <w:color w:val="231F20"/>
        </w:rPr>
        <w:t xml:space="preserve">is a publicly accessible online tool that allows simplification of the complex causal network supporting the assessments. Selecting a pathway of interest provides more detailed context and supporting evidence </w:t>
      </w:r>
      <w:r>
        <w:rPr>
          <w:color w:val="231F20"/>
          <w:spacing w:val="-3"/>
        </w:rPr>
        <w:t xml:space="preserve">for </w:t>
      </w:r>
      <w:r>
        <w:rPr>
          <w:color w:val="231F20"/>
        </w:rPr>
        <w:t xml:space="preserve">evaluations. Detailed information </w:t>
      </w:r>
      <w:r>
        <w:rPr>
          <w:color w:val="231F20"/>
          <w:spacing w:val="-3"/>
        </w:rPr>
        <w:t xml:space="preserve">for </w:t>
      </w:r>
      <w:r>
        <w:rPr>
          <w:color w:val="231F20"/>
        </w:rPr>
        <w:t xml:space="preserve">each node, the evaluation of the links and the justification </w:t>
      </w:r>
      <w:r>
        <w:rPr>
          <w:color w:val="231F20"/>
          <w:spacing w:val="-3"/>
        </w:rPr>
        <w:t xml:space="preserve">for </w:t>
      </w:r>
      <w:r>
        <w:rPr>
          <w:color w:val="231F20"/>
        </w:rPr>
        <w:t xml:space="preserve">each evaluation are captured in a series of node descriptions. These descriptions </w:t>
      </w:r>
      <w:proofErr w:type="spellStart"/>
      <w:r>
        <w:rPr>
          <w:color w:val="231F20"/>
        </w:rPr>
        <w:t>summarise</w:t>
      </w:r>
      <w:proofErr w:type="spellEnd"/>
      <w:r>
        <w:rPr>
          <w:color w:val="231F20"/>
        </w:rPr>
        <w:t xml:space="preserve"> the relevant literature,</w:t>
      </w:r>
      <w:r>
        <w:rPr>
          <w:color w:val="231F20"/>
          <w:spacing w:val="-9"/>
        </w:rPr>
        <w:t xml:space="preserve"> </w:t>
      </w:r>
      <w:r>
        <w:rPr>
          <w:color w:val="231F20"/>
        </w:rPr>
        <w:t>GBA</w:t>
      </w:r>
      <w:r>
        <w:rPr>
          <w:color w:val="231F20"/>
          <w:spacing w:val="-9"/>
        </w:rPr>
        <w:t xml:space="preserve"> </w:t>
      </w:r>
      <w:r>
        <w:rPr>
          <w:color w:val="231F20"/>
        </w:rPr>
        <w:t>investigations,</w:t>
      </w:r>
      <w:r>
        <w:rPr>
          <w:color w:val="231F20"/>
          <w:spacing w:val="-8"/>
        </w:rPr>
        <w:t xml:space="preserve"> </w:t>
      </w:r>
      <w:r>
        <w:rPr>
          <w:color w:val="231F20"/>
        </w:rPr>
        <w:t>legislation</w:t>
      </w:r>
      <w:r>
        <w:rPr>
          <w:color w:val="231F20"/>
          <w:spacing w:val="-9"/>
        </w:rPr>
        <w:t xml:space="preserve"> </w:t>
      </w:r>
      <w:r>
        <w:rPr>
          <w:color w:val="231F20"/>
        </w:rPr>
        <w:t>and</w:t>
      </w:r>
      <w:r>
        <w:rPr>
          <w:color w:val="231F20"/>
          <w:spacing w:val="-9"/>
        </w:rPr>
        <w:t xml:space="preserve"> </w:t>
      </w:r>
      <w:r>
        <w:rPr>
          <w:color w:val="231F20"/>
        </w:rPr>
        <w:t>protocols</w:t>
      </w:r>
      <w:r>
        <w:rPr>
          <w:color w:val="231F20"/>
          <w:spacing w:val="-8"/>
        </w:rPr>
        <w:t xml:space="preserve"> </w:t>
      </w:r>
      <w:r>
        <w:rPr>
          <w:color w:val="231F20"/>
        </w:rPr>
        <w:t>to</w:t>
      </w:r>
      <w:r>
        <w:rPr>
          <w:color w:val="231F20"/>
          <w:spacing w:val="-9"/>
        </w:rPr>
        <w:t xml:space="preserve"> </w:t>
      </w:r>
      <w:r>
        <w:rPr>
          <w:color w:val="231F20"/>
        </w:rPr>
        <w:t>support</w:t>
      </w:r>
      <w:r>
        <w:rPr>
          <w:color w:val="231F20"/>
          <w:spacing w:val="-9"/>
        </w:rPr>
        <w:t xml:space="preserve"> </w:t>
      </w:r>
      <w:r>
        <w:rPr>
          <w:color w:val="231F20"/>
        </w:rPr>
        <w:t>the</w:t>
      </w:r>
      <w:r>
        <w:rPr>
          <w:color w:val="231F20"/>
          <w:spacing w:val="-8"/>
        </w:rPr>
        <w:t xml:space="preserve"> </w:t>
      </w:r>
      <w:r>
        <w:rPr>
          <w:color w:val="231F20"/>
        </w:rPr>
        <w:t>evaluation</w:t>
      </w:r>
      <w:r>
        <w:rPr>
          <w:color w:val="231F20"/>
          <w:spacing w:val="-9"/>
        </w:rPr>
        <w:t xml:space="preserve"> </w:t>
      </w:r>
      <w:r>
        <w:rPr>
          <w:color w:val="231F20"/>
        </w:rPr>
        <w:t>of</w:t>
      </w:r>
      <w:r>
        <w:rPr>
          <w:color w:val="231F20"/>
          <w:spacing w:val="-9"/>
        </w:rPr>
        <w:t xml:space="preserve"> </w:t>
      </w:r>
      <w:r>
        <w:rPr>
          <w:color w:val="231F20"/>
        </w:rPr>
        <w:t>each</w:t>
      </w:r>
      <w:r>
        <w:rPr>
          <w:color w:val="231F20"/>
          <w:spacing w:val="-8"/>
        </w:rPr>
        <w:t xml:space="preserve"> </w:t>
      </w:r>
      <w:r>
        <w:rPr>
          <w:color w:val="231F20"/>
        </w:rPr>
        <w:t>link</w:t>
      </w:r>
      <w:r>
        <w:rPr>
          <w:color w:val="231F20"/>
          <w:spacing w:val="-9"/>
        </w:rPr>
        <w:t xml:space="preserve"> </w:t>
      </w:r>
      <w:r>
        <w:rPr>
          <w:color w:val="231F20"/>
        </w:rPr>
        <w:t>starting</w:t>
      </w:r>
      <w:r>
        <w:rPr>
          <w:color w:val="231F20"/>
          <w:spacing w:val="-8"/>
        </w:rPr>
        <w:t xml:space="preserve"> </w:t>
      </w:r>
      <w:r>
        <w:rPr>
          <w:color w:val="231F20"/>
        </w:rPr>
        <w:t>from</w:t>
      </w:r>
      <w:r>
        <w:rPr>
          <w:color w:val="231F20"/>
          <w:spacing w:val="-9"/>
        </w:rPr>
        <w:t xml:space="preserve"> </w:t>
      </w:r>
      <w:r>
        <w:rPr>
          <w:color w:val="231F20"/>
        </w:rPr>
        <w:t>that node in the causal</w:t>
      </w:r>
      <w:r>
        <w:rPr>
          <w:color w:val="231F20"/>
          <w:spacing w:val="-13"/>
        </w:rPr>
        <w:t xml:space="preserve"> </w:t>
      </w:r>
      <w:r>
        <w:rPr>
          <w:color w:val="231F20"/>
        </w:rPr>
        <w:t>network.</w:t>
      </w:r>
    </w:p>
    <w:p w14:paraId="706E213E" w14:textId="77777777" w:rsidR="00F96771" w:rsidRDefault="00293F8C">
      <w:pPr>
        <w:pStyle w:val="BodyText"/>
        <w:spacing w:before="115" w:line="266" w:lineRule="exact"/>
        <w:ind w:left="103"/>
      </w:pPr>
      <w:hyperlink w:anchor="_bookmark0" w:history="1">
        <w:r w:rsidR="0093224C">
          <w:rPr>
            <w:color w:val="006F97"/>
            <w:u w:val="dotted" w:color="006F97"/>
          </w:rPr>
          <w:t>Figure 1</w:t>
        </w:r>
        <w:r w:rsidR="0093224C">
          <w:rPr>
            <w:color w:val="006F97"/>
          </w:rPr>
          <w:t xml:space="preserve"> </w:t>
        </w:r>
      </w:hyperlink>
      <w:r w:rsidR="0093224C">
        <w:rPr>
          <w:color w:val="231F20"/>
        </w:rPr>
        <w:t>shows how outputs are presented: (</w:t>
      </w:r>
      <w:proofErr w:type="spellStart"/>
      <w:r w:rsidR="0093224C">
        <w:rPr>
          <w:color w:val="231F20"/>
        </w:rPr>
        <w:t>i</w:t>
      </w:r>
      <w:proofErr w:type="spellEnd"/>
      <w:r w:rsidR="0093224C">
        <w:rPr>
          <w:color w:val="231F20"/>
        </w:rPr>
        <w:t>) areas where more detailed local-scale assessment is required;</w:t>
      </w:r>
    </w:p>
    <w:p w14:paraId="706E213F" w14:textId="77777777" w:rsidR="00F96771" w:rsidRDefault="0093224C">
      <w:pPr>
        <w:pStyle w:val="BodyText"/>
        <w:spacing w:before="2" w:line="235" w:lineRule="auto"/>
        <w:ind w:left="103" w:right="368"/>
      </w:pPr>
      <w:r>
        <w:rPr>
          <w:color w:val="231F20"/>
        </w:rPr>
        <w:t xml:space="preserve">(ii) activities, stressors and processes of concern; and (iii) maps showing the location of potential impacts on the assessed endpoints, </w:t>
      </w:r>
      <w:r>
        <w:rPr>
          <w:color w:val="231F20"/>
          <w:spacing w:val="-3"/>
        </w:rPr>
        <w:t xml:space="preserve">for </w:t>
      </w:r>
      <w:r>
        <w:rPr>
          <w:color w:val="231F20"/>
        </w:rPr>
        <w:t xml:space="preserve">example, landscapes, wetlands, aquifers, surface </w:t>
      </w:r>
      <w:r>
        <w:rPr>
          <w:color w:val="231F20"/>
          <w:spacing w:val="-6"/>
        </w:rPr>
        <w:t xml:space="preserve">water, </w:t>
      </w:r>
      <w:r>
        <w:rPr>
          <w:color w:val="231F20"/>
        </w:rPr>
        <w:t xml:space="preserve">protected fauna and flora, and </w:t>
      </w:r>
      <w:r>
        <w:rPr>
          <w:color w:val="231F20"/>
          <w:spacing w:val="-4"/>
        </w:rPr>
        <w:t>groundwater.</w:t>
      </w:r>
    </w:p>
    <w:p w14:paraId="706E2140" w14:textId="77777777" w:rsidR="00F96771" w:rsidRDefault="00F96771">
      <w:pPr>
        <w:pStyle w:val="BodyText"/>
        <w:rPr>
          <w:sz w:val="20"/>
        </w:rPr>
      </w:pPr>
    </w:p>
    <w:p w14:paraId="706E2141" w14:textId="77777777" w:rsidR="00F96771" w:rsidRDefault="00F96771">
      <w:pPr>
        <w:pStyle w:val="BodyText"/>
        <w:rPr>
          <w:sz w:val="20"/>
        </w:rPr>
      </w:pPr>
    </w:p>
    <w:p w14:paraId="706E2142" w14:textId="77777777" w:rsidR="00F96771" w:rsidRDefault="00F96771">
      <w:pPr>
        <w:pStyle w:val="BodyText"/>
        <w:rPr>
          <w:sz w:val="20"/>
        </w:rPr>
      </w:pPr>
    </w:p>
    <w:p w14:paraId="706E2143" w14:textId="77777777" w:rsidR="00F96771" w:rsidRDefault="00293F8C">
      <w:pPr>
        <w:pStyle w:val="BodyText"/>
        <w:spacing w:before="4"/>
        <w:rPr>
          <w:sz w:val="16"/>
        </w:rPr>
      </w:pPr>
      <w:r>
        <w:rPr>
          <w:noProof/>
        </w:rPr>
      </w:r>
      <w:r w:rsidR="00293F8C">
        <w:rPr>
          <w:noProof/>
        </w:rPr>
        <w:pict w14:anchorId="706E2158">
          <v:shape id="_x0000_s1030" alt="" style="position:absolute;margin-left:48.2pt;margin-top:12.1pt;width:498.9pt;height:.1pt;z-index:-251658231;mso-wrap-edited:f;mso-width-percent:0;mso-height-percent:0;mso-wrap-distance-left:0;mso-wrap-distance-right:0;mso-position-horizontal-relative:page;mso-width-percent:0;mso-height-percent:0" coordsize="9978,1270" path="m,l9978,e" filled="f" strokecolor="#a47f74" strokeweight=".25pt">
            <v:stroke dashstyle="1 1"/>
            <v:path arrowok="t" o:connecttype="custom" o:connectlocs="0,0;6336030,0" o:connectangles="0,0"/>
            <w10:wrap type="topAndBottom" anchorx="page"/>
          </v:shape>
        </w:pict>
      </w:r>
    </w:p>
    <w:p w14:paraId="706E2144" w14:textId="77777777" w:rsidR="00F96771" w:rsidRDefault="0093224C">
      <w:pPr>
        <w:spacing w:before="35"/>
        <w:ind w:left="211"/>
        <w:rPr>
          <w:rFonts w:ascii="Calibri"/>
          <w:sz w:val="16"/>
        </w:rPr>
      </w:pPr>
      <w:r>
        <w:rPr>
          <w:rFonts w:ascii="Calibri"/>
          <w:color w:val="A47F74"/>
          <w:sz w:val="16"/>
        </w:rPr>
        <w:t>A scientific collaboration between the Department of Agriculture, Water and the Environment, Bureau of Meteorology, CSIRO and Geoscience Australia</w:t>
      </w:r>
    </w:p>
    <w:p w14:paraId="706E2145" w14:textId="77777777" w:rsidR="00F96771" w:rsidRDefault="00F96771">
      <w:pPr>
        <w:rPr>
          <w:rFonts w:ascii="Calibri"/>
          <w:sz w:val="16"/>
        </w:rPr>
        <w:sectPr w:rsidR="00F96771">
          <w:type w:val="continuous"/>
          <w:pgSz w:w="11910" w:h="16840"/>
          <w:pgMar w:top="0" w:right="860" w:bottom="280" w:left="860" w:header="720" w:footer="720" w:gutter="0"/>
          <w:cols w:space="720"/>
        </w:sectPr>
      </w:pPr>
    </w:p>
    <w:p w14:paraId="706E2146" w14:textId="77777777" w:rsidR="00F96771" w:rsidRDefault="0093224C">
      <w:pPr>
        <w:pStyle w:val="BodyText"/>
        <w:spacing w:line="20" w:lineRule="exact"/>
        <w:ind w:left="98"/>
        <w:rPr>
          <w:rFonts w:ascii="Calibri"/>
          <w:sz w:val="2"/>
        </w:rPr>
      </w:pPr>
      <w:r>
        <w:rPr>
          <w:noProof/>
        </w:rPr>
        <w:lastRenderedPageBreak/>
        <w:drawing>
          <wp:anchor distT="0" distB="0" distL="0" distR="0" simplePos="0" relativeHeight="251658246" behindDoc="0" locked="0" layoutInCell="1" allowOverlap="1" wp14:anchorId="706E2159" wp14:editId="1D51E97B">
            <wp:simplePos x="0" y="0"/>
            <wp:positionH relativeFrom="page">
              <wp:posOffset>965</wp:posOffset>
            </wp:positionH>
            <wp:positionV relativeFrom="page">
              <wp:posOffset>9772120</wp:posOffset>
            </wp:positionV>
            <wp:extent cx="7559034" cy="919882"/>
            <wp:effectExtent l="0" t="0" r="0" b="0"/>
            <wp:wrapNone/>
            <wp:docPr id="7"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59034" cy="919882"/>
                    </a:xfrm>
                    <a:prstGeom prst="rect">
                      <a:avLst/>
                    </a:prstGeom>
                  </pic:spPr>
                </pic:pic>
              </a:graphicData>
            </a:graphic>
          </wp:anchor>
        </w:drawing>
      </w:r>
      <w:r w:rsidR="00293F8C">
        <w:rPr>
          <w:noProof/>
        </w:rPr>
      </w:r>
      <w:r w:rsidR="00293F8C">
        <w:rPr>
          <w:noProof/>
        </w:rPr>
        <w:pict w14:anchorId="706E215C">
          <v:shapetype id="_x0000_t202" coordsize="21600,21600" o:spt="202" path="m,l,21600r21600,l21600,xe">
            <v:stroke joinstyle="miter"/>
            <v:path gradientshapeok="t" o:connecttype="rect"/>
          </v:shapetype>
          <v:shape id="_x0000_s1029" type="#_x0000_t202" alt="" style="position:absolute;left:0;text-align:left;margin-left:563.5pt;margin-top:708.25pt;width:9pt;height:38.6pt;z-index:251658247;mso-wrap-style:square;mso-wrap-edited:f;mso-width-percent:0;mso-height-percent:0;mso-position-horizontal-relative:page;mso-position-vertical-relative:page;mso-width-percent:0;mso-height-percent:0;v-text-anchor:top" filled="f" stroked="f">
            <v:textbox style="layout-flow:vertical;mso-layout-flow-alt:bottom-to-top" inset="0,0,0,0">
              <w:txbxContent>
                <w:p w14:paraId="706E2162" w14:textId="77777777" w:rsidR="00F96771" w:rsidRDefault="0093224C">
                  <w:pPr>
                    <w:spacing w:line="163" w:lineRule="exact"/>
                    <w:ind w:left="20"/>
                    <w:rPr>
                      <w:sz w:val="14"/>
                    </w:rPr>
                  </w:pPr>
                  <w:r>
                    <w:rPr>
                      <w:color w:val="939598"/>
                      <w:sz w:val="14"/>
                    </w:rPr>
                    <w:t>BIO764.0721</w:t>
                  </w:r>
                </w:p>
              </w:txbxContent>
            </v:textbox>
            <w10:wrap anchorx="page" anchory="page"/>
          </v:shape>
        </w:pict>
      </w:r>
      <w:r w:rsidR="00293F8C">
        <w:rPr>
          <w:rFonts w:ascii="Calibri"/>
          <w:noProof/>
          <w:sz w:val="2"/>
        </w:rPr>
      </w:r>
      <w:r w:rsidR="00293F8C">
        <w:rPr>
          <w:rFonts w:ascii="Calibri"/>
          <w:noProof/>
          <w:sz w:val="2"/>
        </w:rPr>
        <w:pict w14:anchorId="706E215E">
          <v:group id="_x0000_s1027" alt="" style="width:412.95pt;height:.5pt;mso-position-horizontal-relative:char;mso-position-vertical-relative:line" coordsize="8259,10">
            <v:line id="_x0000_s1028" alt="" style="position:absolute" from="0,5" to="8258,5" strokecolor="#006f97" strokeweight=".5pt"/>
            <w10:anchorlock/>
          </v:group>
        </w:pict>
      </w:r>
    </w:p>
    <w:p w14:paraId="706E2147" w14:textId="77777777" w:rsidR="00F96771" w:rsidRDefault="00293F8C">
      <w:pPr>
        <w:spacing w:before="37"/>
        <w:ind w:left="103"/>
        <w:rPr>
          <w:rFonts w:ascii="Calibri"/>
          <w:sz w:val="24"/>
        </w:rPr>
      </w:pPr>
      <w:r>
        <w:rPr>
          <w:noProof/>
        </w:rPr>
      </w:r>
      <w:r w:rsidR="00293F8C">
        <w:rPr>
          <w:noProof/>
        </w:rPr>
        <w:pict w14:anchorId="706E215F">
          <v:shape id="_x0000_s1026" alt="" style="position:absolute;left:0;text-align:left;margin-left:48.2pt;margin-top:19.2pt;width:412.95pt;height:.1pt;z-index:-251658230;mso-wrap-edited:f;mso-width-percent:0;mso-height-percent:0;mso-wrap-distance-left:0;mso-wrap-distance-right:0;mso-position-horizontal-relative:page;mso-width-percent:0;mso-height-percent:0" coordsize="8259,1270" path="m,l8258,e" filled="f" strokecolor="#231f20" strokeweight=".5pt">
            <v:path arrowok="t" o:connecttype="custom" o:connectlocs="0,0;5243830,0" o:connectangles="0,0"/>
            <w10:wrap type="topAndBottom" anchorx="page"/>
          </v:shape>
        </w:pict>
      </w:r>
      <w:r w:rsidR="0093224C">
        <w:rPr>
          <w:noProof/>
        </w:rPr>
        <w:drawing>
          <wp:anchor distT="0" distB="0" distL="0" distR="0" simplePos="0" relativeHeight="251658240" behindDoc="0" locked="0" layoutInCell="1" allowOverlap="1" wp14:anchorId="706E2160" wp14:editId="706E2161">
            <wp:simplePos x="0" y="0"/>
            <wp:positionH relativeFrom="page">
              <wp:posOffset>659590</wp:posOffset>
            </wp:positionH>
            <wp:positionV relativeFrom="paragraph">
              <wp:posOffset>431319</wp:posOffset>
            </wp:positionV>
            <wp:extent cx="5009205" cy="6521958"/>
            <wp:effectExtent l="0" t="0" r="0" b="0"/>
            <wp:wrapTopAndBottom/>
            <wp:docPr id="9" name="image7.jpeg" descr="A large picture showing a causal network with lines connecting that show linkages from the unconventional gas resource development driver to activities, stressors, processes and an endpoint. Below this a series of steps are shown stating how many wells are in the program's development scenario, it states: 50 years development time. Slow equals 63 wells over 52 well pads producing 23 petajoules per year. Fast equals 1180 wells over 295 well pads producing 92 petajoules per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5009205" cy="6521958"/>
                    </a:xfrm>
                    <a:prstGeom prst="rect">
                      <a:avLst/>
                    </a:prstGeom>
                  </pic:spPr>
                </pic:pic>
              </a:graphicData>
            </a:graphic>
          </wp:anchor>
        </w:drawing>
      </w:r>
      <w:bookmarkStart w:id="0" w:name="_bookmark0"/>
      <w:bookmarkEnd w:id="0"/>
      <w:r w:rsidR="0093224C">
        <w:rPr>
          <w:rFonts w:ascii="Calibri"/>
          <w:b/>
          <w:color w:val="006F97"/>
          <w:sz w:val="24"/>
        </w:rPr>
        <w:t xml:space="preserve">FIGURE 1 </w:t>
      </w:r>
      <w:r w:rsidR="0093224C">
        <w:rPr>
          <w:rFonts w:ascii="Calibri"/>
          <w:color w:val="231F20"/>
          <w:sz w:val="24"/>
        </w:rPr>
        <w:t>Causal networks explained</w:t>
      </w:r>
    </w:p>
    <w:p w14:paraId="706E2148" w14:textId="77777777" w:rsidR="00F96771" w:rsidRDefault="00F96771">
      <w:pPr>
        <w:pStyle w:val="BodyText"/>
        <w:spacing w:before="2"/>
        <w:rPr>
          <w:rFonts w:ascii="Calibri"/>
          <w:sz w:val="18"/>
        </w:rPr>
      </w:pPr>
    </w:p>
    <w:p w14:paraId="706E2149" w14:textId="77777777" w:rsidR="00F96771" w:rsidRDefault="0093224C">
      <w:pPr>
        <w:spacing w:before="198"/>
        <w:ind w:left="103"/>
        <w:rPr>
          <w:sz w:val="17"/>
        </w:rPr>
      </w:pPr>
      <w:r>
        <w:rPr>
          <w:color w:val="58595B"/>
          <w:sz w:val="17"/>
        </w:rPr>
        <w:t>Element: GBA-ALL-3-011</w:t>
      </w:r>
    </w:p>
    <w:p w14:paraId="706E214A" w14:textId="77777777" w:rsidR="00F96771" w:rsidRDefault="00F96771">
      <w:pPr>
        <w:pStyle w:val="BodyText"/>
        <w:rPr>
          <w:sz w:val="16"/>
        </w:rPr>
      </w:pPr>
    </w:p>
    <w:p w14:paraId="706E214B" w14:textId="77777777" w:rsidR="00F96771" w:rsidRDefault="0093224C">
      <w:pPr>
        <w:pStyle w:val="Heading1"/>
        <w:spacing w:before="141"/>
      </w:pPr>
      <w:r>
        <w:rPr>
          <w:color w:val="006F97"/>
        </w:rPr>
        <w:t>Find out more</w:t>
      </w:r>
    </w:p>
    <w:p w14:paraId="706E214C" w14:textId="66E91D65" w:rsidR="00F96771" w:rsidRDefault="0093224C" w:rsidP="78F1FBBB">
      <w:pPr>
        <w:pStyle w:val="BodyText"/>
        <w:spacing w:before="65" w:line="235" w:lineRule="auto"/>
        <w:ind w:left="103" w:right="212"/>
        <w:rPr>
          <w:color w:val="231F20"/>
        </w:rPr>
      </w:pPr>
      <w:r w:rsidRPr="78F1FBBB">
        <w:rPr>
          <w:color w:val="231F20"/>
        </w:rPr>
        <w:t>Journal paper: Peeters LJM, Holland KL, Huddlestone-Holmes CR and Boulton AJ (202</w:t>
      </w:r>
      <w:r w:rsidR="233BAD8E" w:rsidRPr="78F1FBBB">
        <w:rPr>
          <w:color w:val="231F20"/>
        </w:rPr>
        <w:t>2</w:t>
      </w:r>
      <w:r w:rsidRPr="78F1FBBB">
        <w:rPr>
          <w:color w:val="231F20"/>
        </w:rPr>
        <w:t>) A spatial causal network approach for multi-stressor risk analysis and mapping for environmental impact assessments.</w:t>
      </w:r>
      <w:r w:rsidRPr="78F1FBBB">
        <w:rPr>
          <w:i/>
          <w:iCs/>
          <w:color w:val="231F20"/>
        </w:rPr>
        <w:t xml:space="preserve"> </w:t>
      </w:r>
      <w:r w:rsidRPr="78F1FBBB">
        <w:rPr>
          <w:color w:val="231F20"/>
        </w:rPr>
        <w:t>Science of the Total Environment</w:t>
      </w:r>
      <w:r w:rsidR="5977DA2A" w:rsidRPr="78F1FBBB">
        <w:rPr>
          <w:color w:val="231F20"/>
        </w:rPr>
        <w:t xml:space="preserve"> 802</w:t>
      </w:r>
      <w:r w:rsidRPr="78F1FBBB">
        <w:rPr>
          <w:color w:val="231F20"/>
        </w:rPr>
        <w:t>.</w:t>
      </w:r>
      <w:r w:rsidR="1565F4FF" w:rsidRPr="78F1FBBB">
        <w:rPr>
          <w:color w:val="231F20"/>
        </w:rPr>
        <w:t xml:space="preserve"> Doi: </w:t>
      </w:r>
      <w:hyperlink r:id="rId16">
        <w:r w:rsidR="1565F4FF" w:rsidRPr="78F1FBBB">
          <w:rPr>
            <w:color w:val="006F97"/>
            <w:u w:val="dotted"/>
          </w:rPr>
          <w:t>10.1016/j.scitotenv.2021.149845</w:t>
        </w:r>
      </w:hyperlink>
      <w:r w:rsidR="1565F4FF" w:rsidRPr="78F1FBBB">
        <w:rPr>
          <w:color w:val="231F20"/>
        </w:rPr>
        <w:t>.</w:t>
      </w:r>
    </w:p>
    <w:p w14:paraId="706E214D" w14:textId="77777777" w:rsidR="00F96771" w:rsidRDefault="0093224C">
      <w:pPr>
        <w:pStyle w:val="BodyText"/>
        <w:spacing w:before="115" w:line="235" w:lineRule="auto"/>
        <w:ind w:left="103" w:right="106"/>
      </w:pPr>
      <w:r>
        <w:rPr>
          <w:color w:val="231F20"/>
        </w:rPr>
        <w:t xml:space="preserve">Publication: Peeters LJM, Holland KL, Huddlestone-Holmes CR, Brandon C, Lawrence E and Tetreault-Campbell S (2021) </w:t>
      </w:r>
      <w:hyperlink r:id="rId17">
        <w:r>
          <w:rPr>
            <w:color w:val="006F97"/>
            <w:u w:val="dotted" w:color="006F97"/>
          </w:rPr>
          <w:t>Introduction to causal networks</w:t>
        </w:r>
      </w:hyperlink>
      <w:r>
        <w:rPr>
          <w:color w:val="231F20"/>
        </w:rPr>
        <w:t>. Geological and Bioregional Assessment Program: Stage 3. Department of Agriculture, Water and the Environment, Bureau of Meteorology, CSIRO and Geoscience Australia, Australia.</w:t>
      </w:r>
    </w:p>
    <w:p w14:paraId="706E214E" w14:textId="03D9E679" w:rsidR="00F96771" w:rsidRDefault="0093224C">
      <w:pPr>
        <w:pStyle w:val="BodyText"/>
        <w:spacing w:before="112"/>
        <w:ind w:left="103"/>
      </w:pPr>
      <w:r>
        <w:rPr>
          <w:color w:val="231F20"/>
        </w:rPr>
        <w:t xml:space="preserve">More information is available at </w:t>
      </w:r>
      <w:hyperlink r:id="rId18">
        <w:r>
          <w:rPr>
            <w:color w:val="006F97"/>
            <w:u w:val="dotted" w:color="006F97"/>
          </w:rPr>
          <w:t>bioregionalassessments.gov.au/</w:t>
        </w:r>
        <w:proofErr w:type="spellStart"/>
        <w:r>
          <w:rPr>
            <w:color w:val="006F97"/>
            <w:u w:val="dotted" w:color="006F97"/>
          </w:rPr>
          <w:t>gba</w:t>
        </w:r>
        <w:proofErr w:type="spellEnd"/>
      </w:hyperlink>
      <w:r w:rsidR="001B0C1F" w:rsidRPr="001B0C1F">
        <w:rPr>
          <w:color w:val="231F20"/>
        </w:rPr>
        <w:t>.</w:t>
      </w:r>
    </w:p>
    <w:sectPr w:rsidR="00F96771">
      <w:pgSz w:w="11910" w:h="16840"/>
      <w:pgMar w:top="840" w:right="860" w:bottom="0" w:left="8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F96771"/>
    <w:rsid w:val="001B0C1F"/>
    <w:rsid w:val="00293F8C"/>
    <w:rsid w:val="003D0178"/>
    <w:rsid w:val="006E4560"/>
    <w:rsid w:val="0093224C"/>
    <w:rsid w:val="00F85C52"/>
    <w:rsid w:val="00F96771"/>
    <w:rsid w:val="1565F4FF"/>
    <w:rsid w:val="233BAD8E"/>
    <w:rsid w:val="27A38334"/>
    <w:rsid w:val="3315C40E"/>
    <w:rsid w:val="4622BF90"/>
    <w:rsid w:val="5269AADA"/>
    <w:rsid w:val="55E05032"/>
    <w:rsid w:val="564F18DC"/>
    <w:rsid w:val="5977DA2A"/>
    <w:rsid w:val="78F1FB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06E2126"/>
  <w15:docId w15:val="{0A133C00-2311-4F51-A06F-851C50A05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103"/>
      <w:outlineLvl w:val="0"/>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8"/>
      <w:ind w:left="7094" w:right="101" w:firstLine="181"/>
      <w:jc w:val="right"/>
    </w:pPr>
    <w:rPr>
      <w:rFonts w:ascii="Calibri" w:eastAsia="Calibri" w:hAnsi="Calibri" w:cs="Calibri"/>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ba-explorer.bioregionalassessments.gov.au/" TargetMode="External"/><Relationship Id="rId18" Type="http://schemas.openxmlformats.org/officeDocument/2006/relationships/hyperlink" Target="https://www.bioregionalassessments.gov.au/geological-and-bioregional-assessment-progra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bioregionalassessments.gov.au/gba/introduction-causal-networks" TargetMode="External"/><Relationship Id="rId2" Type="http://schemas.openxmlformats.org/officeDocument/2006/relationships/customXml" Target="../customXml/item2.xml"/><Relationship Id="rId16" Type="http://schemas.openxmlformats.org/officeDocument/2006/relationships/hyperlink" Target="https://doi.org/10.1016/j.scitotenv.2021.14984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f6b232a6-7847-4fcd-9f2f-4076cd779963" xsi:nil="true"/>
    <Metadata xmlns="f6b232a6-7847-4fcd-9f2f-4076cd779963">
      <Url xsi:nil="true"/>
      <Description xsi:nil="true"/>
    </Metadata>
    <GBAregion xmlns="f6b232a6-7847-4fcd-9f2f-4076cd779963" xsi:nil="true"/>
    <_dlc_DocId xmlns="1ce706f3-5237-42b3-876d-cf68da5c0e0a">NN2TW47UTC5W-1349389608-7858</_dlc_DocId>
    <_dlc_DocIdUrl xmlns="1ce706f3-5237-42b3-876d-cf68da5c0e0a">
      <Url>https://csiroau.sharepoint.com/sites/GeologicalBio-regionalAssessment/_layouts/15/DocIdRedir.aspx?ID=NN2TW47UTC5W-1349389608-7858</Url>
      <Description>NN2TW47UTC5W-1349389608-7858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1F56AADD9A42488C99BAEC5D1A4634" ma:contentTypeVersion="18" ma:contentTypeDescription="Create a new document." ma:contentTypeScope="" ma:versionID="63017b821c7baefb37408e951d807a95">
  <xsd:schema xmlns:xsd="http://www.w3.org/2001/XMLSchema" xmlns:xs="http://www.w3.org/2001/XMLSchema" xmlns:p="http://schemas.microsoft.com/office/2006/metadata/properties" xmlns:ns2="f6b232a6-7847-4fcd-9f2f-4076cd779963" xmlns:ns3="1ce706f3-5237-42b3-876d-cf68da5c0e0a" targetNamespace="http://schemas.microsoft.com/office/2006/metadata/properties" ma:root="true" ma:fieldsID="a608aa0254f0c6c26d28262ae020b170" ns2:_="" ns3:_="">
    <xsd:import namespace="f6b232a6-7847-4fcd-9f2f-4076cd779963"/>
    <xsd:import namespace="1ce706f3-5237-42b3-876d-cf68da5c0e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EventHashCode" minOccurs="0"/>
                <xsd:element ref="ns2:MediaServiceGenerationTime" minOccurs="0"/>
                <xsd:element ref="ns2:Notes0" minOccurs="0"/>
                <xsd:element ref="ns2:MediaServiceDateTaken" minOccurs="0"/>
                <xsd:element ref="ns2:MediaServiceLocation" minOccurs="0"/>
                <xsd:element ref="ns2:Metadata" minOccurs="0"/>
                <xsd:element ref="ns3:_dlc_DocId" minOccurs="0"/>
                <xsd:element ref="ns3:_dlc_DocIdUrl" minOccurs="0"/>
                <xsd:element ref="ns3:_dlc_DocIdPersistId" minOccurs="0"/>
                <xsd:element ref="ns2:MediaServiceAutoKeyPoints" minOccurs="0"/>
                <xsd:element ref="ns2:MediaServiceKeyPoints" minOccurs="0"/>
                <xsd:element ref="ns2:GBAreg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232a6-7847-4fcd-9f2f-4076cd7799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Notes0" ma:index="16" nillable="true" ma:displayName="Notes" ma:format="Dropdown" ma:internalName="Notes0">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tadata" ma:index="19" nillable="true" ma:displayName="Metadata" ma:format="Hyperlink" ma:internalName="Metadata">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GBAregion" ma:index="25" nillable="true" ma:displayName="GBA region" ma:format="Dropdown" ma:internalName="GBAregion">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706f3-5237-42b3-876d-cf68da5c0e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C162F5B-3F7F-44D6-8E41-9F6D139BA7C9}">
  <ds:schemaRefs>
    <ds:schemaRef ds:uri="http://schemas.microsoft.com/office/2006/metadata/properties"/>
    <ds:schemaRef ds:uri="http://schemas.microsoft.com/office/infopath/2007/PartnerControls"/>
    <ds:schemaRef ds:uri="f6b232a6-7847-4fcd-9f2f-4076cd779963"/>
    <ds:schemaRef ds:uri="1ce706f3-5237-42b3-876d-cf68da5c0e0a"/>
  </ds:schemaRefs>
</ds:datastoreItem>
</file>

<file path=customXml/itemProps2.xml><?xml version="1.0" encoding="utf-8"?>
<ds:datastoreItem xmlns:ds="http://schemas.openxmlformats.org/officeDocument/2006/customXml" ds:itemID="{4E044C91-13B5-4F3D-BE52-AA0FDBADCD61}">
  <ds:schemaRefs>
    <ds:schemaRef ds:uri="http://schemas.microsoft.com/sharepoint/v3/contenttype/forms"/>
  </ds:schemaRefs>
</ds:datastoreItem>
</file>

<file path=customXml/itemProps3.xml><?xml version="1.0" encoding="utf-8"?>
<ds:datastoreItem xmlns:ds="http://schemas.openxmlformats.org/officeDocument/2006/customXml" ds:itemID="{1B7950A1-54F2-4837-A037-C0E010495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232a6-7847-4fcd-9f2f-4076cd779963"/>
    <ds:schemaRef ds:uri="1ce706f3-5237-42b3-876d-cf68da5c0e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EF900C-4284-42FF-8739-2253ADBAA16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681</Words>
  <Characters>3887</Characters>
  <Application>Microsoft Office Word</Application>
  <DocSecurity>0</DocSecurity>
  <Lines>32</Lines>
  <Paragraphs>9</Paragraphs>
  <ScaleCrop>false</ScaleCrop>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BIO764.0721 GBA factsheet (Causal)</dc:title>
  <dc:subject/>
  <dc:creator>Australian Government Bioregional Assessments</dc:creator>
  <cp:keywords/>
  <cp:lastModifiedBy>Holland, Kate (L&amp;W, Waite Campus)</cp:lastModifiedBy>
  <cp:revision>7</cp:revision>
  <dcterms:created xsi:type="dcterms:W3CDTF">2021-08-25T23:08:00Z</dcterms:created>
  <dcterms:modified xsi:type="dcterms:W3CDTF">2021-08-27T05:35:00Z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Adobe InDesign 16.0 (Windows)</vt:lpwstr>
  </property>
  <property fmtid="{D5CDD505-2E9C-101B-9397-08002B2CF9AE}" pid="4" name="LastSaved">
    <vt:filetime>2021-08-25T00:00:00Z</vt:filetime>
  </property>
  <property fmtid="{D5CDD505-2E9C-101B-9397-08002B2CF9AE}" pid="5" name="ContentTypeId">
    <vt:lpwstr>0x0101006E1F56AADD9A42488C99BAEC5D1A4634</vt:lpwstr>
  </property>
  <property fmtid="{D5CDD505-2E9C-101B-9397-08002B2CF9AE}" pid="6" name="RecordPoint_ActiveItemUniqueId">
    <vt:lpwstr>{815d0fae-ebe9-41ee-8e23-b0315292da3f}</vt:lpwstr>
  </property>
  <property fmtid="{D5CDD505-2E9C-101B-9397-08002B2CF9AE}" pid="7" name="RecordPoint_WorkflowType">
    <vt:lpwstr>ActiveSubmitStub</vt:lpwstr>
  </property>
  <property fmtid="{D5CDD505-2E9C-101B-9397-08002B2CF9AE}" pid="8" name="RecordPoint_ActiveItemSiteId">
    <vt:lpwstr>{4b445ea7-761d-43d2-909a-116082cfbf41}</vt:lpwstr>
  </property>
  <property fmtid="{D5CDD505-2E9C-101B-9397-08002B2CF9AE}" pid="9" name="RecordPoint_ActiveItemListId">
    <vt:lpwstr>{73c573e4-bf63-4daa-89f5-745b8bb524e2}</vt:lpwstr>
  </property>
  <property fmtid="{D5CDD505-2E9C-101B-9397-08002B2CF9AE}" pid="10" name="RecordPoint_ActiveItemWebId">
    <vt:lpwstr>{aa3e7952-617a-4d1d-acc5-2dff72d3e0ca}</vt:lpwstr>
  </property>
  <property fmtid="{D5CDD505-2E9C-101B-9397-08002B2CF9AE}" pid="11" name="_dlc_DocIdItemGuid">
    <vt:lpwstr>d213f248-62e6-4cfd-8227-7d6bc6c09215</vt:lpwstr>
  </property>
</Properties>
</file>